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ind w:left="3402"/>
        <w:rPr>
          <w:b w:val="0"/>
        </w:rPr>
      </w:pPr>
      <w:bookmarkStart w:id="0" w:name="_GoBack"/>
      <w:bookmarkEnd w:id="0"/>
      <w:r>
        <w:t>INFORME DE LA PRIMERA SUBCOMISIÓN ESPECIAL DE PRESUPUESTOS,</w:t>
      </w:r>
      <w:r>
        <w:rPr>
          <w:b w:val="0"/>
        </w:rPr>
        <w:t xml:space="preserve"> recaído en la Partida 08, </w:t>
      </w:r>
      <w:r>
        <w:t>MINISTERIO DE HACIENDA</w:t>
      </w:r>
      <w:r>
        <w:rPr>
          <w:b w:val="0"/>
        </w:rPr>
        <w:t>, del proyecto de Ley de Presupuestos del Sector Público para el año 2017.</w:t>
      </w:r>
    </w:p>
    <w:p>
      <w:pPr>
        <w:ind w:left="3402"/>
      </w:pPr>
    </w:p>
    <w:p>
      <w:pPr>
        <w:ind w:left="3402"/>
        <w:rPr>
          <w:b w:val="0"/>
        </w:rPr>
      </w:pPr>
      <w:r>
        <w:t>BOLETÍN Nº 10.912-05</w:t>
      </w:r>
    </w:p>
    <w:p>
      <w:pPr>
        <w:ind w:left="3402"/>
        <w:rPr>
          <w:b w:val="0"/>
        </w:rPr>
      </w:pPr>
      <w:r>
        <w:rPr>
          <w:b w:val="0"/>
        </w:rPr>
        <w:t>____________________________________</w:t>
      </w:r>
    </w:p>
    <w:p>
      <w:pPr>
        <w:rPr>
          <w:b w:val="0"/>
          <w:lang w:val="es-ES"/>
        </w:rPr>
      </w:pPr>
    </w:p>
    <w:p>
      <w:pPr>
        <w:rPr>
          <w:b w:val="0"/>
          <w:lang w:val="es-ES"/>
        </w:rPr>
      </w:pPr>
    </w:p>
    <w:p>
      <w:pPr>
        <w:rPr>
          <w:b w:val="0"/>
          <w:lang w:val="es-ES"/>
        </w:rPr>
      </w:pPr>
    </w:p>
    <w:p>
      <w:pPr>
        <w:rPr>
          <w:b w:val="0"/>
          <w:lang w:val="es-ES"/>
        </w:rPr>
      </w:pPr>
    </w:p>
    <w:p>
      <w:pPr>
        <w:rPr>
          <w:b w:val="0"/>
          <w:lang w:val="es-ES"/>
        </w:rPr>
      </w:pPr>
    </w:p>
    <w:p>
      <w:pPr>
        <w:rPr>
          <w:b w:val="0"/>
          <w:lang w:val="es-ES"/>
        </w:rPr>
      </w:pPr>
    </w:p>
    <w:p>
      <w:pPr>
        <w:rPr>
          <w:b w:val="0"/>
          <w:lang w:val="es-ES"/>
        </w:rPr>
      </w:pPr>
    </w:p>
    <w:p>
      <w:pPr>
        <w:rPr>
          <w:b w:val="0"/>
          <w:lang w:val="es-ES"/>
        </w:rPr>
      </w:pPr>
    </w:p>
    <w:p>
      <w:r>
        <w:t>HONORABLE COMISIÓN ESPECIAL MIXTA DE PRESUPUESTOS:</w:t>
      </w:r>
    </w:p>
    <w:p>
      <w:pPr>
        <w:rPr>
          <w:b w:val="0"/>
        </w:rPr>
      </w:pPr>
    </w:p>
    <w:p>
      <w:pPr>
        <w:rPr>
          <w:b w:val="0"/>
        </w:rPr>
      </w:pPr>
      <w:r>
        <w:rPr>
          <w:b w:val="0"/>
        </w:rPr>
        <w:tab/>
        <w:t>Vuestra Primera Subcomisión Especial de Presupuestos tiene el honor de informaros la Partida relativa al Ministerio de Hacienda, propuesta en el proyecto de Ley de Presupuestos del Sector Público para el año 2017.</w:t>
      </w:r>
    </w:p>
    <w:p>
      <w:pPr>
        <w:rPr>
          <w:b w:val="0"/>
        </w:rPr>
      </w:pPr>
    </w:p>
    <w:p>
      <w:pPr>
        <w:rPr>
          <w:b w:val="0"/>
        </w:rPr>
      </w:pPr>
      <w:r>
        <w:rPr>
          <w:b w:val="0"/>
        </w:rPr>
        <w:tab/>
        <w:t>Durante el estudio de esta Partida vuestra Subcomisión contó con la participación del Subsecretario de Hacienda, señor Alejandro Micco Aguayo y de los Directores y Jefes de Servicios dependientes del Ministerio de Hacienda, o que se relacionan con el Ejecutivo a través de esa Cartera de Estado y que se individualizarán oportunamente.</w:t>
      </w:r>
    </w:p>
    <w:p>
      <w:pPr>
        <w:rPr>
          <w:b w:val="0"/>
        </w:rPr>
      </w:pPr>
    </w:p>
    <w:p>
      <w:pPr>
        <w:rPr>
          <w:b w:val="0"/>
        </w:rPr>
      </w:pPr>
      <w:r>
        <w:rPr>
          <w:b w:val="0"/>
        </w:rPr>
        <w:tab/>
        <w:t xml:space="preserve">Además, asistieron los </w:t>
      </w:r>
      <w:r>
        <w:rPr>
          <w:b w:val="0"/>
          <w:lang w:val="es-ES"/>
        </w:rPr>
        <w:t xml:space="preserve">Asesores del Honorable Senador señor Coloma, señor Álvaro Pillado; del Honorable Diputado señor De Mussy, señor José Riquelme; del Honorable Diputado señor Silva, señor Santiago Orpis y de la Biblioteca del Congreso Nacional, señora Fernanda Maldonado. </w:t>
      </w:r>
    </w:p>
    <w:p>
      <w:pPr>
        <w:rPr>
          <w:b w:val="0"/>
        </w:rPr>
      </w:pPr>
    </w:p>
    <w:p>
      <w:pPr>
        <w:jc w:val="center"/>
        <w:rPr>
          <w:b w:val="0"/>
        </w:rPr>
      </w:pPr>
      <w:r>
        <w:rPr>
          <w:b w:val="0"/>
        </w:rPr>
        <w:t xml:space="preserve">- - - - - - - - - - </w:t>
      </w:r>
    </w:p>
    <w:p>
      <w:pPr>
        <w:rPr>
          <w:b w:val="0"/>
        </w:rPr>
      </w:pPr>
    </w:p>
    <w:p>
      <w:pPr>
        <w:rPr>
          <w:b w:val="0"/>
        </w:rPr>
      </w:pPr>
    </w:p>
    <w:p>
      <w:pPr>
        <w:rPr>
          <w:b w:val="0"/>
        </w:rPr>
      </w:pPr>
      <w:r>
        <w:rPr>
          <w:b w:val="0"/>
        </w:rPr>
        <w:tab/>
        <w:t>Cabe hacer presente que se adjunta como anexo de este informe -en ejemplar único- copia de la Partida estudiada por vuestra Subcomisión, sin enmiendas.</w:t>
      </w:r>
    </w:p>
    <w:p>
      <w:pPr>
        <w:rPr>
          <w:b w:val="0"/>
        </w:rPr>
      </w:pPr>
    </w:p>
    <w:p>
      <w:pPr>
        <w:rPr>
          <w:b w:val="0"/>
        </w:rPr>
      </w:pPr>
      <w:r>
        <w:rPr>
          <w:b w:val="0"/>
        </w:rPr>
        <w:tab/>
        <w:t xml:space="preserve">Hacemos presente que se acompañan, también, como anexo de este informe, los documentos solicitados por los señores Parlamentarios durante la discusión de esta Partida. </w:t>
      </w:r>
    </w:p>
    <w:p>
      <w:pPr>
        <w:rPr>
          <w:b w:val="0"/>
        </w:rPr>
      </w:pPr>
    </w:p>
    <w:p>
      <w:pPr>
        <w:rPr>
          <w:b w:val="0"/>
        </w:rPr>
      </w:pPr>
      <w:r>
        <w:rPr>
          <w:b w:val="0"/>
        </w:rPr>
        <w:tab/>
        <w:t>La Dirección de Presupuestos entregó el documento “Proyecto de Ley de Presupuestos para el año 2017, Partida 08, Ministerio de Hacienda”.</w:t>
      </w:r>
    </w:p>
    <w:p>
      <w:pPr>
        <w:rPr>
          <w:b w:val="0"/>
        </w:rPr>
      </w:pPr>
    </w:p>
    <w:p>
      <w:pPr>
        <w:rPr>
          <w:b w:val="0"/>
        </w:rPr>
      </w:pPr>
      <w:r>
        <w:rPr>
          <w:b w:val="0"/>
        </w:rPr>
        <w:tab/>
        <w:t>Estos antecedentes se adjuntan como anexo de este informe. Los originales se encuentran a disposición de los señores Parlamentarios para su consulta y análisis en la Unidad de Asesoría Presupuestaria del Senado.</w:t>
      </w:r>
    </w:p>
    <w:p>
      <w:pPr>
        <w:rPr>
          <w:b w:val="0"/>
        </w:rPr>
      </w:pPr>
    </w:p>
    <w:p>
      <w:pPr>
        <w:rPr>
          <w:b w:val="0"/>
        </w:rPr>
      </w:pPr>
      <w:r>
        <w:rPr>
          <w:b w:val="0"/>
        </w:rPr>
        <w:tab/>
        <w:t>Con el objetivo de evitar reiteraciones innecesarias, este informe ha omitido las consideraciones de que dan cuenta los documentos mencionados, consignándose sólo aquellas que originaron acuerdos, petición de oficios, consultas y constancias de la Subcomisión.</w:t>
      </w:r>
    </w:p>
    <w:p>
      <w:pPr>
        <w:rPr>
          <w:b w:val="0"/>
        </w:rPr>
      </w:pPr>
    </w:p>
    <w:p>
      <w:pPr>
        <w:jc w:val="center"/>
        <w:rPr>
          <w:b w:val="0"/>
        </w:rPr>
      </w:pPr>
      <w:r>
        <w:rPr>
          <w:b w:val="0"/>
        </w:rPr>
        <w:t>- - - - - - - - - -</w:t>
      </w:r>
    </w:p>
    <w:p>
      <w:pPr>
        <w:rPr>
          <w:b w:val="0"/>
        </w:rPr>
      </w:pPr>
    </w:p>
    <w:p>
      <w:pPr>
        <w:rPr>
          <w:b w:val="0"/>
        </w:rPr>
      </w:pPr>
    </w:p>
    <w:p>
      <w:pPr>
        <w:jc w:val="center"/>
      </w:pPr>
      <w:r>
        <w:t>PARTIDA 08</w:t>
      </w:r>
    </w:p>
    <w:p>
      <w:pPr>
        <w:jc w:val="center"/>
      </w:pPr>
      <w:r>
        <w:t>MINISTERIO DE HACIENDA</w:t>
      </w:r>
    </w:p>
    <w:p>
      <w:pPr>
        <w:rPr>
          <w:b w:val="0"/>
        </w:rPr>
      </w:pPr>
    </w:p>
    <w:p>
      <w:pPr>
        <w:rPr>
          <w:b w:val="0"/>
        </w:rPr>
      </w:pPr>
      <w:r>
        <w:rPr>
          <w:b w:val="0"/>
        </w:rPr>
        <w:tab/>
        <w:t>Vuestra Subcomisión se abocó al estudio de la Partida correspondiente al Ministerio de Hacienda, en sesiones celebradas los días 5 de octubre y 2 de noviembre de 2016.</w:t>
      </w:r>
    </w:p>
    <w:p>
      <w:pPr>
        <w:rPr>
          <w:b w:val="0"/>
        </w:rPr>
      </w:pPr>
    </w:p>
    <w:p>
      <w:pPr>
        <w:rPr>
          <w:b w:val="0"/>
        </w:rPr>
      </w:pPr>
      <w:r>
        <w:rPr>
          <w:b w:val="0"/>
        </w:rPr>
        <w:tab/>
        <w:t>Se previene que en cada capítulo de esta Partida, para que las cifras resulten comparables, se señalarán las cantidades propuestas como límite del gasto para el año 2017 y las que fueron aprobadas para 2016 (estas cifras expresan el presupuesto inicial, más reajuste y leyes especiales con efecto en dicho presupuesto), según antecedentes aportados por la Dirección de Presupuestos del Ministerio de Hacienda.</w:t>
      </w:r>
    </w:p>
    <w:p>
      <w:pPr>
        <w:rPr>
          <w:b w:val="0"/>
        </w:rPr>
      </w:pPr>
    </w:p>
    <w:p>
      <w:pPr>
        <w:jc w:val="center"/>
        <w:rPr>
          <w:b w:val="0"/>
        </w:rPr>
      </w:pPr>
      <w:r>
        <w:rPr>
          <w:b w:val="0"/>
        </w:rPr>
        <w:t>- - - - - - - - -</w:t>
      </w:r>
    </w:p>
    <w:p/>
    <w:p>
      <w:pPr>
        <w:rPr>
          <w:b w:val="0"/>
        </w:rPr>
      </w:pPr>
    </w:p>
    <w:p>
      <w:pPr>
        <w:rPr>
          <w:b w:val="0"/>
        </w:rPr>
      </w:pPr>
      <w:r>
        <w:rPr>
          <w:b w:val="0"/>
        </w:rPr>
        <w:tab/>
        <w:t xml:space="preserve">Esta Partida consulta un presupuesto de ingresos y de gastos por un total bruto de </w:t>
      </w:r>
      <w:r>
        <w:t>$ 493.928.374</w:t>
      </w:r>
      <w:r>
        <w:rPr>
          <w:b w:val="0"/>
        </w:rPr>
        <w:t xml:space="preserve"> miles en moneda nacional.</w:t>
      </w:r>
    </w:p>
    <w:p>
      <w:pPr>
        <w:rPr>
          <w:b w:val="0"/>
        </w:rPr>
      </w:pPr>
    </w:p>
    <w:p>
      <w:pPr>
        <w:rPr>
          <w:rFonts w:eastAsia="Times New Roman"/>
          <w:b w:val="0"/>
          <w:lang w:val="es-ES_tradnl" w:eastAsia="es-ES"/>
        </w:rPr>
      </w:pPr>
      <w:r>
        <w:rPr>
          <w:rFonts w:eastAsia="Times New Roman"/>
          <w:b w:val="0"/>
          <w:lang w:val="es-ES_tradnl" w:eastAsia="es-ES"/>
        </w:rPr>
        <w:tab/>
      </w:r>
      <w:r>
        <w:rPr>
          <w:rFonts w:eastAsia="Times New Roman"/>
          <w:bCs/>
          <w:lang w:val="es-ES_tradnl" w:eastAsia="es-ES"/>
        </w:rPr>
        <w:t>El Subsecretario de Hacienda, señor Alejandro Micco</w:t>
      </w:r>
      <w:r>
        <w:rPr>
          <w:rFonts w:eastAsia="Times New Roman"/>
          <w:b w:val="0"/>
          <w:lang w:val="es-ES_tradnl" w:eastAsia="es-ES"/>
        </w:rPr>
        <w:t>, inició su presentación señalando que la misión del Ministerio de Hacienda es gestionar eficientemente los recursos públicos a través de un Estado moderno al servicio de la ciudadanía, generando condiciones de estabilidad, transparencia y competitividad en una economía integrada internacionalmente que promuevan un crecimiento sustentable e inclusivo.</w:t>
      </w:r>
    </w:p>
    <w:p>
      <w:pPr>
        <w:rPr>
          <w:rFonts w:eastAsia="Times New Roman"/>
          <w:b w:val="0"/>
          <w:lang w:val="es-ES_tradnl" w:eastAsia="es-ES"/>
        </w:rPr>
      </w:pPr>
    </w:p>
    <w:p>
      <w:pPr>
        <w:rPr>
          <w:rFonts w:eastAsia="Times New Roman"/>
          <w:b w:val="0"/>
          <w:lang w:val="es-ES_tradnl" w:eastAsia="es-ES"/>
        </w:rPr>
      </w:pPr>
    </w:p>
    <w:p>
      <w:pPr>
        <w:rPr>
          <w:rFonts w:eastAsia="Times New Roman"/>
          <w:b w:val="0"/>
          <w:lang w:val="es-ES_tradnl" w:eastAsia="es-ES"/>
        </w:rPr>
      </w:pPr>
    </w:p>
    <w:p>
      <w:pPr>
        <w:rPr>
          <w:rFonts w:eastAsia="Times New Roman"/>
          <w:b w:val="0"/>
          <w:lang w:val="es-ES_tradnl" w:eastAsia="es-ES"/>
        </w:rPr>
      </w:pPr>
    </w:p>
    <w:p>
      <w:pPr>
        <w:rPr>
          <w:rFonts w:eastAsia="Times New Roman"/>
          <w:bCs/>
          <w:lang w:val="es-ES_tradnl" w:eastAsia="es-ES"/>
        </w:rPr>
      </w:pPr>
      <w:r>
        <w:rPr>
          <w:rFonts w:eastAsia="Times New Roman"/>
          <w:b w:val="0"/>
          <w:lang w:val="es-ES_tradnl" w:eastAsia="es-ES"/>
        </w:rPr>
        <w:tab/>
        <w:t>Posteriormente, expresó cuáles son los lineamientos estratégicos de la mencionada Cartera de Estado:</w:t>
      </w:r>
    </w:p>
    <w:p>
      <w:pPr>
        <w:rPr>
          <w:rFonts w:eastAsia="Times New Roman"/>
          <w:bCs/>
          <w:lang w:val="es-ES_tradnl" w:eastAsia="es-ES"/>
        </w:rPr>
      </w:pPr>
    </w:p>
    <w:p>
      <w:pPr>
        <w:rPr>
          <w:rFonts w:eastAsia="Times New Roman"/>
          <w:bCs/>
          <w:lang w:val="es-ES_tradnl" w:eastAsia="es-ES"/>
        </w:rPr>
      </w:pPr>
    </w:p>
    <w:p>
      <w:pPr>
        <w:rPr>
          <w:rFonts w:eastAsia="Times New Roman"/>
          <w:bCs/>
          <w:lang w:val="es-ES_tradnl" w:eastAsia="es-ES"/>
        </w:rPr>
      </w:pPr>
      <w:r>
        <w:rPr>
          <w:rFonts w:eastAsia="Times New Roman"/>
          <w:b w:val="0"/>
          <w:lang w:val="es-ES_tradnl" w:eastAsia="es-ES"/>
        </w:rPr>
        <w:tab/>
        <w:t>1. Aumentar de forma eficiente la recaudación pública en un marco de equidad tributaria y administrar responsablemente la política fiscal.</w:t>
      </w:r>
    </w:p>
    <w:p>
      <w:pPr>
        <w:rPr>
          <w:rFonts w:eastAsia="Times New Roman"/>
          <w:bCs/>
          <w:lang w:val="es-ES_tradnl" w:eastAsia="es-ES"/>
        </w:rPr>
      </w:pPr>
    </w:p>
    <w:p>
      <w:pPr>
        <w:rPr>
          <w:rFonts w:eastAsia="Times New Roman"/>
          <w:b w:val="0"/>
          <w:lang w:val="es-ES_tradnl" w:eastAsia="es-ES"/>
        </w:rPr>
      </w:pPr>
    </w:p>
    <w:p>
      <w:pPr>
        <w:rPr>
          <w:rFonts w:eastAsia="Times New Roman"/>
          <w:bCs/>
          <w:lang w:val="es-ES_tradnl" w:eastAsia="es-ES"/>
        </w:rPr>
      </w:pPr>
      <w:r>
        <w:rPr>
          <w:rFonts w:eastAsia="Times New Roman"/>
          <w:b w:val="0"/>
          <w:lang w:val="es-ES_tradnl" w:eastAsia="es-ES"/>
        </w:rPr>
        <w:tab/>
        <w:t>2. Diseñar y apoyar iniciativas que garanticen un crecimiento sustentable e inclusivo.</w:t>
      </w:r>
    </w:p>
    <w:p>
      <w:pPr>
        <w:rPr>
          <w:rFonts w:eastAsia="Times New Roman"/>
          <w:bCs/>
          <w:lang w:val="es-ES_tradnl" w:eastAsia="es-ES"/>
        </w:rPr>
      </w:pPr>
    </w:p>
    <w:p>
      <w:pPr>
        <w:rPr>
          <w:rFonts w:eastAsia="Times New Roman"/>
          <w:b w:val="0"/>
          <w:lang w:val="es-ES_tradnl" w:eastAsia="es-ES"/>
        </w:rPr>
      </w:pPr>
    </w:p>
    <w:p>
      <w:pPr>
        <w:rPr>
          <w:rFonts w:eastAsia="Times New Roman"/>
          <w:bCs/>
          <w:lang w:val="es-ES_tradnl" w:eastAsia="es-ES"/>
        </w:rPr>
      </w:pPr>
      <w:r>
        <w:rPr>
          <w:rFonts w:eastAsia="Times New Roman"/>
          <w:b w:val="0"/>
          <w:lang w:val="es-ES_tradnl" w:eastAsia="es-ES"/>
        </w:rPr>
        <w:tab/>
        <w:t>3. Participar activamente del proceso de modernización del Estado velando por entregar servicios de calidad a la ciudadanía.</w:t>
      </w:r>
    </w:p>
    <w:p>
      <w:pPr>
        <w:rPr>
          <w:rFonts w:eastAsia="Times New Roman"/>
          <w:bCs/>
          <w:lang w:val="es-ES_tradnl" w:eastAsia="es-ES"/>
        </w:rPr>
      </w:pPr>
    </w:p>
    <w:p>
      <w:pPr>
        <w:rPr>
          <w:rFonts w:eastAsia="Times New Roman"/>
          <w:bCs/>
          <w:lang w:val="es-ES_tradnl" w:eastAsia="es-ES"/>
        </w:rPr>
      </w:pPr>
    </w:p>
    <w:p>
      <w:pPr>
        <w:rPr>
          <w:rFonts w:eastAsia="Times New Roman"/>
          <w:b w:val="0"/>
          <w:lang w:val="es-ES_tradnl" w:eastAsia="es-ES"/>
        </w:rPr>
      </w:pPr>
      <w:r>
        <w:rPr>
          <w:rFonts w:eastAsia="Times New Roman"/>
          <w:b w:val="0"/>
          <w:lang w:val="es-ES_tradnl" w:eastAsia="es-ES"/>
        </w:rPr>
        <w:tab/>
        <w:t>4. Estimular la integración económica internacional.</w:t>
      </w:r>
    </w:p>
    <w:p>
      <w:pPr>
        <w:rPr>
          <w:rFonts w:eastAsia="Times New Roman"/>
          <w:b w:val="0"/>
          <w:lang w:val="es-ES_tradnl" w:eastAsia="es-ES"/>
        </w:rPr>
      </w:pPr>
    </w:p>
    <w:p>
      <w:pPr>
        <w:rPr>
          <w:rFonts w:eastAsia="Times New Roman"/>
          <w:b w:val="0"/>
          <w:lang w:val="es-ES_tradnl" w:eastAsia="es-ES"/>
        </w:rPr>
      </w:pPr>
    </w:p>
    <w:p>
      <w:pPr>
        <w:rPr>
          <w:rFonts w:eastAsia="Times New Roman"/>
          <w:b w:val="0"/>
          <w:lang w:val="es-ES_tradnl" w:eastAsia="es-ES"/>
        </w:rPr>
      </w:pPr>
      <w:r>
        <w:rPr>
          <w:rFonts w:eastAsia="Times New Roman"/>
          <w:b w:val="0"/>
          <w:lang w:val="es-ES_tradnl" w:eastAsia="es-ES"/>
        </w:rPr>
        <w:tab/>
        <w:t>Por otra parte, destacó que el Ministerio de Hacienda fue la primera Secretaría de Estado en cumplir con el compromiso consistente en que los Servicios bajo su dependencia o relación contasen con Códigos de Ética, los que fueron entregados por estos últimos al mencionado Ministerio el pasado 7 de septiembre. Lo anterior, agregó, en el contexto de modernización del Estado y la prioridad de avanzar en materias concernientes a probidad y transparencia.</w:t>
      </w:r>
    </w:p>
    <w:p>
      <w:pPr>
        <w:rPr>
          <w:rFonts w:eastAsia="Times New Roman"/>
          <w:b w:val="0"/>
          <w:lang w:val="es-ES_tradnl" w:eastAsia="es-ES"/>
        </w:rPr>
      </w:pPr>
    </w:p>
    <w:p>
      <w:pPr>
        <w:rPr>
          <w:rFonts w:eastAsia="Times New Roman"/>
          <w:b w:val="0"/>
          <w:lang w:val="es-ES_tradnl" w:eastAsia="es-ES"/>
        </w:rPr>
      </w:pPr>
    </w:p>
    <w:p>
      <w:pPr>
        <w:rPr>
          <w:rFonts w:eastAsia="Times New Roman"/>
          <w:b w:val="0"/>
          <w:lang w:val="es-ES_tradnl" w:eastAsia="es-ES"/>
        </w:rPr>
      </w:pPr>
      <w:r>
        <w:rPr>
          <w:rFonts w:eastAsia="Times New Roman"/>
          <w:b w:val="0"/>
          <w:lang w:val="es-ES_tradnl" w:eastAsia="es-ES"/>
        </w:rPr>
        <w:tab/>
        <w:t>Dicho proceso, resaltó, se efectuó con la participación de funcionarios de diversos niveles, a fin de consensuar los estándares éticos a los cuales se sujetarían las actuaciones de cada uno de los organismos.</w:t>
      </w:r>
    </w:p>
    <w:p>
      <w:pPr>
        <w:rPr>
          <w:rFonts w:eastAsia="Times New Roman"/>
          <w:b w:val="0"/>
          <w:lang w:val="es-ES_tradnl" w:eastAsia="es-ES"/>
        </w:rPr>
      </w:pPr>
    </w:p>
    <w:p>
      <w:pPr>
        <w:rPr>
          <w:rFonts w:eastAsia="Times New Roman"/>
          <w:b w:val="0"/>
          <w:lang w:val="es-ES_tradnl" w:eastAsia="es-ES"/>
        </w:rPr>
      </w:pPr>
    </w:p>
    <w:p>
      <w:pPr>
        <w:rPr>
          <w:rFonts w:eastAsia="Times New Roman"/>
          <w:bCs/>
          <w:lang w:val="es-ES_tradnl" w:eastAsia="es-ES"/>
        </w:rPr>
      </w:pPr>
      <w:r>
        <w:rPr>
          <w:rFonts w:eastAsia="Times New Roman"/>
          <w:b w:val="0"/>
          <w:lang w:val="es-ES_tradnl" w:eastAsia="es-ES"/>
        </w:rPr>
        <w:tab/>
        <w:t>Asimismo, destacó la creación de Manuales de Prevención de Lavado de Activos, Delitos Funcionarios y Financiamientos del Terrorismo, cada uno de los cuales fueron enviados por los Servicios el pasado 30 de junio.</w:t>
      </w:r>
    </w:p>
    <w:p>
      <w:pPr>
        <w:rPr>
          <w:rFonts w:eastAsia="Times New Roman"/>
          <w:b w:val="0"/>
          <w:lang w:val="es-ES_tradnl" w:eastAsia="es-ES"/>
        </w:rPr>
      </w:pPr>
    </w:p>
    <w:p>
      <w:pPr>
        <w:jc w:val="center"/>
        <w:rPr>
          <w:rFonts w:eastAsia="Times New Roman"/>
          <w:b w:val="0"/>
          <w:lang w:val="es-ES_tradnl" w:eastAsia="es-ES"/>
        </w:rPr>
      </w:pPr>
      <w:r>
        <w:rPr>
          <w:rFonts w:eastAsia="Times New Roman"/>
          <w:b w:val="0"/>
          <w:lang w:eastAsia="es-ES"/>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i1025" type="#_x0000_t75" style="width:280.55pt;height:152.95pt;visibility:visible">
            <v:imagedata r:id="rId8" o:title=""/>
          </v:shape>
        </w:pict>
      </w:r>
    </w:p>
    <w:p>
      <w:pPr>
        <w:rPr>
          <w:rFonts w:eastAsia="Times New Roman"/>
          <w:b w:val="0"/>
          <w:lang w:val="es-ES_tradnl" w:eastAsia="es-ES"/>
        </w:rPr>
      </w:pPr>
    </w:p>
    <w:p>
      <w:pPr>
        <w:rPr>
          <w:rFonts w:eastAsia="Times New Roman"/>
          <w:b w:val="0"/>
          <w:lang w:val="es-ES_tradnl" w:eastAsia="es-ES"/>
        </w:rPr>
      </w:pPr>
      <w:r>
        <w:rPr>
          <w:rFonts w:eastAsia="Times New Roman"/>
          <w:b w:val="0"/>
          <w:lang w:val="es-ES_tradnl" w:eastAsia="es-ES"/>
        </w:rPr>
        <w:tab/>
        <w:t>En seguida, indicó que desde el Ministerio de Hacienda se han desplegado esfuerzos para efectuar con mayor efectividad la coordinación con los diferentes Servicios, a fin de contar con economías de escala en dichos procesos.</w:t>
      </w:r>
    </w:p>
    <w:p>
      <w:pPr>
        <w:rPr>
          <w:rFonts w:eastAsia="Times New Roman"/>
          <w:b w:val="0"/>
          <w:lang w:val="es-ES_tradnl" w:eastAsia="es-ES"/>
        </w:rPr>
      </w:pPr>
    </w:p>
    <w:p>
      <w:pPr>
        <w:rPr>
          <w:rFonts w:eastAsia="Times New Roman"/>
          <w:b w:val="0"/>
          <w:lang w:val="es-ES_tradnl" w:eastAsia="es-ES"/>
        </w:rPr>
      </w:pPr>
      <w:r>
        <w:rPr>
          <w:rFonts w:eastAsia="Times New Roman"/>
          <w:b w:val="0"/>
          <w:lang w:val="es-ES_tradnl" w:eastAsia="es-ES"/>
        </w:rPr>
        <w:tab/>
        <w:t>En esa línea, agregó, tales esfuerzos tienen por finalidad asesorar a la Subsecretaría de Hacienda en el seguimiento de la coordinación de tales Servicios, dando importancia en el fortalecimiento de sus capacidades internas de planificación y gestión estratégica y apoyo a la Alta Dirección de dichos organismos.</w:t>
      </w:r>
    </w:p>
    <w:p>
      <w:pPr>
        <w:rPr>
          <w:rFonts w:eastAsia="Times New Roman"/>
          <w:b w:val="0"/>
          <w:lang w:val="es-ES_tradnl" w:eastAsia="es-ES"/>
        </w:rPr>
      </w:pPr>
    </w:p>
    <w:p>
      <w:pPr>
        <w:rPr>
          <w:rFonts w:eastAsia="Times New Roman"/>
          <w:b w:val="0"/>
          <w:lang w:val="es-ES_tradnl" w:eastAsia="es-ES"/>
        </w:rPr>
      </w:pPr>
      <w:r>
        <w:rPr>
          <w:rFonts w:eastAsia="Times New Roman"/>
          <w:b w:val="0"/>
          <w:lang w:val="es-ES_tradnl" w:eastAsia="es-ES"/>
        </w:rPr>
        <w:tab/>
        <w:t>De ese modo, describió algunos de los planes efectuados en dicho ámbito a través de la lámina que a continuación se indica:</w:t>
      </w:r>
    </w:p>
    <w:p>
      <w:pPr>
        <w:rPr>
          <w:rFonts w:eastAsia="Times New Roman"/>
          <w:b w:val="0"/>
          <w:lang w:val="es-ES_tradnl" w:eastAsia="es-ES"/>
        </w:rPr>
      </w:pPr>
    </w:p>
    <w:tbl>
      <w:tblPr>
        <w:tblW w:w="8010" w:type="dxa"/>
        <w:jc w:val="center"/>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1774"/>
        <w:gridCol w:w="6236"/>
      </w:tblGrid>
      <w:tr>
        <w:tblPrEx>
          <w:tblCellMar>
            <w:top w:w="0" w:type="dxa"/>
            <w:left w:w="0" w:type="dxa"/>
            <w:bottom w:w="0" w:type="dxa"/>
            <w:right w:w="0" w:type="dxa"/>
          </w:tblCellMar>
        </w:tblPrEx>
        <w:trPr>
          <w:trHeight w:val="520"/>
          <w:jc w:val="center"/>
        </w:trPr>
        <w:tc>
          <w:tcPr>
            <w:tcW w:w="1774" w:type="dxa"/>
            <w:tcBorders>
              <w:top w:val="single" w:sz="8" w:space="0" w:color="FFFFFF"/>
              <w:left w:val="single" w:sz="8" w:space="0" w:color="FFFFFF"/>
              <w:bottom w:val="single" w:sz="24" w:space="0" w:color="FFFFFF"/>
              <w:right w:val="single" w:sz="8" w:space="0" w:color="FFFFFF"/>
            </w:tcBorders>
            <w:shd w:val="clear" w:color="auto" w:fill="4F81BD"/>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Cs/>
                <w:sz w:val="18"/>
                <w:szCs w:val="18"/>
                <w:lang w:val="es-ES_tradnl" w:eastAsia="es-ES"/>
              </w:rPr>
              <w:t>Mesa de Coordinación</w:t>
            </w:r>
          </w:p>
        </w:tc>
        <w:tc>
          <w:tcPr>
            <w:tcW w:w="6236" w:type="dxa"/>
            <w:tcBorders>
              <w:top w:val="single" w:sz="8" w:space="0" w:color="FFFFFF"/>
              <w:left w:val="single" w:sz="8" w:space="0" w:color="FFFFFF"/>
              <w:bottom w:val="single" w:sz="24" w:space="0" w:color="FFFFFF"/>
              <w:right w:val="single" w:sz="8" w:space="0" w:color="FFFFFF"/>
            </w:tcBorders>
            <w:shd w:val="clear" w:color="auto" w:fill="4F81BD"/>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Cs/>
                <w:sz w:val="18"/>
                <w:szCs w:val="18"/>
                <w:lang w:val="es-ES_tradnl" w:eastAsia="es-ES"/>
              </w:rPr>
              <w:t>Resultados</w:t>
            </w:r>
          </w:p>
        </w:tc>
      </w:tr>
      <w:tr>
        <w:tblPrEx>
          <w:tblCellMar>
            <w:top w:w="0" w:type="dxa"/>
            <w:left w:w="0" w:type="dxa"/>
            <w:bottom w:w="0" w:type="dxa"/>
            <w:right w:w="0" w:type="dxa"/>
          </w:tblCellMar>
        </w:tblPrEx>
        <w:trPr>
          <w:trHeight w:val="1000"/>
          <w:jc w:val="center"/>
        </w:trPr>
        <w:tc>
          <w:tcPr>
            <w:tcW w:w="1774" w:type="dxa"/>
            <w:tcBorders>
              <w:top w:val="single" w:sz="24" w:space="0" w:color="FFFFFF"/>
              <w:left w:val="single" w:sz="8" w:space="0" w:color="FFFFFF"/>
              <w:bottom w:val="single" w:sz="8" w:space="0" w:color="FFFFFF"/>
              <w:right w:val="single" w:sz="8" w:space="0" w:color="FFFFFF"/>
            </w:tcBorders>
            <w:shd w:val="clear" w:color="auto" w:fill="D0D8E8"/>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Cs/>
                <w:sz w:val="18"/>
                <w:szCs w:val="18"/>
                <w:lang w:val="es-ES_tradnl" w:eastAsia="es-ES"/>
              </w:rPr>
              <w:t>Compras</w:t>
            </w:r>
          </w:p>
        </w:tc>
        <w:tc>
          <w:tcPr>
            <w:tcW w:w="6236" w:type="dxa"/>
            <w:tcBorders>
              <w:top w:val="single" w:sz="24" w:space="0" w:color="FFFFFF"/>
              <w:left w:val="single" w:sz="8" w:space="0" w:color="FFFFFF"/>
              <w:bottom w:val="single" w:sz="8" w:space="0" w:color="FFFFFF"/>
              <w:right w:val="single" w:sz="8" w:space="0" w:color="FFFFFF"/>
            </w:tcBorders>
            <w:shd w:val="clear" w:color="auto" w:fill="D0D8E8"/>
            <w:tcMar>
              <w:top w:w="80" w:type="dxa"/>
              <w:left w:w="80" w:type="dxa"/>
              <w:bottom w:w="80" w:type="dxa"/>
              <w:right w:w="80" w:type="dxa"/>
            </w:tcMar>
          </w:tcPr>
          <w:p>
            <w:pPr>
              <w:rPr>
                <w:rFonts w:eastAsia="Times New Roman"/>
                <w:b w:val="0"/>
                <w:sz w:val="18"/>
                <w:szCs w:val="18"/>
                <w:lang w:val="es-ES_tradnl" w:eastAsia="es-ES"/>
              </w:rPr>
            </w:pPr>
            <w:r>
              <w:rPr>
                <w:rFonts w:eastAsia="Times New Roman"/>
                <w:b w:val="0"/>
                <w:sz w:val="18"/>
                <w:szCs w:val="18"/>
                <w:lang w:val="es-ES_tradnl" w:eastAsia="es-ES"/>
              </w:rPr>
              <w:t>Fortalecimiento e instalación del Plan Anual de Compras en los Servicios del Sector, con el fin de ser una herramienta de utilidad para la gestión y contribuir a un uso eficiente de los recursos.</w:t>
            </w:r>
          </w:p>
        </w:tc>
      </w:tr>
      <w:tr>
        <w:tblPrEx>
          <w:tblCellMar>
            <w:top w:w="0" w:type="dxa"/>
            <w:left w:w="0" w:type="dxa"/>
            <w:bottom w:w="0" w:type="dxa"/>
            <w:right w:w="0" w:type="dxa"/>
          </w:tblCellMar>
        </w:tblPrEx>
        <w:trPr>
          <w:trHeight w:val="740"/>
          <w:jc w:val="center"/>
        </w:trPr>
        <w:tc>
          <w:tcPr>
            <w:tcW w:w="1774"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Cs/>
                <w:sz w:val="18"/>
                <w:szCs w:val="18"/>
                <w:lang w:val="es-ES_tradnl" w:eastAsia="es-ES"/>
              </w:rPr>
              <w:t>TIC</w:t>
            </w:r>
          </w:p>
        </w:tc>
        <w:tc>
          <w:tcPr>
            <w:tcW w:w="6236"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tcPr>
          <w:p>
            <w:pPr>
              <w:rPr>
                <w:rFonts w:eastAsia="Times New Roman"/>
                <w:b w:val="0"/>
                <w:sz w:val="18"/>
                <w:szCs w:val="18"/>
                <w:lang w:val="es-ES_tradnl" w:eastAsia="es-ES"/>
              </w:rPr>
            </w:pPr>
            <w:r>
              <w:rPr>
                <w:rFonts w:eastAsia="Times New Roman"/>
                <w:b w:val="0"/>
                <w:sz w:val="18"/>
                <w:szCs w:val="18"/>
                <w:lang w:val="es-ES_tradnl" w:eastAsia="es-ES"/>
              </w:rPr>
              <w:t xml:space="preserve">Realización de la primera compra conjunta- más de un Servicio- vía Convenio Marco en el Sector Público con un ahorro del 13%. </w:t>
            </w:r>
          </w:p>
        </w:tc>
      </w:tr>
      <w:tr>
        <w:tblPrEx>
          <w:tblCellMar>
            <w:top w:w="0" w:type="dxa"/>
            <w:left w:w="0" w:type="dxa"/>
            <w:bottom w:w="0" w:type="dxa"/>
            <w:right w:w="0" w:type="dxa"/>
          </w:tblCellMar>
        </w:tblPrEx>
        <w:trPr>
          <w:trHeight w:val="531"/>
          <w:jc w:val="center"/>
        </w:trPr>
        <w:tc>
          <w:tcPr>
            <w:tcW w:w="1774" w:type="dxa"/>
            <w:tcBorders>
              <w:top w:val="single" w:sz="8" w:space="0" w:color="FFFFFF"/>
              <w:left w:val="single" w:sz="8" w:space="0" w:color="FFFFFF"/>
              <w:bottom w:val="single" w:sz="8" w:space="0" w:color="FFFFFF"/>
              <w:right w:val="single" w:sz="8" w:space="0" w:color="FFFFFF"/>
            </w:tcBorders>
            <w:shd w:val="clear" w:color="auto" w:fill="D0D8E8"/>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Cs/>
                <w:sz w:val="18"/>
                <w:szCs w:val="18"/>
                <w:lang w:val="es-ES_tradnl" w:eastAsia="es-ES"/>
              </w:rPr>
              <w:t>Gestión y Productividad</w:t>
            </w:r>
          </w:p>
        </w:tc>
        <w:tc>
          <w:tcPr>
            <w:tcW w:w="6236" w:type="dxa"/>
            <w:tcBorders>
              <w:top w:val="single" w:sz="8" w:space="0" w:color="FFFFFF"/>
              <w:left w:val="single" w:sz="8" w:space="0" w:color="FFFFFF"/>
              <w:bottom w:val="single" w:sz="8" w:space="0" w:color="FFFFFF"/>
              <w:right w:val="single" w:sz="8" w:space="0" w:color="FFFFFF"/>
            </w:tcBorders>
            <w:shd w:val="clear" w:color="auto" w:fill="D0D8E8"/>
            <w:tcMar>
              <w:top w:w="80" w:type="dxa"/>
              <w:left w:w="80" w:type="dxa"/>
              <w:bottom w:w="80" w:type="dxa"/>
              <w:right w:w="80" w:type="dxa"/>
            </w:tcMar>
          </w:tcPr>
          <w:p>
            <w:pPr>
              <w:rPr>
                <w:rFonts w:eastAsia="Times New Roman"/>
                <w:b w:val="0"/>
                <w:sz w:val="18"/>
                <w:szCs w:val="18"/>
                <w:lang w:val="es-ES_tradnl" w:eastAsia="es-ES"/>
              </w:rPr>
            </w:pPr>
            <w:r>
              <w:rPr>
                <w:rFonts w:eastAsia="Times New Roman"/>
                <w:b w:val="0"/>
                <w:sz w:val="18"/>
                <w:szCs w:val="18"/>
                <w:lang w:val="es-ES_tradnl" w:eastAsia="es-ES"/>
              </w:rPr>
              <w:t>Levantamiento de principales problemáticas existentes en los procesos de Formulación y Evaluación del PMG.</w:t>
            </w:r>
          </w:p>
        </w:tc>
      </w:tr>
      <w:tr>
        <w:tblPrEx>
          <w:tblCellMar>
            <w:top w:w="0" w:type="dxa"/>
            <w:left w:w="0" w:type="dxa"/>
            <w:bottom w:w="0" w:type="dxa"/>
            <w:right w:w="0" w:type="dxa"/>
          </w:tblCellMar>
        </w:tblPrEx>
        <w:trPr>
          <w:trHeight w:val="531"/>
          <w:jc w:val="center"/>
        </w:trPr>
        <w:tc>
          <w:tcPr>
            <w:tcW w:w="1774"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Cs/>
                <w:sz w:val="18"/>
                <w:szCs w:val="18"/>
                <w:lang w:val="es-ES_tradnl" w:eastAsia="es-ES"/>
              </w:rPr>
              <w:t>Comunicaciones</w:t>
            </w:r>
          </w:p>
        </w:tc>
        <w:tc>
          <w:tcPr>
            <w:tcW w:w="6236"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tcPr>
          <w:p>
            <w:pPr>
              <w:rPr>
                <w:rFonts w:eastAsia="Times New Roman"/>
                <w:b w:val="0"/>
                <w:sz w:val="18"/>
                <w:szCs w:val="18"/>
                <w:lang w:val="es-ES_tradnl" w:eastAsia="es-ES"/>
              </w:rPr>
            </w:pPr>
            <w:r>
              <w:rPr>
                <w:rFonts w:eastAsia="Times New Roman"/>
                <w:b w:val="0"/>
                <w:sz w:val="18"/>
                <w:szCs w:val="18"/>
                <w:lang w:val="es-ES_tradnl" w:eastAsia="es-ES"/>
              </w:rPr>
              <w:t>Alineamiento de la agenta estratégica Ministerial y fomentar sinergias entre los distintos Servicios.</w:t>
            </w:r>
          </w:p>
        </w:tc>
      </w:tr>
      <w:tr>
        <w:tblPrEx>
          <w:tblCellMar>
            <w:top w:w="0" w:type="dxa"/>
            <w:left w:w="0" w:type="dxa"/>
            <w:bottom w:w="0" w:type="dxa"/>
            <w:right w:w="0" w:type="dxa"/>
          </w:tblCellMar>
        </w:tblPrEx>
        <w:trPr>
          <w:trHeight w:val="980"/>
          <w:jc w:val="center"/>
        </w:trPr>
        <w:tc>
          <w:tcPr>
            <w:tcW w:w="1774" w:type="dxa"/>
            <w:tcBorders>
              <w:top w:val="single" w:sz="8" w:space="0" w:color="FFFFFF"/>
              <w:left w:val="single" w:sz="8" w:space="0" w:color="FFFFFF"/>
              <w:bottom w:val="single" w:sz="8" w:space="0" w:color="FFFFFF"/>
              <w:right w:val="single" w:sz="8" w:space="0" w:color="FFFFFF"/>
            </w:tcBorders>
            <w:shd w:val="clear" w:color="auto" w:fill="D0D8E8"/>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Cs/>
                <w:sz w:val="18"/>
                <w:szCs w:val="18"/>
                <w:lang w:val="es-ES_tradnl" w:eastAsia="es-ES"/>
              </w:rPr>
              <w:t>Gestión de Personas</w:t>
            </w:r>
          </w:p>
        </w:tc>
        <w:tc>
          <w:tcPr>
            <w:tcW w:w="6236" w:type="dxa"/>
            <w:tcBorders>
              <w:top w:val="single" w:sz="8" w:space="0" w:color="FFFFFF"/>
              <w:left w:val="single" w:sz="8" w:space="0" w:color="FFFFFF"/>
              <w:bottom w:val="single" w:sz="8" w:space="0" w:color="FFFFFF"/>
              <w:right w:val="single" w:sz="8" w:space="0" w:color="FFFFFF"/>
            </w:tcBorders>
            <w:shd w:val="clear" w:color="auto" w:fill="D0D8E8"/>
            <w:tcMar>
              <w:top w:w="80" w:type="dxa"/>
              <w:left w:w="80" w:type="dxa"/>
              <w:bottom w:w="80" w:type="dxa"/>
              <w:right w:w="80" w:type="dxa"/>
            </w:tcMar>
          </w:tcPr>
          <w:p>
            <w:pPr>
              <w:rPr>
                <w:rFonts w:eastAsia="Times New Roman"/>
                <w:b w:val="0"/>
                <w:sz w:val="18"/>
                <w:szCs w:val="18"/>
                <w:lang w:val="es-ES_tradnl" w:eastAsia="es-ES"/>
              </w:rPr>
            </w:pPr>
            <w:r>
              <w:rPr>
                <w:rFonts w:eastAsia="Times New Roman"/>
                <w:b w:val="0"/>
                <w:sz w:val="18"/>
                <w:szCs w:val="18"/>
                <w:lang w:val="es-ES_tradnl" w:eastAsia="es-ES"/>
              </w:rPr>
              <w:t>Fortalecimiento en la implementación del Instructivo Presidencial de buenas prácticas laborales mediante la realización de talleres con buenas prácticas en las distintas materias.</w:t>
            </w:r>
          </w:p>
        </w:tc>
      </w:tr>
    </w:tbl>
    <w:p>
      <w:pPr>
        <w:rPr>
          <w:rFonts w:eastAsia="Times New Roman"/>
          <w:b w:val="0"/>
          <w:lang w:val="es-ES_tradnl" w:eastAsia="es-ES"/>
        </w:rPr>
      </w:pPr>
    </w:p>
    <w:p>
      <w:pPr>
        <w:rPr>
          <w:rFonts w:eastAsia="Times New Roman"/>
          <w:b w:val="0"/>
          <w:lang w:val="es-ES_tradnl" w:eastAsia="es-ES"/>
        </w:rPr>
      </w:pPr>
      <w:r>
        <w:rPr>
          <w:rFonts w:eastAsia="Times New Roman"/>
          <w:b w:val="0"/>
          <w:lang w:val="es-ES_tradnl" w:eastAsia="es-ES"/>
        </w:rPr>
        <w:tab/>
        <w:t>A su turno, describió la ejecución presupuestaria del Ministerio en comento a partir del gráfico que a continuación se presenta:</w:t>
      </w:r>
    </w:p>
    <w:p>
      <w:pPr>
        <w:rPr>
          <w:rFonts w:eastAsia="Times New Roman"/>
          <w:b w:val="0"/>
          <w:lang w:val="es-ES_tradnl" w:eastAsia="es-ES"/>
        </w:rPr>
      </w:pPr>
    </w:p>
    <w:p>
      <w:pPr>
        <w:rPr>
          <w:rFonts w:eastAsia="Times New Roman"/>
          <w:b w:val="0"/>
          <w:lang w:val="es-ES_tradnl" w:eastAsia="es-ES"/>
        </w:rPr>
      </w:pPr>
      <w:r>
        <w:rPr>
          <w:rFonts w:eastAsia="Times New Roman"/>
          <w:b w:val="0"/>
          <w:lang w:eastAsia="es-ES"/>
        </w:rPr>
        <w:pict>
          <v:shape id="_x0000_i1026" type="#_x0000_t75" style="width:460.3pt;height:302.9pt;visibility:visible">
            <v:imagedata r:id="rId9" o:title=""/>
          </v:shape>
        </w:pict>
      </w:r>
    </w:p>
    <w:p>
      <w:pPr>
        <w:rPr>
          <w:rFonts w:eastAsia="Times New Roman"/>
          <w:b w:val="0"/>
          <w:lang w:val="es-ES_tradnl" w:eastAsia="es-ES"/>
        </w:rPr>
      </w:pPr>
    </w:p>
    <w:p>
      <w:pPr>
        <w:rPr>
          <w:rFonts w:eastAsia="Times New Roman"/>
          <w:b w:val="0"/>
          <w:lang w:val="es-ES_tradnl" w:eastAsia="es-ES"/>
        </w:rPr>
      </w:pPr>
      <w:r>
        <w:rPr>
          <w:rFonts w:eastAsia="Times New Roman"/>
          <w:b w:val="0"/>
          <w:lang w:val="es-ES_tradnl" w:eastAsia="es-ES"/>
        </w:rPr>
        <w:tab/>
        <w:t>A este respecto, indicó que el porcentaje de ejecución de la Ley de Presupuestos al 31 de agosto del año en curso alcanza un 67,3%, cifra que asciende a un 65,8% considerando la ejecución de la ley vigente a esa fecha. Así, indicó que ello refleja una proyección lineal de lo ejecutado por los Servicios comprendidos en la Partida en comento.</w:t>
      </w:r>
    </w:p>
    <w:p>
      <w:pPr>
        <w:rPr>
          <w:rFonts w:eastAsia="Times New Roman"/>
          <w:b w:val="0"/>
          <w:lang w:val="es-ES_tradnl" w:eastAsia="es-ES"/>
        </w:rPr>
      </w:pPr>
    </w:p>
    <w:p>
      <w:pPr>
        <w:rPr>
          <w:rFonts w:eastAsia="Times New Roman"/>
          <w:b w:val="0"/>
          <w:lang w:val="es-ES_tradnl" w:eastAsia="es-ES"/>
        </w:rPr>
      </w:pPr>
      <w:r>
        <w:rPr>
          <w:rFonts w:eastAsia="Times New Roman"/>
          <w:b w:val="0"/>
          <w:lang w:val="es-ES_tradnl" w:eastAsia="es-ES"/>
        </w:rPr>
        <w:tab/>
      </w:r>
      <w:r>
        <w:rPr>
          <w:rFonts w:eastAsia="Times New Roman"/>
          <w:bCs/>
          <w:lang w:val="es-ES_tradnl" w:eastAsia="es-ES"/>
        </w:rPr>
        <w:t>El Presidente de la Subcomisión, Honorable Diputado señor De Mussy</w:t>
      </w:r>
      <w:r>
        <w:rPr>
          <w:rFonts w:eastAsia="Times New Roman"/>
          <w:b w:val="0"/>
          <w:lang w:val="es-ES_tradnl" w:eastAsia="es-ES"/>
        </w:rPr>
        <w:t>, consultó si la diferencia entre la segunda y la tercera columna del esquema se debe a reasignaciones presupuestarias.</w:t>
      </w:r>
    </w:p>
    <w:p>
      <w:pPr>
        <w:rPr>
          <w:rFonts w:eastAsia="Times New Roman"/>
          <w:b w:val="0"/>
          <w:lang w:val="es-ES_tradnl" w:eastAsia="es-ES"/>
        </w:rPr>
      </w:pPr>
    </w:p>
    <w:p>
      <w:pPr>
        <w:rPr>
          <w:rFonts w:eastAsia="Times New Roman"/>
          <w:b w:val="0"/>
          <w:lang w:val="es-ES_tradnl" w:eastAsia="es-ES"/>
        </w:rPr>
      </w:pPr>
      <w:r>
        <w:rPr>
          <w:rFonts w:eastAsia="Times New Roman"/>
          <w:b w:val="0"/>
          <w:lang w:val="es-ES_tradnl" w:eastAsia="es-ES"/>
        </w:rPr>
        <w:tab/>
      </w:r>
      <w:r>
        <w:rPr>
          <w:rFonts w:eastAsia="Times New Roman"/>
          <w:bCs/>
          <w:lang w:val="es-ES_tradnl" w:eastAsia="es-ES"/>
        </w:rPr>
        <w:t>El Subsecretario de Hacienda, señor Alejandro Micco</w:t>
      </w:r>
      <w:r>
        <w:rPr>
          <w:rFonts w:eastAsia="Times New Roman"/>
          <w:b w:val="0"/>
          <w:lang w:val="es-ES_tradnl" w:eastAsia="es-ES"/>
        </w:rPr>
        <w:t>, respondió afirmativamente.</w:t>
      </w:r>
    </w:p>
    <w:p>
      <w:pPr>
        <w:rPr>
          <w:rFonts w:eastAsia="Times New Roman"/>
          <w:b w:val="0"/>
          <w:lang w:val="es-ES_tradnl" w:eastAsia="es-ES"/>
        </w:rPr>
      </w:pPr>
    </w:p>
    <w:p>
      <w:pPr>
        <w:rPr>
          <w:rFonts w:eastAsia="Times New Roman"/>
          <w:b w:val="0"/>
          <w:lang w:val="es-ES_tradnl" w:eastAsia="es-ES"/>
        </w:rPr>
      </w:pPr>
      <w:r>
        <w:rPr>
          <w:rFonts w:eastAsia="Times New Roman"/>
          <w:b w:val="0"/>
          <w:lang w:val="es-ES_tradnl" w:eastAsia="es-ES"/>
        </w:rPr>
        <w:tab/>
        <w:t>Posteriormente, prosiguiendo con su exposición, indicó que en lo que atañe a gastos, el porcentaje de ejecución alcanza la cifra de un 65,3%, muy en línea, afirmó, con lo que va corrido del año.</w:t>
      </w:r>
    </w:p>
    <w:p>
      <w:pPr>
        <w:rPr>
          <w:rFonts w:eastAsia="Times New Roman"/>
          <w:b w:val="0"/>
          <w:lang w:val="es-ES_tradnl" w:eastAsia="es-ES"/>
        </w:rPr>
      </w:pPr>
    </w:p>
    <w:p>
      <w:pPr>
        <w:rPr>
          <w:rFonts w:eastAsia="Times New Roman"/>
          <w:b w:val="0"/>
          <w:lang w:val="es-ES_tradnl" w:eastAsia="es-ES"/>
        </w:rPr>
      </w:pPr>
      <w:r>
        <w:rPr>
          <w:rFonts w:eastAsia="Times New Roman"/>
          <w:b w:val="0"/>
          <w:lang w:val="es-ES_tradnl" w:eastAsia="es-ES"/>
        </w:rPr>
        <w:tab/>
        <w:t>Luego, realizó un contraste entre el presupuesto del presente año y el presupuesto para el año 2017 que se propone, lo anterior, a través del siguiente esquema:</w:t>
      </w:r>
    </w:p>
    <w:p>
      <w:pPr>
        <w:rPr>
          <w:rFonts w:eastAsia="Times New Roman"/>
          <w:b w:val="0"/>
          <w:lang w:val="es-ES_tradnl" w:eastAsia="es-ES"/>
        </w:rPr>
      </w:pPr>
    </w:p>
    <w:tbl>
      <w:tblPr>
        <w:tblW w:w="884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681"/>
        <w:gridCol w:w="3402"/>
        <w:gridCol w:w="1701"/>
        <w:gridCol w:w="1559"/>
        <w:gridCol w:w="1497"/>
      </w:tblGrid>
      <w:tr>
        <w:tblPrEx>
          <w:tblCellMar>
            <w:top w:w="0" w:type="dxa"/>
            <w:left w:w="0" w:type="dxa"/>
            <w:bottom w:w="0" w:type="dxa"/>
            <w:right w:w="0" w:type="dxa"/>
          </w:tblCellMar>
        </w:tblPrEx>
        <w:trPr>
          <w:trHeight w:val="20"/>
        </w:trPr>
        <w:tc>
          <w:tcPr>
            <w:tcW w:w="681" w:type="dxa"/>
            <w:tcBorders>
              <w:top w:val="single" w:sz="8" w:space="0" w:color="000000"/>
              <w:left w:val="single" w:sz="8" w:space="0" w:color="000000"/>
              <w:bottom w:val="nil"/>
              <w:right w:val="single" w:sz="4" w:space="0" w:color="000000"/>
            </w:tcBorders>
            <w:shd w:val="clear" w:color="auto" w:fill="auto"/>
            <w:tcMar>
              <w:top w:w="80" w:type="dxa"/>
              <w:left w:w="80" w:type="dxa"/>
              <w:bottom w:w="80" w:type="dxa"/>
              <w:right w:w="80" w:type="dxa"/>
            </w:tcMar>
            <w:vAlign w:val="bottom"/>
          </w:tcPr>
          <w:p>
            <w:pPr>
              <w:rPr>
                <w:rFonts w:eastAsia="Times New Roman"/>
                <w:b w:val="0"/>
                <w:sz w:val="16"/>
                <w:szCs w:val="16"/>
                <w:lang w:val="es-ES_tradnl" w:eastAsia="es-ES"/>
              </w:rPr>
            </w:pPr>
            <w:r>
              <w:rPr>
                <w:rFonts w:eastAsia="Times New Roman"/>
                <w:b w:val="0"/>
                <w:sz w:val="16"/>
                <w:szCs w:val="16"/>
                <w:lang w:val="es-ES_tradnl" w:eastAsia="es-ES"/>
              </w:rPr>
              <w:t> </w:t>
            </w:r>
          </w:p>
        </w:tc>
        <w:tc>
          <w:tcPr>
            <w:tcW w:w="3402" w:type="dxa"/>
            <w:tcBorders>
              <w:top w:val="single" w:sz="8"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bottom"/>
          </w:tcPr>
          <w:p>
            <w:pPr>
              <w:rPr>
                <w:rFonts w:eastAsia="Times New Roman"/>
                <w:b w:val="0"/>
                <w:sz w:val="16"/>
                <w:szCs w:val="16"/>
                <w:lang w:val="es-ES_tradnl" w:eastAsia="es-ES"/>
              </w:rPr>
            </w:pPr>
            <w:r>
              <w:rPr>
                <w:rFonts w:eastAsia="Times New Roman"/>
                <w:b w:val="0"/>
                <w:sz w:val="16"/>
                <w:szCs w:val="16"/>
                <w:lang w:val="es-ES_tradnl" w:eastAsia="es-ES"/>
              </w:rPr>
              <w:t> </w:t>
            </w:r>
          </w:p>
        </w:tc>
        <w:tc>
          <w:tcPr>
            <w:tcW w:w="1701" w:type="dxa"/>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pPr>
              <w:rPr>
                <w:rFonts w:eastAsia="Times New Roman"/>
                <w:b w:val="0"/>
                <w:sz w:val="16"/>
                <w:szCs w:val="16"/>
                <w:lang w:val="es-ES_tradnl" w:eastAsia="es-ES"/>
              </w:rPr>
            </w:pPr>
            <w:r>
              <w:rPr>
                <w:rFonts w:eastAsia="Times New Roman"/>
                <w:b w:val="0"/>
                <w:sz w:val="16"/>
                <w:szCs w:val="16"/>
                <w:lang w:val="es-ES_tradnl" w:eastAsia="es-ES"/>
              </w:rPr>
              <w:t>(5)</w:t>
            </w:r>
          </w:p>
        </w:tc>
        <w:tc>
          <w:tcPr>
            <w:tcW w:w="1559" w:type="dxa"/>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pPr>
              <w:rPr>
                <w:rFonts w:eastAsia="Times New Roman"/>
                <w:b w:val="0"/>
                <w:sz w:val="16"/>
                <w:szCs w:val="16"/>
                <w:lang w:val="es-ES_tradnl" w:eastAsia="es-ES"/>
              </w:rPr>
            </w:pPr>
            <w:r>
              <w:rPr>
                <w:rFonts w:eastAsia="Times New Roman"/>
                <w:b w:val="0"/>
                <w:sz w:val="16"/>
                <w:szCs w:val="16"/>
                <w:lang w:val="es-ES_tradnl" w:eastAsia="es-ES"/>
              </w:rPr>
              <w:t>(6)</w:t>
            </w:r>
          </w:p>
        </w:tc>
        <w:tc>
          <w:tcPr>
            <w:tcW w:w="1497" w:type="dxa"/>
            <w:tcBorders>
              <w:top w:val="single" w:sz="8"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pPr>
              <w:rPr>
                <w:rFonts w:eastAsia="Times New Roman"/>
                <w:b w:val="0"/>
                <w:sz w:val="16"/>
                <w:szCs w:val="16"/>
                <w:lang w:val="es-ES_tradnl" w:eastAsia="es-ES"/>
              </w:rPr>
            </w:pPr>
            <w:r>
              <w:rPr>
                <w:rFonts w:eastAsia="Times New Roman"/>
                <w:b w:val="0"/>
                <w:sz w:val="16"/>
                <w:szCs w:val="16"/>
                <w:lang w:val="es-ES_tradnl" w:eastAsia="es-ES"/>
              </w:rPr>
              <w:t>(7)</w:t>
            </w:r>
          </w:p>
        </w:tc>
      </w:tr>
      <w:tr>
        <w:tblPrEx>
          <w:tblCellMar>
            <w:top w:w="0" w:type="dxa"/>
            <w:left w:w="0" w:type="dxa"/>
            <w:bottom w:w="0" w:type="dxa"/>
            <w:right w:w="0" w:type="dxa"/>
          </w:tblCellMar>
        </w:tblPrEx>
        <w:trPr>
          <w:trHeight w:val="20"/>
        </w:trPr>
        <w:tc>
          <w:tcPr>
            <w:tcW w:w="681" w:type="dxa"/>
            <w:tcBorders>
              <w:top w:val="nil"/>
              <w:left w:val="single" w:sz="8" w:space="0" w:color="000000"/>
              <w:bottom w:val="nil"/>
              <w:right w:val="single" w:sz="4" w:space="0" w:color="000000"/>
            </w:tcBorders>
            <w:shd w:val="clear" w:color="auto" w:fill="auto"/>
            <w:tcMar>
              <w:top w:w="80" w:type="dxa"/>
              <w:left w:w="80" w:type="dxa"/>
              <w:bottom w:w="80" w:type="dxa"/>
              <w:right w:w="80" w:type="dxa"/>
            </w:tcMar>
            <w:vAlign w:val="bottom"/>
          </w:tcPr>
          <w:p>
            <w:pPr>
              <w:rPr>
                <w:rFonts w:eastAsia="Times New Roman"/>
                <w:b w:val="0"/>
                <w:sz w:val="16"/>
                <w:szCs w:val="16"/>
                <w:lang w:val="es-ES_tradnl" w:eastAsia="es-ES"/>
              </w:rPr>
            </w:pPr>
            <w:r>
              <w:rPr>
                <w:rFonts w:eastAsia="Times New Roman"/>
                <w:b w:val="0"/>
                <w:sz w:val="16"/>
                <w:szCs w:val="16"/>
                <w:lang w:val="es-ES_tradnl" w:eastAsia="es-ES"/>
              </w:rPr>
              <w:t>Sub-</w:t>
            </w:r>
          </w:p>
        </w:tc>
        <w:tc>
          <w:tcPr>
            <w:tcW w:w="3402"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bottom"/>
          </w:tcPr>
          <w:p>
            <w:pPr>
              <w:rPr>
                <w:rFonts w:eastAsia="Times New Roman"/>
                <w:b w:val="0"/>
                <w:sz w:val="16"/>
                <w:szCs w:val="16"/>
                <w:lang w:val="es-ES_tradnl" w:eastAsia="es-ES"/>
              </w:rPr>
            </w:pPr>
            <w:r>
              <w:rPr>
                <w:rFonts w:eastAsia="Times New Roman"/>
                <w:b w:val="0"/>
                <w:sz w:val="16"/>
                <w:szCs w:val="16"/>
                <w:lang w:val="es-ES_tradnl" w:eastAsia="es-ES"/>
              </w:rPr>
              <w:t> </w:t>
            </w:r>
          </w:p>
        </w:tc>
        <w:tc>
          <w:tcPr>
            <w:tcW w:w="1701"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pPr>
              <w:rPr>
                <w:rFonts w:eastAsia="Times New Roman"/>
                <w:b w:val="0"/>
                <w:sz w:val="16"/>
                <w:szCs w:val="16"/>
                <w:lang w:val="es-ES_tradnl" w:eastAsia="es-ES"/>
              </w:rPr>
            </w:pPr>
            <w:r>
              <w:rPr>
                <w:rFonts w:eastAsia="Times New Roman"/>
                <w:b w:val="0"/>
                <w:sz w:val="16"/>
                <w:szCs w:val="16"/>
                <w:lang w:val="es-ES_tradnl" w:eastAsia="es-ES"/>
              </w:rPr>
              <w:t>AÑO 2016</w:t>
            </w:r>
          </w:p>
        </w:tc>
        <w:tc>
          <w:tcPr>
            <w:tcW w:w="1559"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pPr>
              <w:rPr>
                <w:rFonts w:eastAsia="Times New Roman"/>
                <w:b w:val="0"/>
                <w:sz w:val="16"/>
                <w:szCs w:val="16"/>
                <w:lang w:val="es-ES_tradnl" w:eastAsia="es-ES"/>
              </w:rPr>
            </w:pPr>
            <w:r>
              <w:rPr>
                <w:rFonts w:eastAsia="Times New Roman"/>
                <w:b w:val="0"/>
                <w:sz w:val="16"/>
                <w:szCs w:val="16"/>
                <w:lang w:val="es-ES_tradnl" w:eastAsia="es-ES"/>
              </w:rPr>
              <w:t>AÑO 2017</w:t>
            </w:r>
          </w:p>
        </w:tc>
        <w:tc>
          <w:tcPr>
            <w:tcW w:w="1497" w:type="dxa"/>
            <w:tcBorders>
              <w:top w:val="single" w:sz="4" w:space="0" w:color="000000"/>
              <w:left w:val="single" w:sz="4" w:space="0" w:color="000000"/>
              <w:bottom w:val="nil"/>
              <w:right w:val="single" w:sz="8" w:space="0" w:color="000000"/>
            </w:tcBorders>
            <w:shd w:val="clear" w:color="auto" w:fill="auto"/>
            <w:tcMar>
              <w:top w:w="80" w:type="dxa"/>
              <w:left w:w="80" w:type="dxa"/>
              <w:bottom w:w="80" w:type="dxa"/>
              <w:right w:w="80" w:type="dxa"/>
            </w:tcMar>
            <w:vAlign w:val="center"/>
          </w:tcPr>
          <w:p>
            <w:pPr>
              <w:rPr>
                <w:rFonts w:eastAsia="Times New Roman"/>
                <w:b w:val="0"/>
                <w:sz w:val="16"/>
                <w:szCs w:val="16"/>
                <w:lang w:val="es-ES_tradnl" w:eastAsia="es-ES"/>
              </w:rPr>
            </w:pPr>
            <w:r>
              <w:rPr>
                <w:rFonts w:eastAsia="Times New Roman"/>
                <w:b w:val="0"/>
                <w:sz w:val="16"/>
                <w:szCs w:val="16"/>
                <w:lang w:val="es-ES_tradnl" w:eastAsia="es-ES"/>
              </w:rPr>
              <w:t> </w:t>
            </w:r>
          </w:p>
        </w:tc>
      </w:tr>
      <w:tr>
        <w:tblPrEx>
          <w:tblCellMar>
            <w:top w:w="0" w:type="dxa"/>
            <w:left w:w="0" w:type="dxa"/>
            <w:bottom w:w="0" w:type="dxa"/>
            <w:right w:w="0" w:type="dxa"/>
          </w:tblCellMar>
        </w:tblPrEx>
        <w:trPr>
          <w:trHeight w:val="20"/>
        </w:trPr>
        <w:tc>
          <w:tcPr>
            <w:tcW w:w="681" w:type="dxa"/>
            <w:tcBorders>
              <w:top w:val="nil"/>
              <w:left w:val="single" w:sz="8" w:space="0" w:color="000000"/>
              <w:bottom w:val="nil"/>
              <w:right w:val="single" w:sz="4" w:space="0" w:color="000000"/>
            </w:tcBorders>
            <w:shd w:val="clear" w:color="auto" w:fill="auto"/>
            <w:tcMar>
              <w:top w:w="80" w:type="dxa"/>
              <w:left w:w="80" w:type="dxa"/>
              <w:bottom w:w="80" w:type="dxa"/>
              <w:right w:w="80" w:type="dxa"/>
            </w:tcMar>
            <w:vAlign w:val="bottom"/>
          </w:tcPr>
          <w:p>
            <w:pPr>
              <w:rPr>
                <w:rFonts w:eastAsia="Times New Roman"/>
                <w:b w:val="0"/>
                <w:sz w:val="16"/>
                <w:szCs w:val="16"/>
                <w:lang w:val="es-ES_tradnl" w:eastAsia="es-ES"/>
              </w:rPr>
            </w:pPr>
            <w:r>
              <w:rPr>
                <w:rFonts w:eastAsia="Times New Roman"/>
                <w:b w:val="0"/>
                <w:sz w:val="16"/>
                <w:szCs w:val="16"/>
                <w:lang w:val="es-ES_tradnl" w:eastAsia="es-ES"/>
              </w:rPr>
              <w:t>Título</w:t>
            </w:r>
          </w:p>
        </w:tc>
        <w:tc>
          <w:tcPr>
            <w:tcW w:w="3402"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bottom"/>
          </w:tcPr>
          <w:p>
            <w:pPr>
              <w:rPr>
                <w:rFonts w:eastAsia="Times New Roman"/>
                <w:b w:val="0"/>
                <w:sz w:val="16"/>
                <w:szCs w:val="16"/>
                <w:lang w:val="es-ES_tradnl" w:eastAsia="es-ES"/>
              </w:rPr>
            </w:pPr>
            <w:r>
              <w:rPr>
                <w:rFonts w:eastAsia="Times New Roman"/>
                <w:b w:val="0"/>
                <w:sz w:val="16"/>
                <w:szCs w:val="16"/>
                <w:lang w:val="es-ES_tradnl" w:eastAsia="es-ES"/>
              </w:rPr>
              <w:t>CLASIFICACIÓN PRESUPUESTARIA</w:t>
            </w:r>
          </w:p>
        </w:tc>
        <w:tc>
          <w:tcPr>
            <w:tcW w:w="1701"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pPr>
              <w:rPr>
                <w:rFonts w:eastAsia="Times New Roman"/>
                <w:b w:val="0"/>
                <w:sz w:val="16"/>
                <w:szCs w:val="16"/>
                <w:lang w:val="es-ES_tradnl" w:eastAsia="es-ES"/>
              </w:rPr>
            </w:pPr>
            <w:r>
              <w:rPr>
                <w:rFonts w:eastAsia="Times New Roman"/>
                <w:b w:val="0"/>
                <w:sz w:val="16"/>
                <w:szCs w:val="16"/>
                <w:lang w:val="es-ES_tradnl" w:eastAsia="es-ES"/>
              </w:rPr>
              <w:t>LEY DE PPTOS</w:t>
            </w:r>
          </w:p>
        </w:tc>
        <w:tc>
          <w:tcPr>
            <w:tcW w:w="1559"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pPr>
              <w:rPr>
                <w:rFonts w:eastAsia="Times New Roman"/>
                <w:b w:val="0"/>
                <w:sz w:val="16"/>
                <w:szCs w:val="16"/>
                <w:lang w:val="es-ES_tradnl" w:eastAsia="es-ES"/>
              </w:rPr>
            </w:pPr>
            <w:r>
              <w:rPr>
                <w:rFonts w:eastAsia="Times New Roman"/>
                <w:b w:val="0"/>
                <w:sz w:val="16"/>
                <w:szCs w:val="16"/>
                <w:lang w:val="es-ES_tradnl" w:eastAsia="es-ES"/>
              </w:rPr>
              <w:t>PROYECTO DE</w:t>
            </w:r>
          </w:p>
        </w:tc>
        <w:tc>
          <w:tcPr>
            <w:tcW w:w="1497" w:type="dxa"/>
            <w:tcBorders>
              <w:top w:val="nil"/>
              <w:left w:val="single" w:sz="4" w:space="0" w:color="000000"/>
              <w:bottom w:val="nil"/>
              <w:right w:val="single" w:sz="8" w:space="0" w:color="000000"/>
            </w:tcBorders>
            <w:shd w:val="clear" w:color="auto" w:fill="auto"/>
            <w:tcMar>
              <w:top w:w="80" w:type="dxa"/>
              <w:left w:w="80" w:type="dxa"/>
              <w:bottom w:w="80" w:type="dxa"/>
              <w:right w:w="80" w:type="dxa"/>
            </w:tcMar>
            <w:vAlign w:val="center"/>
          </w:tcPr>
          <w:p>
            <w:pPr>
              <w:rPr>
                <w:rFonts w:eastAsia="Times New Roman"/>
                <w:b w:val="0"/>
                <w:sz w:val="16"/>
                <w:szCs w:val="16"/>
                <w:lang w:val="es-ES_tradnl" w:eastAsia="es-ES"/>
              </w:rPr>
            </w:pPr>
            <w:r>
              <w:rPr>
                <w:rFonts w:eastAsia="Times New Roman"/>
                <w:b w:val="0"/>
                <w:sz w:val="16"/>
                <w:szCs w:val="16"/>
                <w:lang w:val="es-ES_tradnl" w:eastAsia="es-ES"/>
              </w:rPr>
              <w:t>VARIACIÓN</w:t>
            </w:r>
          </w:p>
        </w:tc>
      </w:tr>
      <w:tr>
        <w:tblPrEx>
          <w:tblCellMar>
            <w:top w:w="0" w:type="dxa"/>
            <w:left w:w="0" w:type="dxa"/>
            <w:bottom w:w="0" w:type="dxa"/>
            <w:right w:w="0" w:type="dxa"/>
          </w:tblCellMar>
        </w:tblPrEx>
        <w:trPr>
          <w:trHeight w:val="20"/>
        </w:trPr>
        <w:tc>
          <w:tcPr>
            <w:tcW w:w="681" w:type="dxa"/>
            <w:tcBorders>
              <w:top w:val="nil"/>
              <w:left w:val="single" w:sz="8" w:space="0" w:color="000000"/>
              <w:bottom w:val="nil"/>
              <w:right w:val="single" w:sz="4" w:space="0" w:color="000000"/>
            </w:tcBorders>
            <w:shd w:val="clear" w:color="auto" w:fill="auto"/>
            <w:tcMar>
              <w:top w:w="80" w:type="dxa"/>
              <w:left w:w="80" w:type="dxa"/>
              <w:bottom w:w="80" w:type="dxa"/>
              <w:right w:w="80" w:type="dxa"/>
            </w:tcMar>
            <w:vAlign w:val="bottom"/>
          </w:tcPr>
          <w:p>
            <w:pPr>
              <w:rPr>
                <w:rFonts w:eastAsia="Times New Roman"/>
                <w:b w:val="0"/>
                <w:sz w:val="16"/>
                <w:szCs w:val="16"/>
                <w:lang w:val="es-ES_tradnl" w:eastAsia="es-ES"/>
              </w:rPr>
            </w:pPr>
            <w:r>
              <w:rPr>
                <w:rFonts w:eastAsia="Times New Roman"/>
                <w:b w:val="0"/>
                <w:sz w:val="16"/>
                <w:szCs w:val="16"/>
                <w:lang w:val="es-ES_tradnl" w:eastAsia="es-ES"/>
              </w:rPr>
              <w:t> </w:t>
            </w:r>
          </w:p>
        </w:tc>
        <w:tc>
          <w:tcPr>
            <w:tcW w:w="3402"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bottom"/>
          </w:tcPr>
          <w:p>
            <w:pPr>
              <w:rPr>
                <w:rFonts w:eastAsia="Times New Roman"/>
                <w:b w:val="0"/>
                <w:sz w:val="16"/>
                <w:szCs w:val="16"/>
                <w:lang w:val="es-ES_tradnl" w:eastAsia="es-ES"/>
              </w:rPr>
            </w:pPr>
            <w:r>
              <w:rPr>
                <w:rFonts w:eastAsia="Times New Roman"/>
                <w:b w:val="0"/>
                <w:sz w:val="16"/>
                <w:szCs w:val="16"/>
                <w:lang w:val="es-ES_tradnl" w:eastAsia="es-ES"/>
              </w:rPr>
              <w:t> </w:t>
            </w:r>
          </w:p>
        </w:tc>
        <w:tc>
          <w:tcPr>
            <w:tcW w:w="1701"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pPr>
              <w:rPr>
                <w:rFonts w:eastAsia="Times New Roman"/>
                <w:b w:val="0"/>
                <w:sz w:val="16"/>
                <w:szCs w:val="16"/>
                <w:lang w:val="es-ES_tradnl" w:eastAsia="es-ES"/>
              </w:rPr>
            </w:pPr>
            <w:r>
              <w:rPr>
                <w:rFonts w:eastAsia="Times New Roman"/>
                <w:b w:val="0"/>
                <w:sz w:val="16"/>
                <w:szCs w:val="16"/>
                <w:lang w:val="es-ES_tradnl" w:eastAsia="es-ES"/>
              </w:rPr>
              <w:t>(Inicial+Reaj.+Leyes</w:t>
            </w:r>
          </w:p>
        </w:tc>
        <w:tc>
          <w:tcPr>
            <w:tcW w:w="1559"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pPr>
              <w:rPr>
                <w:rFonts w:eastAsia="Times New Roman"/>
                <w:b w:val="0"/>
                <w:sz w:val="16"/>
                <w:szCs w:val="16"/>
                <w:lang w:val="es-ES_tradnl" w:eastAsia="es-ES"/>
              </w:rPr>
            </w:pPr>
            <w:r>
              <w:rPr>
                <w:rFonts w:eastAsia="Times New Roman"/>
                <w:b w:val="0"/>
                <w:sz w:val="16"/>
                <w:szCs w:val="16"/>
                <w:lang w:val="es-ES_tradnl" w:eastAsia="es-ES"/>
              </w:rPr>
              <w:t>LEY DE</w:t>
            </w:r>
          </w:p>
        </w:tc>
        <w:tc>
          <w:tcPr>
            <w:tcW w:w="1497" w:type="dxa"/>
            <w:tcBorders>
              <w:top w:val="nil"/>
              <w:left w:val="single" w:sz="4" w:space="0" w:color="000000"/>
              <w:bottom w:val="nil"/>
              <w:right w:val="single" w:sz="8" w:space="0" w:color="000000"/>
            </w:tcBorders>
            <w:shd w:val="clear" w:color="auto" w:fill="auto"/>
            <w:tcMar>
              <w:top w:w="80" w:type="dxa"/>
              <w:left w:w="80" w:type="dxa"/>
              <w:bottom w:w="80" w:type="dxa"/>
              <w:right w:w="80" w:type="dxa"/>
            </w:tcMar>
            <w:vAlign w:val="center"/>
          </w:tcPr>
          <w:p>
            <w:pPr>
              <w:rPr>
                <w:rFonts w:eastAsia="Times New Roman"/>
                <w:b w:val="0"/>
                <w:sz w:val="16"/>
                <w:szCs w:val="16"/>
                <w:lang w:val="es-ES_tradnl" w:eastAsia="es-ES"/>
              </w:rPr>
            </w:pPr>
            <w:r>
              <w:rPr>
                <w:rFonts w:eastAsia="Times New Roman"/>
                <w:b w:val="0"/>
                <w:sz w:val="16"/>
                <w:szCs w:val="16"/>
                <w:lang w:val="es-ES_tradnl" w:eastAsia="es-ES"/>
              </w:rPr>
              <w:t>%</w:t>
            </w:r>
          </w:p>
        </w:tc>
      </w:tr>
      <w:tr>
        <w:tblPrEx>
          <w:tblCellMar>
            <w:top w:w="0" w:type="dxa"/>
            <w:left w:w="0" w:type="dxa"/>
            <w:bottom w:w="0" w:type="dxa"/>
            <w:right w:w="0" w:type="dxa"/>
          </w:tblCellMar>
        </w:tblPrEx>
        <w:trPr>
          <w:trHeight w:val="20"/>
        </w:trPr>
        <w:tc>
          <w:tcPr>
            <w:tcW w:w="681" w:type="dxa"/>
            <w:tcBorders>
              <w:top w:val="nil"/>
              <w:left w:val="single" w:sz="8" w:space="0" w:color="000000"/>
              <w:bottom w:val="nil"/>
              <w:right w:val="single" w:sz="4" w:space="0" w:color="000000"/>
            </w:tcBorders>
            <w:shd w:val="clear" w:color="auto" w:fill="auto"/>
            <w:tcMar>
              <w:top w:w="80" w:type="dxa"/>
              <w:left w:w="80" w:type="dxa"/>
              <w:bottom w:w="80" w:type="dxa"/>
              <w:right w:w="80" w:type="dxa"/>
            </w:tcMar>
            <w:vAlign w:val="bottom"/>
          </w:tcPr>
          <w:p>
            <w:pPr>
              <w:rPr>
                <w:rFonts w:eastAsia="Times New Roman"/>
                <w:b w:val="0"/>
                <w:sz w:val="16"/>
                <w:szCs w:val="16"/>
                <w:lang w:val="es-ES_tradnl" w:eastAsia="es-ES"/>
              </w:rPr>
            </w:pPr>
            <w:r>
              <w:rPr>
                <w:rFonts w:eastAsia="Times New Roman"/>
                <w:b w:val="0"/>
                <w:sz w:val="16"/>
                <w:szCs w:val="16"/>
                <w:lang w:val="es-ES_tradnl" w:eastAsia="es-ES"/>
              </w:rPr>
              <w:t> </w:t>
            </w:r>
          </w:p>
        </w:tc>
        <w:tc>
          <w:tcPr>
            <w:tcW w:w="3402"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bottom"/>
          </w:tcPr>
          <w:p>
            <w:pPr>
              <w:rPr>
                <w:rFonts w:eastAsia="Times New Roman"/>
                <w:b w:val="0"/>
                <w:sz w:val="16"/>
                <w:szCs w:val="16"/>
                <w:lang w:val="es-ES_tradnl" w:eastAsia="es-ES"/>
              </w:rPr>
            </w:pPr>
            <w:r>
              <w:rPr>
                <w:rFonts w:eastAsia="Times New Roman"/>
                <w:b w:val="0"/>
                <w:sz w:val="16"/>
                <w:szCs w:val="16"/>
                <w:lang w:val="es-ES_tradnl" w:eastAsia="es-ES"/>
              </w:rPr>
              <w:t> </w:t>
            </w:r>
          </w:p>
        </w:tc>
        <w:tc>
          <w:tcPr>
            <w:tcW w:w="1701"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pPr>
              <w:rPr>
                <w:rFonts w:eastAsia="Times New Roman"/>
                <w:b w:val="0"/>
                <w:sz w:val="16"/>
                <w:szCs w:val="16"/>
                <w:lang w:val="es-ES_tradnl" w:eastAsia="es-ES"/>
              </w:rPr>
            </w:pPr>
            <w:r>
              <w:rPr>
                <w:rFonts w:eastAsia="Times New Roman"/>
                <w:b w:val="0"/>
                <w:sz w:val="16"/>
                <w:szCs w:val="16"/>
                <w:lang w:val="es-ES_tradnl" w:eastAsia="es-ES"/>
              </w:rPr>
              <w:t>Especiales y rebaja)</w:t>
            </w:r>
          </w:p>
        </w:tc>
        <w:tc>
          <w:tcPr>
            <w:tcW w:w="1559"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pPr>
              <w:rPr>
                <w:rFonts w:eastAsia="Times New Roman"/>
                <w:b w:val="0"/>
                <w:sz w:val="16"/>
                <w:szCs w:val="16"/>
                <w:lang w:val="es-ES_tradnl" w:eastAsia="es-ES"/>
              </w:rPr>
            </w:pPr>
            <w:r>
              <w:rPr>
                <w:rFonts w:eastAsia="Times New Roman"/>
                <w:b w:val="0"/>
                <w:sz w:val="16"/>
                <w:szCs w:val="16"/>
                <w:lang w:val="es-ES_tradnl" w:eastAsia="es-ES"/>
              </w:rPr>
              <w:t>PRESUPUESTOS</w:t>
            </w:r>
          </w:p>
        </w:tc>
        <w:tc>
          <w:tcPr>
            <w:tcW w:w="1497" w:type="dxa"/>
            <w:tcBorders>
              <w:top w:val="nil"/>
              <w:left w:val="single" w:sz="4" w:space="0" w:color="000000"/>
              <w:bottom w:val="nil"/>
              <w:right w:val="single" w:sz="8" w:space="0" w:color="000000"/>
            </w:tcBorders>
            <w:shd w:val="clear" w:color="auto" w:fill="auto"/>
            <w:tcMar>
              <w:top w:w="80" w:type="dxa"/>
              <w:left w:w="80" w:type="dxa"/>
              <w:bottom w:w="80" w:type="dxa"/>
              <w:right w:w="80" w:type="dxa"/>
            </w:tcMar>
            <w:vAlign w:val="center"/>
          </w:tcPr>
          <w:p>
            <w:pPr>
              <w:rPr>
                <w:rFonts w:eastAsia="Times New Roman"/>
                <w:b w:val="0"/>
                <w:sz w:val="16"/>
                <w:szCs w:val="16"/>
                <w:lang w:val="es-ES_tradnl" w:eastAsia="es-ES"/>
              </w:rPr>
            </w:pPr>
            <w:r>
              <w:rPr>
                <w:rFonts w:eastAsia="Times New Roman"/>
                <w:b w:val="0"/>
                <w:sz w:val="16"/>
                <w:szCs w:val="16"/>
                <w:lang w:val="es-ES_tradnl" w:eastAsia="es-ES"/>
              </w:rPr>
              <w:t>(6) / (5)</w:t>
            </w:r>
          </w:p>
        </w:tc>
      </w:tr>
      <w:tr>
        <w:tblPrEx>
          <w:tblCellMar>
            <w:top w:w="0" w:type="dxa"/>
            <w:left w:w="0" w:type="dxa"/>
            <w:bottom w:w="0" w:type="dxa"/>
            <w:right w:w="0" w:type="dxa"/>
          </w:tblCellMar>
        </w:tblPrEx>
        <w:trPr>
          <w:trHeight w:val="20"/>
        </w:trPr>
        <w:tc>
          <w:tcPr>
            <w:tcW w:w="681" w:type="dxa"/>
            <w:tcBorders>
              <w:top w:val="nil"/>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pPr>
              <w:rPr>
                <w:rFonts w:eastAsia="Times New Roman"/>
                <w:b w:val="0"/>
                <w:sz w:val="16"/>
                <w:szCs w:val="16"/>
                <w:lang w:val="es-ES_tradnl" w:eastAsia="es-ES"/>
              </w:rPr>
            </w:pPr>
            <w:r>
              <w:rPr>
                <w:rFonts w:eastAsia="Times New Roman"/>
                <w:b w:val="0"/>
                <w:sz w:val="16"/>
                <w:szCs w:val="16"/>
                <w:lang w:val="es-ES_tradnl" w:eastAsia="es-ES"/>
              </w:rPr>
              <w:t> </w:t>
            </w:r>
          </w:p>
        </w:tc>
        <w:tc>
          <w:tcPr>
            <w:tcW w:w="3402"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pPr>
              <w:rPr>
                <w:rFonts w:eastAsia="Times New Roman"/>
                <w:b w:val="0"/>
                <w:sz w:val="16"/>
                <w:szCs w:val="16"/>
                <w:lang w:val="es-ES_tradnl" w:eastAsia="es-ES"/>
              </w:rPr>
            </w:pPr>
            <w:r>
              <w:rPr>
                <w:rFonts w:eastAsia="Times New Roman"/>
                <w:b w:val="0"/>
                <w:sz w:val="16"/>
                <w:szCs w:val="16"/>
                <w:lang w:val="es-ES_tradnl" w:eastAsia="es-ES"/>
              </w:rPr>
              <w:t> </w:t>
            </w:r>
          </w:p>
        </w:tc>
        <w:tc>
          <w:tcPr>
            <w:tcW w:w="1701"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pPr>
              <w:rPr>
                <w:rFonts w:eastAsia="Times New Roman"/>
                <w:b w:val="0"/>
                <w:sz w:val="16"/>
                <w:szCs w:val="16"/>
                <w:lang w:val="es-ES_tradnl" w:eastAsia="es-ES"/>
              </w:rPr>
            </w:pPr>
            <w:r>
              <w:rPr>
                <w:rFonts w:eastAsia="Times New Roman"/>
                <w:b w:val="0"/>
                <w:sz w:val="16"/>
                <w:szCs w:val="16"/>
                <w:lang w:val="es-ES_tradnl" w:eastAsia="es-ES"/>
              </w:rPr>
              <w:t>(En $ de 2017)</w:t>
            </w:r>
          </w:p>
        </w:tc>
        <w:tc>
          <w:tcPr>
            <w:tcW w:w="1559"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pPr>
              <w:rPr>
                <w:rFonts w:eastAsia="Times New Roman"/>
                <w:b w:val="0"/>
                <w:sz w:val="16"/>
                <w:szCs w:val="16"/>
                <w:lang w:val="es-ES_tradnl" w:eastAsia="es-ES"/>
              </w:rPr>
            </w:pPr>
            <w:r>
              <w:rPr>
                <w:rFonts w:eastAsia="Times New Roman"/>
                <w:b w:val="0"/>
                <w:sz w:val="16"/>
                <w:szCs w:val="16"/>
                <w:lang w:val="es-ES_tradnl" w:eastAsia="es-ES"/>
              </w:rPr>
              <w:t>(En $ de 2017)</w:t>
            </w:r>
          </w:p>
        </w:tc>
        <w:tc>
          <w:tcPr>
            <w:tcW w:w="1497" w:type="dxa"/>
            <w:tcBorders>
              <w:top w:val="nil"/>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pPr>
              <w:rPr>
                <w:rFonts w:eastAsia="Times New Roman"/>
                <w:b w:val="0"/>
                <w:sz w:val="16"/>
                <w:szCs w:val="16"/>
                <w:lang w:val="es-ES_tradnl" w:eastAsia="es-ES"/>
              </w:rPr>
            </w:pPr>
            <w:r>
              <w:rPr>
                <w:rFonts w:eastAsia="Times New Roman"/>
                <w:b w:val="0"/>
                <w:sz w:val="16"/>
                <w:szCs w:val="16"/>
                <w:lang w:val="es-ES_tradnl" w:eastAsia="es-ES"/>
              </w:rPr>
              <w:t> </w:t>
            </w:r>
          </w:p>
        </w:tc>
      </w:tr>
      <w:tr>
        <w:tblPrEx>
          <w:tblCellMar>
            <w:top w:w="0" w:type="dxa"/>
            <w:left w:w="0" w:type="dxa"/>
            <w:bottom w:w="0" w:type="dxa"/>
            <w:right w:w="0" w:type="dxa"/>
          </w:tblCellMar>
        </w:tblPrEx>
        <w:trPr>
          <w:trHeight w:val="20"/>
        </w:trPr>
        <w:tc>
          <w:tcPr>
            <w:tcW w:w="681"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pPr>
              <w:rPr>
                <w:rFonts w:eastAsia="Times New Roman"/>
                <w:b w:val="0"/>
                <w:sz w:val="16"/>
                <w:szCs w:val="16"/>
                <w:lang w:val="es-ES_tradnl" w:eastAsia="es-ES"/>
              </w:rPr>
            </w:pPr>
            <w:r>
              <w:rPr>
                <w:rFonts w:eastAsia="Times New Roman"/>
                <w:b w:val="0"/>
                <w:sz w:val="16"/>
                <w:szCs w:val="16"/>
                <w:lang w:val="es-ES_tradnl" w:eastAsia="es-ES"/>
              </w:rPr>
              <w:t>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pPr>
              <w:rPr>
                <w:rFonts w:eastAsia="Times New Roman"/>
                <w:b w:val="0"/>
                <w:sz w:val="16"/>
                <w:szCs w:val="16"/>
                <w:lang w:val="es-ES_tradnl" w:eastAsia="es-ES"/>
              </w:rPr>
            </w:pPr>
            <w:r>
              <w:rPr>
                <w:rFonts w:eastAsia="Times New Roman"/>
                <w:b w:val="0"/>
                <w:sz w:val="16"/>
                <w:szCs w:val="16"/>
                <w:lang w:val="es-ES_tradnl" w:eastAsia="es-ES"/>
              </w:rPr>
              <w:t>INGRESOS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pPr>
              <w:rPr>
                <w:rFonts w:eastAsia="Times New Roman"/>
                <w:b w:val="0"/>
                <w:sz w:val="16"/>
                <w:szCs w:val="16"/>
                <w:lang w:val="es-ES_tradnl" w:eastAsia="es-ES"/>
              </w:rPr>
            </w:pPr>
            <w:r>
              <w:rPr>
                <w:rFonts w:eastAsia="Times New Roman"/>
                <w:b w:val="0"/>
                <w:sz w:val="16"/>
                <w:szCs w:val="16"/>
                <w:lang w:val="es-ES_tradnl" w:eastAsia="es-ES"/>
              </w:rPr>
              <w:t>486.401.587</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pPr>
              <w:rPr>
                <w:rFonts w:eastAsia="Times New Roman"/>
                <w:b w:val="0"/>
                <w:sz w:val="16"/>
                <w:szCs w:val="16"/>
                <w:lang w:val="es-ES_tradnl" w:eastAsia="es-ES"/>
              </w:rPr>
            </w:pPr>
            <w:r>
              <w:rPr>
                <w:rFonts w:eastAsia="Times New Roman"/>
                <w:b w:val="0"/>
                <w:sz w:val="16"/>
                <w:szCs w:val="16"/>
                <w:lang w:val="es-ES_tradnl" w:eastAsia="es-ES"/>
              </w:rPr>
              <w:t>493.928.374</w:t>
            </w:r>
          </w:p>
        </w:tc>
        <w:tc>
          <w:tcPr>
            <w:tcW w:w="1497"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pPr>
              <w:rPr>
                <w:rFonts w:eastAsia="Times New Roman"/>
                <w:b w:val="0"/>
                <w:sz w:val="16"/>
                <w:szCs w:val="16"/>
                <w:lang w:val="es-ES_tradnl" w:eastAsia="es-ES"/>
              </w:rPr>
            </w:pPr>
            <w:r>
              <w:rPr>
                <w:rFonts w:eastAsia="Times New Roman"/>
                <w:b w:val="0"/>
                <w:sz w:val="16"/>
                <w:szCs w:val="16"/>
                <w:lang w:val="es-ES_tradnl" w:eastAsia="es-ES"/>
              </w:rPr>
              <w:t>1,5%</w:t>
            </w:r>
          </w:p>
        </w:tc>
      </w:tr>
      <w:tr>
        <w:tblPrEx>
          <w:tblCellMar>
            <w:top w:w="0" w:type="dxa"/>
            <w:left w:w="0" w:type="dxa"/>
            <w:bottom w:w="0" w:type="dxa"/>
            <w:right w:w="0" w:type="dxa"/>
          </w:tblCellMar>
        </w:tblPrEx>
        <w:trPr>
          <w:trHeight w:val="20"/>
        </w:trPr>
        <w:tc>
          <w:tcPr>
            <w:tcW w:w="681" w:type="dxa"/>
            <w:tcBorders>
              <w:top w:val="single" w:sz="4" w:space="0" w:color="000000"/>
              <w:left w:val="single" w:sz="8" w:space="0" w:color="000000"/>
              <w:bottom w:val="nil"/>
              <w:right w:val="single" w:sz="4" w:space="0" w:color="000000"/>
            </w:tcBorders>
            <w:shd w:val="clear" w:color="auto" w:fill="auto"/>
            <w:tcMar>
              <w:top w:w="80" w:type="dxa"/>
              <w:left w:w="80" w:type="dxa"/>
              <w:bottom w:w="80" w:type="dxa"/>
              <w:right w:w="80" w:type="dxa"/>
            </w:tcMar>
            <w:vAlign w:val="bottom"/>
          </w:tcPr>
          <w:p>
            <w:pPr>
              <w:rPr>
                <w:rFonts w:eastAsia="Times New Roman"/>
                <w:b w:val="0"/>
                <w:sz w:val="16"/>
                <w:szCs w:val="16"/>
                <w:lang w:val="es-ES_tradnl" w:eastAsia="es-ES"/>
              </w:rPr>
            </w:pPr>
            <w:r>
              <w:rPr>
                <w:rFonts w:eastAsia="Times New Roman"/>
                <w:b w:val="0"/>
                <w:sz w:val="16"/>
                <w:szCs w:val="16"/>
                <w:lang w:val="es-ES_tradnl" w:eastAsia="es-ES"/>
              </w:rPr>
              <w:t> </w:t>
            </w:r>
          </w:p>
        </w:tc>
        <w:tc>
          <w:tcPr>
            <w:tcW w:w="3402"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bottom"/>
          </w:tcPr>
          <w:p>
            <w:pPr>
              <w:rPr>
                <w:rFonts w:eastAsia="Times New Roman"/>
                <w:b w:val="0"/>
                <w:sz w:val="16"/>
                <w:szCs w:val="16"/>
                <w:lang w:val="es-ES_tradnl" w:eastAsia="es-ES"/>
              </w:rPr>
            </w:pPr>
            <w:r>
              <w:rPr>
                <w:rFonts w:eastAsia="Times New Roman"/>
                <w:b w:val="0"/>
                <w:sz w:val="16"/>
                <w:szCs w:val="16"/>
                <w:lang w:val="es-ES_tradnl" w:eastAsia="es-ES"/>
              </w:rPr>
              <w:t> </w:t>
            </w:r>
          </w:p>
        </w:tc>
        <w:tc>
          <w:tcPr>
            <w:tcW w:w="1701"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bottom"/>
          </w:tcPr>
          <w:p>
            <w:pPr>
              <w:rPr>
                <w:rFonts w:eastAsia="Times New Roman"/>
                <w:b w:val="0"/>
                <w:sz w:val="16"/>
                <w:szCs w:val="16"/>
                <w:lang w:val="es-ES_tradnl" w:eastAsia="es-ES"/>
              </w:rPr>
            </w:pPr>
            <w:r>
              <w:rPr>
                <w:rFonts w:eastAsia="Times New Roman"/>
                <w:b w:val="0"/>
                <w:sz w:val="16"/>
                <w:szCs w:val="16"/>
                <w:lang w:val="es-ES_tradnl" w:eastAsia="es-ES"/>
              </w:rPr>
              <w:t> </w:t>
            </w:r>
          </w:p>
        </w:tc>
        <w:tc>
          <w:tcPr>
            <w:tcW w:w="1559"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bottom"/>
          </w:tcPr>
          <w:p>
            <w:pPr>
              <w:rPr>
                <w:rFonts w:eastAsia="Times New Roman"/>
                <w:b w:val="0"/>
                <w:sz w:val="16"/>
                <w:szCs w:val="16"/>
                <w:lang w:val="es-ES_tradnl" w:eastAsia="es-ES"/>
              </w:rPr>
            </w:pPr>
            <w:r>
              <w:rPr>
                <w:rFonts w:eastAsia="Times New Roman"/>
                <w:b w:val="0"/>
                <w:sz w:val="16"/>
                <w:szCs w:val="16"/>
                <w:lang w:val="es-ES_tradnl" w:eastAsia="es-ES"/>
              </w:rPr>
              <w:t> </w:t>
            </w:r>
          </w:p>
        </w:tc>
        <w:tc>
          <w:tcPr>
            <w:tcW w:w="1497" w:type="dxa"/>
            <w:tcBorders>
              <w:top w:val="single" w:sz="4" w:space="0" w:color="000000"/>
              <w:left w:val="single" w:sz="4" w:space="0" w:color="000000"/>
              <w:bottom w:val="nil"/>
              <w:right w:val="single" w:sz="8" w:space="0" w:color="000000"/>
            </w:tcBorders>
            <w:shd w:val="clear" w:color="auto" w:fill="auto"/>
            <w:tcMar>
              <w:top w:w="80" w:type="dxa"/>
              <w:left w:w="80" w:type="dxa"/>
              <w:bottom w:w="80" w:type="dxa"/>
              <w:right w:w="80" w:type="dxa"/>
            </w:tcMar>
            <w:vAlign w:val="bottom"/>
          </w:tcPr>
          <w:p>
            <w:pPr>
              <w:rPr>
                <w:rFonts w:eastAsia="Times New Roman"/>
                <w:b w:val="0"/>
                <w:sz w:val="16"/>
                <w:szCs w:val="16"/>
                <w:lang w:val="es-ES_tradnl" w:eastAsia="es-ES"/>
              </w:rPr>
            </w:pPr>
            <w:r>
              <w:rPr>
                <w:rFonts w:eastAsia="Times New Roman"/>
                <w:b w:val="0"/>
                <w:sz w:val="16"/>
                <w:szCs w:val="16"/>
                <w:lang w:val="es-ES_tradnl" w:eastAsia="es-ES"/>
              </w:rPr>
              <w:t> </w:t>
            </w:r>
          </w:p>
        </w:tc>
      </w:tr>
      <w:tr>
        <w:tblPrEx>
          <w:tblCellMar>
            <w:top w:w="0" w:type="dxa"/>
            <w:left w:w="0" w:type="dxa"/>
            <w:bottom w:w="0" w:type="dxa"/>
            <w:right w:w="0" w:type="dxa"/>
          </w:tblCellMar>
        </w:tblPrEx>
        <w:trPr>
          <w:trHeight w:val="20"/>
        </w:trPr>
        <w:tc>
          <w:tcPr>
            <w:tcW w:w="681" w:type="dxa"/>
            <w:tcBorders>
              <w:top w:val="nil"/>
              <w:left w:val="single" w:sz="8" w:space="0" w:color="000000"/>
              <w:bottom w:val="nil"/>
              <w:right w:val="single" w:sz="4" w:space="0" w:color="000000"/>
            </w:tcBorders>
            <w:shd w:val="clear" w:color="auto" w:fill="auto"/>
            <w:tcMar>
              <w:top w:w="80" w:type="dxa"/>
              <w:left w:w="80" w:type="dxa"/>
              <w:bottom w:w="80" w:type="dxa"/>
              <w:right w:w="80" w:type="dxa"/>
            </w:tcMar>
            <w:vAlign w:val="bottom"/>
          </w:tcPr>
          <w:p>
            <w:pPr>
              <w:rPr>
                <w:rFonts w:eastAsia="Times New Roman"/>
                <w:b w:val="0"/>
                <w:sz w:val="16"/>
                <w:szCs w:val="16"/>
                <w:lang w:val="es-ES_tradnl" w:eastAsia="es-ES"/>
              </w:rPr>
            </w:pPr>
            <w:r>
              <w:rPr>
                <w:rFonts w:eastAsia="Times New Roman"/>
                <w:b w:val="0"/>
                <w:sz w:val="16"/>
                <w:szCs w:val="16"/>
                <w:lang w:val="es-ES_tradnl" w:eastAsia="es-ES"/>
              </w:rPr>
              <w:t>05</w:t>
            </w:r>
          </w:p>
        </w:tc>
        <w:tc>
          <w:tcPr>
            <w:tcW w:w="3402"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bottom"/>
          </w:tcPr>
          <w:p>
            <w:pPr>
              <w:rPr>
                <w:rFonts w:eastAsia="Times New Roman"/>
                <w:b w:val="0"/>
                <w:sz w:val="16"/>
                <w:szCs w:val="16"/>
                <w:lang w:val="es-ES_tradnl" w:eastAsia="es-ES"/>
              </w:rPr>
            </w:pPr>
            <w:r>
              <w:rPr>
                <w:rFonts w:eastAsia="Times New Roman"/>
                <w:b w:val="0"/>
                <w:sz w:val="16"/>
                <w:szCs w:val="16"/>
                <w:lang w:val="es-ES_tradnl" w:eastAsia="es-ES"/>
              </w:rPr>
              <w:t>TRANSFERENCIAS CORRIENTES</w:t>
            </w:r>
          </w:p>
        </w:tc>
        <w:tc>
          <w:tcPr>
            <w:tcW w:w="1701"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bottom"/>
          </w:tcPr>
          <w:p>
            <w:pPr>
              <w:rPr>
                <w:rFonts w:eastAsia="Times New Roman"/>
                <w:b w:val="0"/>
                <w:sz w:val="16"/>
                <w:szCs w:val="16"/>
                <w:lang w:val="es-ES_tradnl" w:eastAsia="es-ES"/>
              </w:rPr>
            </w:pPr>
            <w:r>
              <w:rPr>
                <w:rFonts w:eastAsia="Times New Roman"/>
                <w:b w:val="0"/>
                <w:sz w:val="16"/>
                <w:szCs w:val="16"/>
                <w:lang w:val="es-ES_tradnl" w:eastAsia="es-ES"/>
              </w:rPr>
              <w:t>17.524</w:t>
            </w:r>
          </w:p>
        </w:tc>
        <w:tc>
          <w:tcPr>
            <w:tcW w:w="1559"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bottom"/>
          </w:tcPr>
          <w:p>
            <w:pPr>
              <w:rPr>
                <w:rFonts w:eastAsia="Times New Roman"/>
                <w:b w:val="0"/>
                <w:sz w:val="16"/>
                <w:szCs w:val="16"/>
                <w:lang w:val="es-ES_tradnl" w:eastAsia="es-ES"/>
              </w:rPr>
            </w:pPr>
            <w:r>
              <w:rPr>
                <w:rFonts w:eastAsia="Times New Roman"/>
                <w:b w:val="0"/>
                <w:sz w:val="16"/>
                <w:szCs w:val="16"/>
                <w:lang w:val="es-ES_tradnl" w:eastAsia="es-ES"/>
              </w:rPr>
              <w:t>0</w:t>
            </w:r>
          </w:p>
        </w:tc>
        <w:tc>
          <w:tcPr>
            <w:tcW w:w="1497" w:type="dxa"/>
            <w:tcBorders>
              <w:top w:val="nil"/>
              <w:left w:val="single" w:sz="4" w:space="0" w:color="000000"/>
              <w:bottom w:val="nil"/>
              <w:right w:val="single" w:sz="8" w:space="0" w:color="000000"/>
            </w:tcBorders>
            <w:shd w:val="clear" w:color="auto" w:fill="auto"/>
            <w:tcMar>
              <w:top w:w="80" w:type="dxa"/>
              <w:left w:w="80" w:type="dxa"/>
              <w:bottom w:w="80" w:type="dxa"/>
              <w:right w:w="80" w:type="dxa"/>
            </w:tcMar>
            <w:vAlign w:val="bottom"/>
          </w:tcPr>
          <w:p>
            <w:pPr>
              <w:rPr>
                <w:rFonts w:eastAsia="Times New Roman"/>
                <w:b w:val="0"/>
                <w:sz w:val="16"/>
                <w:szCs w:val="16"/>
                <w:lang w:val="es-ES_tradnl" w:eastAsia="es-ES"/>
              </w:rPr>
            </w:pPr>
            <w:r>
              <w:rPr>
                <w:rFonts w:eastAsia="Times New Roman"/>
                <w:b w:val="0"/>
                <w:sz w:val="16"/>
                <w:szCs w:val="16"/>
                <w:lang w:val="es-ES_tradnl" w:eastAsia="es-ES"/>
              </w:rPr>
              <w:t>-100,0%</w:t>
            </w:r>
          </w:p>
        </w:tc>
      </w:tr>
      <w:tr>
        <w:tblPrEx>
          <w:tblCellMar>
            <w:top w:w="0" w:type="dxa"/>
            <w:left w:w="0" w:type="dxa"/>
            <w:bottom w:w="0" w:type="dxa"/>
            <w:right w:w="0" w:type="dxa"/>
          </w:tblCellMar>
        </w:tblPrEx>
        <w:trPr>
          <w:trHeight w:val="20"/>
        </w:trPr>
        <w:tc>
          <w:tcPr>
            <w:tcW w:w="681" w:type="dxa"/>
            <w:tcBorders>
              <w:top w:val="nil"/>
              <w:left w:val="single" w:sz="8" w:space="0" w:color="000000"/>
              <w:bottom w:val="nil"/>
              <w:right w:val="single" w:sz="4" w:space="0" w:color="000000"/>
            </w:tcBorders>
            <w:shd w:val="clear" w:color="auto" w:fill="auto"/>
            <w:tcMar>
              <w:top w:w="80" w:type="dxa"/>
              <w:left w:w="80" w:type="dxa"/>
              <w:bottom w:w="80" w:type="dxa"/>
              <w:right w:w="80" w:type="dxa"/>
            </w:tcMar>
            <w:vAlign w:val="bottom"/>
          </w:tcPr>
          <w:p>
            <w:pPr>
              <w:rPr>
                <w:rFonts w:eastAsia="Times New Roman"/>
                <w:b w:val="0"/>
                <w:sz w:val="16"/>
                <w:szCs w:val="16"/>
                <w:lang w:val="es-ES_tradnl" w:eastAsia="es-ES"/>
              </w:rPr>
            </w:pPr>
            <w:r>
              <w:rPr>
                <w:rFonts w:eastAsia="Times New Roman"/>
                <w:b w:val="0"/>
                <w:sz w:val="16"/>
                <w:szCs w:val="16"/>
                <w:lang w:val="es-ES_tradnl" w:eastAsia="es-ES"/>
              </w:rPr>
              <w:t>06</w:t>
            </w:r>
          </w:p>
        </w:tc>
        <w:tc>
          <w:tcPr>
            <w:tcW w:w="3402"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bottom"/>
          </w:tcPr>
          <w:p>
            <w:pPr>
              <w:rPr>
                <w:rFonts w:eastAsia="Times New Roman"/>
                <w:b w:val="0"/>
                <w:sz w:val="16"/>
                <w:szCs w:val="16"/>
                <w:lang w:val="es-ES_tradnl" w:eastAsia="es-ES"/>
              </w:rPr>
            </w:pPr>
            <w:r>
              <w:rPr>
                <w:rFonts w:eastAsia="Times New Roman"/>
                <w:b w:val="0"/>
                <w:sz w:val="16"/>
                <w:szCs w:val="16"/>
                <w:lang w:val="es-ES_tradnl" w:eastAsia="es-ES"/>
              </w:rPr>
              <w:t>RENTAS DE LA PROPIEDAD</w:t>
            </w:r>
          </w:p>
        </w:tc>
        <w:tc>
          <w:tcPr>
            <w:tcW w:w="1701"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bottom"/>
          </w:tcPr>
          <w:p>
            <w:pPr>
              <w:rPr>
                <w:rFonts w:eastAsia="Times New Roman"/>
                <w:b w:val="0"/>
                <w:sz w:val="16"/>
                <w:szCs w:val="16"/>
                <w:lang w:val="es-ES_tradnl" w:eastAsia="es-ES"/>
              </w:rPr>
            </w:pPr>
            <w:r>
              <w:rPr>
                <w:rFonts w:eastAsia="Times New Roman"/>
                <w:b w:val="0"/>
                <w:sz w:val="16"/>
                <w:szCs w:val="16"/>
                <w:lang w:val="es-ES_tradnl" w:eastAsia="es-ES"/>
              </w:rPr>
              <w:t>393.007</w:t>
            </w:r>
          </w:p>
        </w:tc>
        <w:tc>
          <w:tcPr>
            <w:tcW w:w="1559"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bottom"/>
          </w:tcPr>
          <w:p>
            <w:pPr>
              <w:rPr>
                <w:rFonts w:eastAsia="Times New Roman"/>
                <w:b w:val="0"/>
                <w:sz w:val="16"/>
                <w:szCs w:val="16"/>
                <w:lang w:val="es-ES_tradnl" w:eastAsia="es-ES"/>
              </w:rPr>
            </w:pPr>
            <w:r>
              <w:rPr>
                <w:rFonts w:eastAsia="Times New Roman"/>
                <w:b w:val="0"/>
                <w:sz w:val="16"/>
                <w:szCs w:val="16"/>
                <w:lang w:val="es-ES_tradnl" w:eastAsia="es-ES"/>
              </w:rPr>
              <w:t>393.936</w:t>
            </w:r>
          </w:p>
        </w:tc>
        <w:tc>
          <w:tcPr>
            <w:tcW w:w="1497" w:type="dxa"/>
            <w:tcBorders>
              <w:top w:val="nil"/>
              <w:left w:val="single" w:sz="4" w:space="0" w:color="000000"/>
              <w:bottom w:val="nil"/>
              <w:right w:val="single" w:sz="8" w:space="0" w:color="000000"/>
            </w:tcBorders>
            <w:shd w:val="clear" w:color="auto" w:fill="auto"/>
            <w:tcMar>
              <w:top w:w="80" w:type="dxa"/>
              <w:left w:w="80" w:type="dxa"/>
              <w:bottom w:w="80" w:type="dxa"/>
              <w:right w:w="80" w:type="dxa"/>
            </w:tcMar>
            <w:vAlign w:val="bottom"/>
          </w:tcPr>
          <w:p>
            <w:pPr>
              <w:rPr>
                <w:rFonts w:eastAsia="Times New Roman"/>
                <w:b w:val="0"/>
                <w:sz w:val="16"/>
                <w:szCs w:val="16"/>
                <w:lang w:val="es-ES_tradnl" w:eastAsia="es-ES"/>
              </w:rPr>
            </w:pPr>
            <w:r>
              <w:rPr>
                <w:rFonts w:eastAsia="Times New Roman"/>
                <w:b w:val="0"/>
                <w:sz w:val="16"/>
                <w:szCs w:val="16"/>
                <w:lang w:val="es-ES_tradnl" w:eastAsia="es-ES"/>
              </w:rPr>
              <w:t>0,2%</w:t>
            </w:r>
          </w:p>
        </w:tc>
      </w:tr>
      <w:tr>
        <w:tblPrEx>
          <w:tblCellMar>
            <w:top w:w="0" w:type="dxa"/>
            <w:left w:w="0" w:type="dxa"/>
            <w:bottom w:w="0" w:type="dxa"/>
            <w:right w:w="0" w:type="dxa"/>
          </w:tblCellMar>
        </w:tblPrEx>
        <w:trPr>
          <w:trHeight w:val="20"/>
        </w:trPr>
        <w:tc>
          <w:tcPr>
            <w:tcW w:w="681" w:type="dxa"/>
            <w:tcBorders>
              <w:top w:val="nil"/>
              <w:left w:val="single" w:sz="8" w:space="0" w:color="000000"/>
              <w:bottom w:val="nil"/>
              <w:right w:val="single" w:sz="4" w:space="0" w:color="000000"/>
            </w:tcBorders>
            <w:shd w:val="clear" w:color="auto" w:fill="auto"/>
            <w:tcMar>
              <w:top w:w="80" w:type="dxa"/>
              <w:left w:w="80" w:type="dxa"/>
              <w:bottom w:w="80" w:type="dxa"/>
              <w:right w:w="80" w:type="dxa"/>
            </w:tcMar>
            <w:vAlign w:val="bottom"/>
          </w:tcPr>
          <w:p>
            <w:pPr>
              <w:rPr>
                <w:rFonts w:eastAsia="Times New Roman"/>
                <w:b w:val="0"/>
                <w:sz w:val="16"/>
                <w:szCs w:val="16"/>
                <w:lang w:val="es-ES_tradnl" w:eastAsia="es-ES"/>
              </w:rPr>
            </w:pPr>
            <w:r>
              <w:rPr>
                <w:rFonts w:eastAsia="Times New Roman"/>
                <w:b w:val="0"/>
                <w:sz w:val="16"/>
                <w:szCs w:val="16"/>
                <w:lang w:val="es-ES_tradnl" w:eastAsia="es-ES"/>
              </w:rPr>
              <w:t>07</w:t>
            </w:r>
          </w:p>
        </w:tc>
        <w:tc>
          <w:tcPr>
            <w:tcW w:w="3402"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bottom"/>
          </w:tcPr>
          <w:p>
            <w:pPr>
              <w:rPr>
                <w:rFonts w:eastAsia="Times New Roman"/>
                <w:b w:val="0"/>
                <w:sz w:val="16"/>
                <w:szCs w:val="16"/>
                <w:lang w:val="es-ES_tradnl" w:eastAsia="es-ES"/>
              </w:rPr>
            </w:pPr>
            <w:r>
              <w:rPr>
                <w:rFonts w:eastAsia="Times New Roman"/>
                <w:b w:val="0"/>
                <w:sz w:val="16"/>
                <w:szCs w:val="16"/>
                <w:lang w:val="es-ES_tradnl" w:eastAsia="es-ES"/>
              </w:rPr>
              <w:t>INGRESOS DE OPERACIÓN</w:t>
            </w:r>
          </w:p>
        </w:tc>
        <w:tc>
          <w:tcPr>
            <w:tcW w:w="1701"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bottom"/>
          </w:tcPr>
          <w:p>
            <w:pPr>
              <w:rPr>
                <w:rFonts w:eastAsia="Times New Roman"/>
                <w:b w:val="0"/>
                <w:sz w:val="16"/>
                <w:szCs w:val="16"/>
                <w:lang w:val="es-ES_tradnl" w:eastAsia="es-ES"/>
              </w:rPr>
            </w:pPr>
            <w:r>
              <w:rPr>
                <w:rFonts w:eastAsia="Times New Roman"/>
                <w:b w:val="0"/>
                <w:sz w:val="16"/>
                <w:szCs w:val="16"/>
                <w:lang w:val="es-ES_tradnl" w:eastAsia="es-ES"/>
              </w:rPr>
              <w:t>853.548</w:t>
            </w:r>
          </w:p>
        </w:tc>
        <w:tc>
          <w:tcPr>
            <w:tcW w:w="1559"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bottom"/>
          </w:tcPr>
          <w:p>
            <w:pPr>
              <w:rPr>
                <w:rFonts w:eastAsia="Times New Roman"/>
                <w:b w:val="0"/>
                <w:sz w:val="16"/>
                <w:szCs w:val="16"/>
                <w:lang w:val="es-ES_tradnl" w:eastAsia="es-ES"/>
              </w:rPr>
            </w:pPr>
            <w:r>
              <w:rPr>
                <w:rFonts w:eastAsia="Times New Roman"/>
                <w:b w:val="0"/>
                <w:sz w:val="16"/>
                <w:szCs w:val="16"/>
                <w:lang w:val="es-ES_tradnl" w:eastAsia="es-ES"/>
              </w:rPr>
              <w:t>853.548</w:t>
            </w:r>
          </w:p>
        </w:tc>
        <w:tc>
          <w:tcPr>
            <w:tcW w:w="1497" w:type="dxa"/>
            <w:tcBorders>
              <w:top w:val="nil"/>
              <w:left w:val="single" w:sz="4" w:space="0" w:color="000000"/>
              <w:bottom w:val="nil"/>
              <w:right w:val="single" w:sz="8" w:space="0" w:color="000000"/>
            </w:tcBorders>
            <w:shd w:val="clear" w:color="auto" w:fill="auto"/>
            <w:tcMar>
              <w:top w:w="80" w:type="dxa"/>
              <w:left w:w="80" w:type="dxa"/>
              <w:bottom w:w="80" w:type="dxa"/>
              <w:right w:w="80" w:type="dxa"/>
            </w:tcMar>
            <w:vAlign w:val="bottom"/>
          </w:tcPr>
          <w:p>
            <w:pPr>
              <w:rPr>
                <w:rFonts w:eastAsia="Times New Roman"/>
                <w:b w:val="0"/>
                <w:sz w:val="16"/>
                <w:szCs w:val="16"/>
                <w:lang w:val="es-ES_tradnl" w:eastAsia="es-ES"/>
              </w:rPr>
            </w:pPr>
            <w:r>
              <w:rPr>
                <w:rFonts w:eastAsia="Times New Roman"/>
                <w:b w:val="0"/>
                <w:sz w:val="16"/>
                <w:szCs w:val="16"/>
                <w:lang w:val="es-ES_tradnl" w:eastAsia="es-ES"/>
              </w:rPr>
              <w:t>0,0%</w:t>
            </w:r>
          </w:p>
        </w:tc>
      </w:tr>
      <w:tr>
        <w:tblPrEx>
          <w:tblCellMar>
            <w:top w:w="0" w:type="dxa"/>
            <w:left w:w="0" w:type="dxa"/>
            <w:bottom w:w="0" w:type="dxa"/>
            <w:right w:w="0" w:type="dxa"/>
          </w:tblCellMar>
        </w:tblPrEx>
        <w:trPr>
          <w:trHeight w:val="20"/>
        </w:trPr>
        <w:tc>
          <w:tcPr>
            <w:tcW w:w="681" w:type="dxa"/>
            <w:tcBorders>
              <w:top w:val="nil"/>
              <w:left w:val="single" w:sz="8" w:space="0" w:color="000000"/>
              <w:bottom w:val="nil"/>
              <w:right w:val="single" w:sz="4" w:space="0" w:color="000000"/>
            </w:tcBorders>
            <w:shd w:val="clear" w:color="auto" w:fill="auto"/>
            <w:tcMar>
              <w:top w:w="80" w:type="dxa"/>
              <w:left w:w="80" w:type="dxa"/>
              <w:bottom w:w="80" w:type="dxa"/>
              <w:right w:w="80" w:type="dxa"/>
            </w:tcMar>
            <w:vAlign w:val="bottom"/>
          </w:tcPr>
          <w:p>
            <w:pPr>
              <w:rPr>
                <w:rFonts w:eastAsia="Times New Roman"/>
                <w:b w:val="0"/>
                <w:sz w:val="16"/>
                <w:szCs w:val="16"/>
                <w:lang w:val="es-ES_tradnl" w:eastAsia="es-ES"/>
              </w:rPr>
            </w:pPr>
            <w:r>
              <w:rPr>
                <w:rFonts w:eastAsia="Times New Roman"/>
                <w:b w:val="0"/>
                <w:sz w:val="16"/>
                <w:szCs w:val="16"/>
                <w:lang w:val="es-ES_tradnl" w:eastAsia="es-ES"/>
              </w:rPr>
              <w:t>08</w:t>
            </w:r>
          </w:p>
        </w:tc>
        <w:tc>
          <w:tcPr>
            <w:tcW w:w="3402"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bottom"/>
          </w:tcPr>
          <w:p>
            <w:pPr>
              <w:rPr>
                <w:rFonts w:eastAsia="Times New Roman"/>
                <w:b w:val="0"/>
                <w:sz w:val="16"/>
                <w:szCs w:val="16"/>
                <w:lang w:val="es-ES_tradnl" w:eastAsia="es-ES"/>
              </w:rPr>
            </w:pPr>
            <w:r>
              <w:rPr>
                <w:rFonts w:eastAsia="Times New Roman"/>
                <w:b w:val="0"/>
                <w:sz w:val="16"/>
                <w:szCs w:val="16"/>
                <w:lang w:val="es-ES_tradnl" w:eastAsia="es-ES"/>
              </w:rPr>
              <w:t>OTROS INGRESOS CORRIENTES</w:t>
            </w:r>
          </w:p>
        </w:tc>
        <w:tc>
          <w:tcPr>
            <w:tcW w:w="1701"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bottom"/>
          </w:tcPr>
          <w:p>
            <w:pPr>
              <w:rPr>
                <w:rFonts w:eastAsia="Times New Roman"/>
                <w:b w:val="0"/>
                <w:sz w:val="16"/>
                <w:szCs w:val="16"/>
                <w:lang w:val="es-ES_tradnl" w:eastAsia="es-ES"/>
              </w:rPr>
            </w:pPr>
            <w:r>
              <w:rPr>
                <w:rFonts w:eastAsia="Times New Roman"/>
                <w:b w:val="0"/>
                <w:sz w:val="16"/>
                <w:szCs w:val="16"/>
                <w:lang w:val="es-ES_tradnl" w:eastAsia="es-ES"/>
              </w:rPr>
              <w:t>64.609.144</w:t>
            </w:r>
          </w:p>
        </w:tc>
        <w:tc>
          <w:tcPr>
            <w:tcW w:w="1559"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bottom"/>
          </w:tcPr>
          <w:p>
            <w:pPr>
              <w:rPr>
                <w:rFonts w:eastAsia="Times New Roman"/>
                <w:b w:val="0"/>
                <w:sz w:val="16"/>
                <w:szCs w:val="16"/>
                <w:lang w:val="es-ES_tradnl" w:eastAsia="es-ES"/>
              </w:rPr>
            </w:pPr>
            <w:r>
              <w:rPr>
                <w:rFonts w:eastAsia="Times New Roman"/>
                <w:b w:val="0"/>
                <w:sz w:val="16"/>
                <w:szCs w:val="16"/>
                <w:lang w:val="es-ES_tradnl" w:eastAsia="es-ES"/>
              </w:rPr>
              <w:t>70.965.299</w:t>
            </w:r>
          </w:p>
        </w:tc>
        <w:tc>
          <w:tcPr>
            <w:tcW w:w="1497" w:type="dxa"/>
            <w:tcBorders>
              <w:top w:val="nil"/>
              <w:left w:val="single" w:sz="4" w:space="0" w:color="000000"/>
              <w:bottom w:val="nil"/>
              <w:right w:val="single" w:sz="8" w:space="0" w:color="000000"/>
            </w:tcBorders>
            <w:shd w:val="clear" w:color="auto" w:fill="auto"/>
            <w:tcMar>
              <w:top w:w="80" w:type="dxa"/>
              <w:left w:w="80" w:type="dxa"/>
              <w:bottom w:w="80" w:type="dxa"/>
              <w:right w:w="80" w:type="dxa"/>
            </w:tcMar>
            <w:vAlign w:val="bottom"/>
          </w:tcPr>
          <w:p>
            <w:pPr>
              <w:rPr>
                <w:rFonts w:eastAsia="Times New Roman"/>
                <w:b w:val="0"/>
                <w:sz w:val="16"/>
                <w:szCs w:val="16"/>
                <w:lang w:val="es-ES_tradnl" w:eastAsia="es-ES"/>
              </w:rPr>
            </w:pPr>
            <w:r>
              <w:rPr>
                <w:rFonts w:eastAsia="Times New Roman"/>
                <w:b w:val="0"/>
                <w:sz w:val="16"/>
                <w:szCs w:val="16"/>
                <w:lang w:val="es-ES_tradnl" w:eastAsia="es-ES"/>
              </w:rPr>
              <w:t>9,8%</w:t>
            </w:r>
          </w:p>
        </w:tc>
      </w:tr>
      <w:tr>
        <w:tblPrEx>
          <w:tblCellMar>
            <w:top w:w="0" w:type="dxa"/>
            <w:left w:w="0" w:type="dxa"/>
            <w:bottom w:w="0" w:type="dxa"/>
            <w:right w:w="0" w:type="dxa"/>
          </w:tblCellMar>
        </w:tblPrEx>
        <w:trPr>
          <w:trHeight w:val="20"/>
        </w:trPr>
        <w:tc>
          <w:tcPr>
            <w:tcW w:w="681" w:type="dxa"/>
            <w:tcBorders>
              <w:top w:val="nil"/>
              <w:left w:val="single" w:sz="8" w:space="0" w:color="000000"/>
              <w:bottom w:val="nil"/>
              <w:right w:val="single" w:sz="4" w:space="0" w:color="000000"/>
            </w:tcBorders>
            <w:shd w:val="clear" w:color="auto" w:fill="auto"/>
            <w:tcMar>
              <w:top w:w="80" w:type="dxa"/>
              <w:left w:w="80" w:type="dxa"/>
              <w:bottom w:w="80" w:type="dxa"/>
              <w:right w:w="80" w:type="dxa"/>
            </w:tcMar>
            <w:vAlign w:val="bottom"/>
          </w:tcPr>
          <w:p>
            <w:pPr>
              <w:rPr>
                <w:rFonts w:eastAsia="Times New Roman"/>
                <w:b w:val="0"/>
                <w:sz w:val="16"/>
                <w:szCs w:val="16"/>
                <w:lang w:val="es-ES_tradnl" w:eastAsia="es-ES"/>
              </w:rPr>
            </w:pPr>
            <w:r>
              <w:rPr>
                <w:rFonts w:eastAsia="Times New Roman"/>
                <w:b w:val="0"/>
                <w:sz w:val="16"/>
                <w:szCs w:val="16"/>
                <w:lang w:val="es-ES_tradnl" w:eastAsia="es-ES"/>
              </w:rPr>
              <w:t>09</w:t>
            </w:r>
          </w:p>
        </w:tc>
        <w:tc>
          <w:tcPr>
            <w:tcW w:w="3402"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bottom"/>
          </w:tcPr>
          <w:p>
            <w:pPr>
              <w:rPr>
                <w:rFonts w:eastAsia="Times New Roman"/>
                <w:b w:val="0"/>
                <w:sz w:val="16"/>
                <w:szCs w:val="16"/>
                <w:lang w:val="es-ES_tradnl" w:eastAsia="es-ES"/>
              </w:rPr>
            </w:pPr>
            <w:r>
              <w:rPr>
                <w:rFonts w:eastAsia="Times New Roman"/>
                <w:b w:val="0"/>
                <w:sz w:val="16"/>
                <w:szCs w:val="16"/>
                <w:lang w:val="es-ES_tradnl" w:eastAsia="es-ES"/>
              </w:rPr>
              <w:t>APORTE FISCAL</w:t>
            </w:r>
          </w:p>
        </w:tc>
        <w:tc>
          <w:tcPr>
            <w:tcW w:w="1701"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bottom"/>
          </w:tcPr>
          <w:p>
            <w:pPr>
              <w:rPr>
                <w:rFonts w:eastAsia="Times New Roman"/>
                <w:b w:val="0"/>
                <w:sz w:val="16"/>
                <w:szCs w:val="16"/>
                <w:lang w:val="es-ES_tradnl" w:eastAsia="es-ES"/>
              </w:rPr>
            </w:pPr>
            <w:r>
              <w:rPr>
                <w:rFonts w:eastAsia="Times New Roman"/>
                <w:b w:val="0"/>
                <w:sz w:val="16"/>
                <w:szCs w:val="16"/>
                <w:lang w:val="es-ES_tradnl" w:eastAsia="es-ES"/>
              </w:rPr>
              <w:t>416.922.653</w:t>
            </w:r>
          </w:p>
        </w:tc>
        <w:tc>
          <w:tcPr>
            <w:tcW w:w="1559"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bottom"/>
          </w:tcPr>
          <w:p>
            <w:pPr>
              <w:rPr>
                <w:rFonts w:eastAsia="Times New Roman"/>
                <w:b w:val="0"/>
                <w:sz w:val="16"/>
                <w:szCs w:val="16"/>
                <w:lang w:val="es-ES_tradnl" w:eastAsia="es-ES"/>
              </w:rPr>
            </w:pPr>
            <w:r>
              <w:rPr>
                <w:rFonts w:eastAsia="Times New Roman"/>
                <w:b w:val="0"/>
                <w:sz w:val="16"/>
                <w:szCs w:val="16"/>
                <w:lang w:val="es-ES_tradnl" w:eastAsia="es-ES"/>
              </w:rPr>
              <w:t>415.944.574</w:t>
            </w:r>
          </w:p>
        </w:tc>
        <w:tc>
          <w:tcPr>
            <w:tcW w:w="1497" w:type="dxa"/>
            <w:tcBorders>
              <w:top w:val="nil"/>
              <w:left w:val="single" w:sz="4" w:space="0" w:color="000000"/>
              <w:bottom w:val="nil"/>
              <w:right w:val="single" w:sz="8" w:space="0" w:color="000000"/>
            </w:tcBorders>
            <w:shd w:val="clear" w:color="auto" w:fill="auto"/>
            <w:tcMar>
              <w:top w:w="80" w:type="dxa"/>
              <w:left w:w="80" w:type="dxa"/>
              <w:bottom w:w="80" w:type="dxa"/>
              <w:right w:w="80" w:type="dxa"/>
            </w:tcMar>
            <w:vAlign w:val="bottom"/>
          </w:tcPr>
          <w:p>
            <w:pPr>
              <w:rPr>
                <w:rFonts w:eastAsia="Times New Roman"/>
                <w:b w:val="0"/>
                <w:sz w:val="16"/>
                <w:szCs w:val="16"/>
                <w:lang w:val="es-ES_tradnl" w:eastAsia="es-ES"/>
              </w:rPr>
            </w:pPr>
            <w:r>
              <w:rPr>
                <w:rFonts w:eastAsia="Times New Roman"/>
                <w:b w:val="0"/>
                <w:sz w:val="16"/>
                <w:szCs w:val="16"/>
                <w:lang w:val="es-ES_tradnl" w:eastAsia="es-ES"/>
              </w:rPr>
              <w:t>-0,2%</w:t>
            </w:r>
          </w:p>
        </w:tc>
      </w:tr>
      <w:tr>
        <w:tblPrEx>
          <w:tblCellMar>
            <w:top w:w="0" w:type="dxa"/>
            <w:left w:w="0" w:type="dxa"/>
            <w:bottom w:w="0" w:type="dxa"/>
            <w:right w:w="0" w:type="dxa"/>
          </w:tblCellMar>
        </w:tblPrEx>
        <w:trPr>
          <w:trHeight w:val="20"/>
        </w:trPr>
        <w:tc>
          <w:tcPr>
            <w:tcW w:w="681" w:type="dxa"/>
            <w:tcBorders>
              <w:top w:val="nil"/>
              <w:left w:val="single" w:sz="8" w:space="0" w:color="000000"/>
              <w:bottom w:val="nil"/>
              <w:right w:val="single" w:sz="4" w:space="0" w:color="000000"/>
            </w:tcBorders>
            <w:shd w:val="clear" w:color="auto" w:fill="auto"/>
            <w:tcMar>
              <w:top w:w="80" w:type="dxa"/>
              <w:left w:w="80" w:type="dxa"/>
              <w:bottom w:w="80" w:type="dxa"/>
              <w:right w:w="80" w:type="dxa"/>
            </w:tcMar>
            <w:vAlign w:val="bottom"/>
          </w:tcPr>
          <w:p>
            <w:pPr>
              <w:rPr>
                <w:rFonts w:eastAsia="Times New Roman"/>
                <w:b w:val="0"/>
                <w:sz w:val="16"/>
                <w:szCs w:val="16"/>
                <w:lang w:val="es-ES_tradnl" w:eastAsia="es-ES"/>
              </w:rPr>
            </w:pPr>
            <w:r>
              <w:rPr>
                <w:rFonts w:eastAsia="Times New Roman"/>
                <w:b w:val="0"/>
                <w:sz w:val="16"/>
                <w:szCs w:val="16"/>
                <w:lang w:val="es-ES_tradnl" w:eastAsia="es-ES"/>
              </w:rPr>
              <w:t>10</w:t>
            </w:r>
          </w:p>
        </w:tc>
        <w:tc>
          <w:tcPr>
            <w:tcW w:w="3402"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bottom"/>
          </w:tcPr>
          <w:p>
            <w:pPr>
              <w:rPr>
                <w:rFonts w:eastAsia="Times New Roman"/>
                <w:b w:val="0"/>
                <w:sz w:val="16"/>
                <w:szCs w:val="16"/>
                <w:lang w:val="es-ES_tradnl" w:eastAsia="es-ES"/>
              </w:rPr>
            </w:pPr>
            <w:r>
              <w:rPr>
                <w:rFonts w:eastAsia="Times New Roman"/>
                <w:b w:val="0"/>
                <w:sz w:val="16"/>
                <w:szCs w:val="16"/>
                <w:lang w:val="es-ES_tradnl" w:eastAsia="es-ES"/>
              </w:rPr>
              <w:t>VENTA DE ACTIVOS NO FINANCIEROS</w:t>
            </w:r>
          </w:p>
        </w:tc>
        <w:tc>
          <w:tcPr>
            <w:tcW w:w="1701"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bottom"/>
          </w:tcPr>
          <w:p>
            <w:pPr>
              <w:rPr>
                <w:rFonts w:eastAsia="Times New Roman"/>
                <w:b w:val="0"/>
                <w:sz w:val="16"/>
                <w:szCs w:val="16"/>
                <w:lang w:val="es-ES_tradnl" w:eastAsia="es-ES"/>
              </w:rPr>
            </w:pPr>
            <w:r>
              <w:rPr>
                <w:rFonts w:eastAsia="Times New Roman"/>
                <w:b w:val="0"/>
                <w:sz w:val="16"/>
                <w:szCs w:val="16"/>
                <w:lang w:val="es-ES_tradnl" w:eastAsia="es-ES"/>
              </w:rPr>
              <w:t>120.950</w:t>
            </w:r>
          </w:p>
        </w:tc>
        <w:tc>
          <w:tcPr>
            <w:tcW w:w="1559"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bottom"/>
          </w:tcPr>
          <w:p>
            <w:pPr>
              <w:rPr>
                <w:rFonts w:eastAsia="Times New Roman"/>
                <w:b w:val="0"/>
                <w:sz w:val="16"/>
                <w:szCs w:val="16"/>
                <w:lang w:val="es-ES_tradnl" w:eastAsia="es-ES"/>
              </w:rPr>
            </w:pPr>
            <w:r>
              <w:rPr>
                <w:rFonts w:eastAsia="Times New Roman"/>
                <w:b w:val="0"/>
                <w:sz w:val="16"/>
                <w:szCs w:val="16"/>
                <w:lang w:val="es-ES_tradnl" w:eastAsia="es-ES"/>
              </w:rPr>
              <w:t>73.279</w:t>
            </w:r>
          </w:p>
        </w:tc>
        <w:tc>
          <w:tcPr>
            <w:tcW w:w="1497" w:type="dxa"/>
            <w:tcBorders>
              <w:top w:val="nil"/>
              <w:left w:val="single" w:sz="4" w:space="0" w:color="000000"/>
              <w:bottom w:val="nil"/>
              <w:right w:val="single" w:sz="8" w:space="0" w:color="000000"/>
            </w:tcBorders>
            <w:shd w:val="clear" w:color="auto" w:fill="auto"/>
            <w:tcMar>
              <w:top w:w="80" w:type="dxa"/>
              <w:left w:w="80" w:type="dxa"/>
              <w:bottom w:w="80" w:type="dxa"/>
              <w:right w:w="80" w:type="dxa"/>
            </w:tcMar>
            <w:vAlign w:val="bottom"/>
          </w:tcPr>
          <w:p>
            <w:pPr>
              <w:rPr>
                <w:rFonts w:eastAsia="Times New Roman"/>
                <w:b w:val="0"/>
                <w:sz w:val="16"/>
                <w:szCs w:val="16"/>
                <w:lang w:val="es-ES_tradnl" w:eastAsia="es-ES"/>
              </w:rPr>
            </w:pPr>
            <w:r>
              <w:rPr>
                <w:rFonts w:eastAsia="Times New Roman"/>
                <w:b w:val="0"/>
                <w:sz w:val="16"/>
                <w:szCs w:val="16"/>
                <w:lang w:val="es-ES_tradnl" w:eastAsia="es-ES"/>
              </w:rPr>
              <w:t>-39,4%</w:t>
            </w:r>
          </w:p>
        </w:tc>
      </w:tr>
      <w:tr>
        <w:tblPrEx>
          <w:tblCellMar>
            <w:top w:w="0" w:type="dxa"/>
            <w:left w:w="0" w:type="dxa"/>
            <w:bottom w:w="0" w:type="dxa"/>
            <w:right w:w="0" w:type="dxa"/>
          </w:tblCellMar>
        </w:tblPrEx>
        <w:trPr>
          <w:trHeight w:val="20"/>
        </w:trPr>
        <w:tc>
          <w:tcPr>
            <w:tcW w:w="681" w:type="dxa"/>
            <w:tcBorders>
              <w:top w:val="nil"/>
              <w:left w:val="single" w:sz="8" w:space="0" w:color="000000"/>
              <w:bottom w:val="nil"/>
              <w:right w:val="single" w:sz="4" w:space="0" w:color="000000"/>
            </w:tcBorders>
            <w:shd w:val="clear" w:color="auto" w:fill="auto"/>
            <w:tcMar>
              <w:top w:w="80" w:type="dxa"/>
              <w:left w:w="80" w:type="dxa"/>
              <w:bottom w:w="80" w:type="dxa"/>
              <w:right w:w="80" w:type="dxa"/>
            </w:tcMar>
            <w:vAlign w:val="bottom"/>
          </w:tcPr>
          <w:p>
            <w:pPr>
              <w:rPr>
                <w:rFonts w:eastAsia="Times New Roman"/>
                <w:b w:val="0"/>
                <w:sz w:val="16"/>
                <w:szCs w:val="16"/>
                <w:lang w:val="es-ES_tradnl" w:eastAsia="es-ES"/>
              </w:rPr>
            </w:pPr>
            <w:r>
              <w:rPr>
                <w:rFonts w:eastAsia="Times New Roman"/>
                <w:b w:val="0"/>
                <w:sz w:val="16"/>
                <w:szCs w:val="16"/>
                <w:lang w:val="es-ES_tradnl" w:eastAsia="es-ES"/>
              </w:rPr>
              <w:t>12</w:t>
            </w:r>
          </w:p>
        </w:tc>
        <w:tc>
          <w:tcPr>
            <w:tcW w:w="3402"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bottom"/>
          </w:tcPr>
          <w:p>
            <w:pPr>
              <w:rPr>
                <w:rFonts w:eastAsia="Times New Roman"/>
                <w:b w:val="0"/>
                <w:sz w:val="16"/>
                <w:szCs w:val="16"/>
                <w:lang w:val="es-ES_tradnl" w:eastAsia="es-ES"/>
              </w:rPr>
            </w:pPr>
            <w:r>
              <w:rPr>
                <w:rFonts w:eastAsia="Times New Roman"/>
                <w:b w:val="0"/>
                <w:sz w:val="16"/>
                <w:szCs w:val="16"/>
                <w:lang w:val="es-ES_tradnl" w:eastAsia="es-ES"/>
              </w:rPr>
              <w:t>RECUPERACIÓN DE PRESTAMOS</w:t>
            </w:r>
          </w:p>
        </w:tc>
        <w:tc>
          <w:tcPr>
            <w:tcW w:w="1701"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bottom"/>
          </w:tcPr>
          <w:p>
            <w:pPr>
              <w:rPr>
                <w:rFonts w:eastAsia="Times New Roman"/>
                <w:b w:val="0"/>
                <w:sz w:val="16"/>
                <w:szCs w:val="16"/>
                <w:lang w:val="es-ES_tradnl" w:eastAsia="es-ES"/>
              </w:rPr>
            </w:pPr>
            <w:r>
              <w:rPr>
                <w:rFonts w:eastAsia="Times New Roman"/>
                <w:b w:val="0"/>
                <w:sz w:val="16"/>
                <w:szCs w:val="16"/>
                <w:lang w:val="es-ES_tradnl" w:eastAsia="es-ES"/>
              </w:rPr>
              <w:t>22.465</w:t>
            </w:r>
          </w:p>
        </w:tc>
        <w:tc>
          <w:tcPr>
            <w:tcW w:w="1559"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bottom"/>
          </w:tcPr>
          <w:p>
            <w:pPr>
              <w:rPr>
                <w:rFonts w:eastAsia="Times New Roman"/>
                <w:b w:val="0"/>
                <w:sz w:val="16"/>
                <w:szCs w:val="16"/>
                <w:lang w:val="es-ES_tradnl" w:eastAsia="es-ES"/>
              </w:rPr>
            </w:pPr>
            <w:r>
              <w:rPr>
                <w:rFonts w:eastAsia="Times New Roman"/>
                <w:b w:val="0"/>
                <w:sz w:val="16"/>
                <w:szCs w:val="16"/>
                <w:lang w:val="es-ES_tradnl" w:eastAsia="es-ES"/>
              </w:rPr>
              <w:t>8.250</w:t>
            </w:r>
          </w:p>
        </w:tc>
        <w:tc>
          <w:tcPr>
            <w:tcW w:w="1497" w:type="dxa"/>
            <w:tcBorders>
              <w:top w:val="nil"/>
              <w:left w:val="single" w:sz="4" w:space="0" w:color="000000"/>
              <w:bottom w:val="nil"/>
              <w:right w:val="single" w:sz="8" w:space="0" w:color="000000"/>
            </w:tcBorders>
            <w:shd w:val="clear" w:color="auto" w:fill="auto"/>
            <w:tcMar>
              <w:top w:w="80" w:type="dxa"/>
              <w:left w:w="80" w:type="dxa"/>
              <w:bottom w:w="80" w:type="dxa"/>
              <w:right w:w="80" w:type="dxa"/>
            </w:tcMar>
            <w:vAlign w:val="bottom"/>
          </w:tcPr>
          <w:p>
            <w:pPr>
              <w:rPr>
                <w:rFonts w:eastAsia="Times New Roman"/>
                <w:b w:val="0"/>
                <w:sz w:val="16"/>
                <w:szCs w:val="16"/>
                <w:lang w:val="es-ES_tradnl" w:eastAsia="es-ES"/>
              </w:rPr>
            </w:pPr>
            <w:r>
              <w:rPr>
                <w:rFonts w:eastAsia="Times New Roman"/>
                <w:b w:val="0"/>
                <w:sz w:val="16"/>
                <w:szCs w:val="16"/>
                <w:lang w:val="es-ES_tradnl" w:eastAsia="es-ES"/>
              </w:rPr>
              <w:t>-63,3%</w:t>
            </w:r>
          </w:p>
        </w:tc>
      </w:tr>
      <w:tr>
        <w:tblPrEx>
          <w:tblCellMar>
            <w:top w:w="0" w:type="dxa"/>
            <w:left w:w="0" w:type="dxa"/>
            <w:bottom w:w="0" w:type="dxa"/>
            <w:right w:w="0" w:type="dxa"/>
          </w:tblCellMar>
        </w:tblPrEx>
        <w:trPr>
          <w:trHeight w:val="20"/>
        </w:trPr>
        <w:tc>
          <w:tcPr>
            <w:tcW w:w="681" w:type="dxa"/>
            <w:tcBorders>
              <w:top w:val="nil"/>
              <w:left w:val="single" w:sz="8" w:space="0" w:color="000000"/>
              <w:bottom w:val="nil"/>
              <w:right w:val="single" w:sz="4" w:space="0" w:color="000000"/>
            </w:tcBorders>
            <w:shd w:val="clear" w:color="auto" w:fill="auto"/>
            <w:tcMar>
              <w:top w:w="80" w:type="dxa"/>
              <w:left w:w="80" w:type="dxa"/>
              <w:bottom w:w="80" w:type="dxa"/>
              <w:right w:w="80" w:type="dxa"/>
            </w:tcMar>
            <w:vAlign w:val="bottom"/>
          </w:tcPr>
          <w:p>
            <w:pPr>
              <w:rPr>
                <w:rFonts w:eastAsia="Times New Roman"/>
                <w:b w:val="0"/>
                <w:sz w:val="16"/>
                <w:szCs w:val="16"/>
                <w:lang w:val="es-ES_tradnl" w:eastAsia="es-ES"/>
              </w:rPr>
            </w:pPr>
            <w:r>
              <w:rPr>
                <w:rFonts w:eastAsia="Times New Roman"/>
                <w:b w:val="0"/>
                <w:sz w:val="16"/>
                <w:szCs w:val="16"/>
                <w:lang w:val="es-ES_tradnl" w:eastAsia="es-ES"/>
              </w:rPr>
              <w:t>14</w:t>
            </w:r>
          </w:p>
        </w:tc>
        <w:tc>
          <w:tcPr>
            <w:tcW w:w="3402"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bottom"/>
          </w:tcPr>
          <w:p>
            <w:pPr>
              <w:rPr>
                <w:rFonts w:eastAsia="Times New Roman"/>
                <w:b w:val="0"/>
                <w:sz w:val="16"/>
                <w:szCs w:val="16"/>
                <w:lang w:val="es-ES_tradnl" w:eastAsia="es-ES"/>
              </w:rPr>
            </w:pPr>
            <w:r>
              <w:rPr>
                <w:rFonts w:eastAsia="Times New Roman"/>
                <w:b w:val="0"/>
                <w:sz w:val="16"/>
                <w:szCs w:val="16"/>
                <w:lang w:val="es-ES_tradnl" w:eastAsia="es-ES"/>
              </w:rPr>
              <w:t>ENDEUDAMIENTO</w:t>
            </w:r>
          </w:p>
        </w:tc>
        <w:tc>
          <w:tcPr>
            <w:tcW w:w="1701"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bottom"/>
          </w:tcPr>
          <w:p>
            <w:pPr>
              <w:rPr>
                <w:rFonts w:eastAsia="Times New Roman"/>
                <w:b w:val="0"/>
                <w:sz w:val="16"/>
                <w:szCs w:val="16"/>
                <w:lang w:val="es-ES_tradnl" w:eastAsia="es-ES"/>
              </w:rPr>
            </w:pPr>
            <w:r>
              <w:rPr>
                <w:rFonts w:eastAsia="Times New Roman"/>
                <w:b w:val="0"/>
                <w:sz w:val="16"/>
                <w:szCs w:val="16"/>
                <w:lang w:val="es-ES_tradnl" w:eastAsia="es-ES"/>
              </w:rPr>
              <w:t>3.413.038</w:t>
            </w:r>
          </w:p>
        </w:tc>
        <w:tc>
          <w:tcPr>
            <w:tcW w:w="1559"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bottom"/>
          </w:tcPr>
          <w:p>
            <w:pPr>
              <w:rPr>
                <w:rFonts w:eastAsia="Times New Roman"/>
                <w:b w:val="0"/>
                <w:sz w:val="16"/>
                <w:szCs w:val="16"/>
                <w:lang w:val="es-ES_tradnl" w:eastAsia="es-ES"/>
              </w:rPr>
            </w:pPr>
            <w:r>
              <w:rPr>
                <w:rFonts w:eastAsia="Times New Roman"/>
                <w:b w:val="0"/>
                <w:sz w:val="16"/>
                <w:szCs w:val="16"/>
                <w:lang w:val="es-ES_tradnl" w:eastAsia="es-ES"/>
              </w:rPr>
              <w:t>5.677.488</w:t>
            </w:r>
          </w:p>
        </w:tc>
        <w:tc>
          <w:tcPr>
            <w:tcW w:w="1497" w:type="dxa"/>
            <w:tcBorders>
              <w:top w:val="nil"/>
              <w:left w:val="single" w:sz="4" w:space="0" w:color="000000"/>
              <w:bottom w:val="nil"/>
              <w:right w:val="single" w:sz="8" w:space="0" w:color="000000"/>
            </w:tcBorders>
            <w:shd w:val="clear" w:color="auto" w:fill="auto"/>
            <w:tcMar>
              <w:top w:w="80" w:type="dxa"/>
              <w:left w:w="80" w:type="dxa"/>
              <w:bottom w:w="80" w:type="dxa"/>
              <w:right w:w="80" w:type="dxa"/>
            </w:tcMar>
            <w:vAlign w:val="bottom"/>
          </w:tcPr>
          <w:p>
            <w:pPr>
              <w:rPr>
                <w:rFonts w:eastAsia="Times New Roman"/>
                <w:b w:val="0"/>
                <w:sz w:val="16"/>
                <w:szCs w:val="16"/>
                <w:lang w:val="es-ES_tradnl" w:eastAsia="es-ES"/>
              </w:rPr>
            </w:pPr>
            <w:r>
              <w:rPr>
                <w:rFonts w:eastAsia="Times New Roman"/>
                <w:b w:val="0"/>
                <w:sz w:val="16"/>
                <w:szCs w:val="16"/>
                <w:lang w:val="es-ES_tradnl" w:eastAsia="es-ES"/>
              </w:rPr>
              <w:t>66,3%</w:t>
            </w:r>
          </w:p>
        </w:tc>
      </w:tr>
      <w:tr>
        <w:tblPrEx>
          <w:tblCellMar>
            <w:top w:w="0" w:type="dxa"/>
            <w:left w:w="0" w:type="dxa"/>
            <w:bottom w:w="0" w:type="dxa"/>
            <w:right w:w="0" w:type="dxa"/>
          </w:tblCellMar>
        </w:tblPrEx>
        <w:trPr>
          <w:trHeight w:val="20"/>
        </w:trPr>
        <w:tc>
          <w:tcPr>
            <w:tcW w:w="681" w:type="dxa"/>
            <w:tcBorders>
              <w:top w:val="nil"/>
              <w:left w:val="single" w:sz="8" w:space="0" w:color="000000"/>
              <w:bottom w:val="nil"/>
              <w:right w:val="single" w:sz="4" w:space="0" w:color="000000"/>
            </w:tcBorders>
            <w:shd w:val="clear" w:color="auto" w:fill="auto"/>
            <w:tcMar>
              <w:top w:w="80" w:type="dxa"/>
              <w:left w:w="80" w:type="dxa"/>
              <w:bottom w:w="80" w:type="dxa"/>
              <w:right w:w="80" w:type="dxa"/>
            </w:tcMar>
            <w:vAlign w:val="bottom"/>
          </w:tcPr>
          <w:p>
            <w:pPr>
              <w:rPr>
                <w:rFonts w:eastAsia="Times New Roman"/>
                <w:b w:val="0"/>
                <w:sz w:val="16"/>
                <w:szCs w:val="16"/>
                <w:lang w:val="es-ES_tradnl" w:eastAsia="es-ES"/>
              </w:rPr>
            </w:pPr>
            <w:r>
              <w:rPr>
                <w:rFonts w:eastAsia="Times New Roman"/>
                <w:b w:val="0"/>
                <w:sz w:val="16"/>
                <w:szCs w:val="16"/>
                <w:lang w:val="es-ES_tradnl" w:eastAsia="es-ES"/>
              </w:rPr>
              <w:t>15</w:t>
            </w:r>
          </w:p>
        </w:tc>
        <w:tc>
          <w:tcPr>
            <w:tcW w:w="3402"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bottom"/>
          </w:tcPr>
          <w:p>
            <w:pPr>
              <w:rPr>
                <w:rFonts w:eastAsia="Times New Roman"/>
                <w:b w:val="0"/>
                <w:sz w:val="16"/>
                <w:szCs w:val="16"/>
                <w:lang w:val="es-ES_tradnl" w:eastAsia="es-ES"/>
              </w:rPr>
            </w:pPr>
            <w:r>
              <w:rPr>
                <w:rFonts w:eastAsia="Times New Roman"/>
                <w:b w:val="0"/>
                <w:sz w:val="16"/>
                <w:szCs w:val="16"/>
                <w:lang w:val="es-ES_tradnl" w:eastAsia="es-ES"/>
              </w:rPr>
              <w:t>SALDO INICIAL DE CAJA</w:t>
            </w:r>
          </w:p>
        </w:tc>
        <w:tc>
          <w:tcPr>
            <w:tcW w:w="1701"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bottom"/>
          </w:tcPr>
          <w:p>
            <w:pPr>
              <w:rPr>
                <w:rFonts w:eastAsia="Times New Roman"/>
                <w:b w:val="0"/>
                <w:sz w:val="16"/>
                <w:szCs w:val="16"/>
                <w:lang w:val="es-ES_tradnl" w:eastAsia="es-ES"/>
              </w:rPr>
            </w:pPr>
            <w:r>
              <w:rPr>
                <w:rFonts w:eastAsia="Times New Roman"/>
                <w:b w:val="0"/>
                <w:sz w:val="16"/>
                <w:szCs w:val="16"/>
                <w:lang w:val="es-ES_tradnl" w:eastAsia="es-ES"/>
              </w:rPr>
              <w:t>49.258</w:t>
            </w:r>
          </w:p>
        </w:tc>
        <w:tc>
          <w:tcPr>
            <w:tcW w:w="1559"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bottom"/>
          </w:tcPr>
          <w:p>
            <w:pPr>
              <w:rPr>
                <w:rFonts w:eastAsia="Times New Roman"/>
                <w:b w:val="0"/>
                <w:sz w:val="16"/>
                <w:szCs w:val="16"/>
                <w:lang w:val="es-ES_tradnl" w:eastAsia="es-ES"/>
              </w:rPr>
            </w:pPr>
            <w:r>
              <w:rPr>
                <w:rFonts w:eastAsia="Times New Roman"/>
                <w:b w:val="0"/>
                <w:sz w:val="16"/>
                <w:szCs w:val="16"/>
                <w:lang w:val="es-ES_tradnl" w:eastAsia="es-ES"/>
              </w:rPr>
              <w:t>12.000</w:t>
            </w:r>
          </w:p>
        </w:tc>
        <w:tc>
          <w:tcPr>
            <w:tcW w:w="1497" w:type="dxa"/>
            <w:tcBorders>
              <w:top w:val="nil"/>
              <w:left w:val="single" w:sz="4" w:space="0" w:color="000000"/>
              <w:bottom w:val="nil"/>
              <w:right w:val="single" w:sz="8" w:space="0" w:color="000000"/>
            </w:tcBorders>
            <w:shd w:val="clear" w:color="auto" w:fill="auto"/>
            <w:tcMar>
              <w:top w:w="80" w:type="dxa"/>
              <w:left w:w="80" w:type="dxa"/>
              <w:bottom w:w="80" w:type="dxa"/>
              <w:right w:w="80" w:type="dxa"/>
            </w:tcMar>
            <w:vAlign w:val="bottom"/>
          </w:tcPr>
          <w:p>
            <w:pPr>
              <w:rPr>
                <w:rFonts w:eastAsia="Times New Roman"/>
                <w:b w:val="0"/>
                <w:sz w:val="16"/>
                <w:szCs w:val="16"/>
                <w:lang w:val="es-ES_tradnl" w:eastAsia="es-ES"/>
              </w:rPr>
            </w:pPr>
            <w:r>
              <w:rPr>
                <w:rFonts w:eastAsia="Times New Roman"/>
                <w:b w:val="0"/>
                <w:sz w:val="16"/>
                <w:szCs w:val="16"/>
                <w:lang w:val="es-ES_tradnl" w:eastAsia="es-ES"/>
              </w:rPr>
              <w:t>-75,6%</w:t>
            </w:r>
          </w:p>
        </w:tc>
      </w:tr>
      <w:tr>
        <w:tblPrEx>
          <w:tblCellMar>
            <w:top w:w="0" w:type="dxa"/>
            <w:left w:w="0" w:type="dxa"/>
            <w:bottom w:w="0" w:type="dxa"/>
            <w:right w:w="0" w:type="dxa"/>
          </w:tblCellMar>
        </w:tblPrEx>
        <w:trPr>
          <w:trHeight w:val="20"/>
        </w:trPr>
        <w:tc>
          <w:tcPr>
            <w:tcW w:w="681" w:type="dxa"/>
            <w:tcBorders>
              <w:top w:val="nil"/>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pPr>
              <w:rPr>
                <w:rFonts w:eastAsia="Times New Roman"/>
                <w:b w:val="0"/>
                <w:sz w:val="16"/>
                <w:szCs w:val="16"/>
                <w:lang w:val="es-ES_tradnl" w:eastAsia="es-ES"/>
              </w:rPr>
            </w:pPr>
            <w:r>
              <w:rPr>
                <w:rFonts w:eastAsia="Times New Roman"/>
                <w:b w:val="0"/>
                <w:sz w:val="16"/>
                <w:szCs w:val="16"/>
                <w:lang w:val="es-ES_tradnl" w:eastAsia="es-ES"/>
              </w:rPr>
              <w:t> </w:t>
            </w:r>
          </w:p>
        </w:tc>
        <w:tc>
          <w:tcPr>
            <w:tcW w:w="3402"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pPr>
              <w:rPr>
                <w:rFonts w:eastAsia="Times New Roman"/>
                <w:b w:val="0"/>
                <w:sz w:val="16"/>
                <w:szCs w:val="16"/>
                <w:lang w:val="es-ES_tradnl" w:eastAsia="es-ES"/>
              </w:rPr>
            </w:pPr>
            <w:r>
              <w:rPr>
                <w:rFonts w:eastAsia="Times New Roman"/>
                <w:b w:val="0"/>
                <w:sz w:val="16"/>
                <w:szCs w:val="16"/>
                <w:lang w:val="es-ES_tradnl" w:eastAsia="es-ES"/>
              </w:rPr>
              <w:t> </w:t>
            </w:r>
          </w:p>
        </w:tc>
        <w:tc>
          <w:tcPr>
            <w:tcW w:w="1701"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pPr>
              <w:rPr>
                <w:rFonts w:eastAsia="Times New Roman"/>
                <w:b w:val="0"/>
                <w:sz w:val="16"/>
                <w:szCs w:val="16"/>
                <w:lang w:val="es-ES_tradnl" w:eastAsia="es-ES"/>
              </w:rPr>
            </w:pPr>
            <w:r>
              <w:rPr>
                <w:rFonts w:eastAsia="Times New Roman"/>
                <w:b w:val="0"/>
                <w:sz w:val="16"/>
                <w:szCs w:val="16"/>
                <w:lang w:val="es-ES_tradnl" w:eastAsia="es-ES"/>
              </w:rPr>
              <w:t> </w:t>
            </w:r>
          </w:p>
        </w:tc>
        <w:tc>
          <w:tcPr>
            <w:tcW w:w="1559"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pPr>
              <w:rPr>
                <w:rFonts w:eastAsia="Times New Roman"/>
                <w:b w:val="0"/>
                <w:sz w:val="16"/>
                <w:szCs w:val="16"/>
                <w:lang w:val="es-ES_tradnl" w:eastAsia="es-ES"/>
              </w:rPr>
            </w:pPr>
            <w:r>
              <w:rPr>
                <w:rFonts w:eastAsia="Times New Roman"/>
                <w:b w:val="0"/>
                <w:sz w:val="16"/>
                <w:szCs w:val="16"/>
                <w:lang w:val="es-ES_tradnl" w:eastAsia="es-ES"/>
              </w:rPr>
              <w:t> </w:t>
            </w:r>
          </w:p>
        </w:tc>
        <w:tc>
          <w:tcPr>
            <w:tcW w:w="1497" w:type="dxa"/>
            <w:tcBorders>
              <w:top w:val="nil"/>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pPr>
              <w:rPr>
                <w:rFonts w:eastAsia="Times New Roman"/>
                <w:b w:val="0"/>
                <w:sz w:val="16"/>
                <w:szCs w:val="16"/>
                <w:lang w:val="es-ES_tradnl" w:eastAsia="es-ES"/>
              </w:rPr>
            </w:pPr>
            <w:r>
              <w:rPr>
                <w:rFonts w:eastAsia="Times New Roman"/>
                <w:b w:val="0"/>
                <w:sz w:val="16"/>
                <w:szCs w:val="16"/>
                <w:lang w:val="es-ES_tradnl" w:eastAsia="es-ES"/>
              </w:rPr>
              <w:t> </w:t>
            </w:r>
          </w:p>
        </w:tc>
      </w:tr>
      <w:tr>
        <w:tblPrEx>
          <w:tblCellMar>
            <w:top w:w="0" w:type="dxa"/>
            <w:left w:w="0" w:type="dxa"/>
            <w:bottom w:w="0" w:type="dxa"/>
            <w:right w:w="0" w:type="dxa"/>
          </w:tblCellMar>
        </w:tblPrEx>
        <w:trPr>
          <w:trHeight w:val="20"/>
        </w:trPr>
        <w:tc>
          <w:tcPr>
            <w:tcW w:w="681"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pPr>
              <w:rPr>
                <w:rFonts w:eastAsia="Times New Roman"/>
                <w:b w:val="0"/>
                <w:sz w:val="16"/>
                <w:szCs w:val="16"/>
                <w:lang w:val="es-ES_tradnl" w:eastAsia="es-ES"/>
              </w:rPr>
            </w:pPr>
            <w:r>
              <w:rPr>
                <w:rFonts w:eastAsia="Times New Roman"/>
                <w:b w:val="0"/>
                <w:sz w:val="16"/>
                <w:szCs w:val="16"/>
                <w:lang w:val="es-ES_tradnl" w:eastAsia="es-ES"/>
              </w:rPr>
              <w:t>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pPr>
              <w:rPr>
                <w:rFonts w:eastAsia="Times New Roman"/>
                <w:b w:val="0"/>
                <w:sz w:val="16"/>
                <w:szCs w:val="16"/>
                <w:lang w:val="es-ES_tradnl" w:eastAsia="es-ES"/>
              </w:rPr>
            </w:pPr>
            <w:r>
              <w:rPr>
                <w:rFonts w:eastAsia="Times New Roman"/>
                <w:b w:val="0"/>
                <w:sz w:val="16"/>
                <w:szCs w:val="16"/>
                <w:lang w:val="es-ES_tradnl" w:eastAsia="es-ES"/>
              </w:rPr>
              <w:t>GASTOS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pPr>
              <w:rPr>
                <w:rFonts w:eastAsia="Times New Roman"/>
                <w:b w:val="0"/>
                <w:sz w:val="16"/>
                <w:szCs w:val="16"/>
                <w:lang w:val="es-ES_tradnl" w:eastAsia="es-ES"/>
              </w:rPr>
            </w:pPr>
            <w:r>
              <w:rPr>
                <w:rFonts w:eastAsia="Times New Roman"/>
                <w:b w:val="0"/>
                <w:sz w:val="16"/>
                <w:szCs w:val="16"/>
                <w:lang w:val="es-ES_tradnl" w:eastAsia="es-ES"/>
              </w:rPr>
              <w:t>486.401.587</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pPr>
              <w:rPr>
                <w:rFonts w:eastAsia="Times New Roman"/>
                <w:b w:val="0"/>
                <w:sz w:val="16"/>
                <w:szCs w:val="16"/>
                <w:lang w:val="es-ES_tradnl" w:eastAsia="es-ES"/>
              </w:rPr>
            </w:pPr>
            <w:r>
              <w:rPr>
                <w:rFonts w:eastAsia="Times New Roman"/>
                <w:b w:val="0"/>
                <w:sz w:val="16"/>
                <w:szCs w:val="16"/>
                <w:lang w:val="es-ES_tradnl" w:eastAsia="es-ES"/>
              </w:rPr>
              <w:t>493.928.374</w:t>
            </w:r>
          </w:p>
        </w:tc>
        <w:tc>
          <w:tcPr>
            <w:tcW w:w="1497"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pPr>
              <w:rPr>
                <w:rFonts w:eastAsia="Times New Roman"/>
                <w:b w:val="0"/>
                <w:sz w:val="16"/>
                <w:szCs w:val="16"/>
                <w:lang w:val="es-ES_tradnl" w:eastAsia="es-ES"/>
              </w:rPr>
            </w:pPr>
            <w:r>
              <w:rPr>
                <w:rFonts w:eastAsia="Times New Roman"/>
                <w:b w:val="0"/>
                <w:sz w:val="16"/>
                <w:szCs w:val="16"/>
                <w:lang w:val="es-ES_tradnl" w:eastAsia="es-ES"/>
              </w:rPr>
              <w:t>1,5%</w:t>
            </w:r>
          </w:p>
        </w:tc>
      </w:tr>
      <w:tr>
        <w:tblPrEx>
          <w:tblCellMar>
            <w:top w:w="0" w:type="dxa"/>
            <w:left w:w="0" w:type="dxa"/>
            <w:bottom w:w="0" w:type="dxa"/>
            <w:right w:w="0" w:type="dxa"/>
          </w:tblCellMar>
        </w:tblPrEx>
        <w:trPr>
          <w:trHeight w:val="20"/>
        </w:trPr>
        <w:tc>
          <w:tcPr>
            <w:tcW w:w="681" w:type="dxa"/>
            <w:tcBorders>
              <w:top w:val="single" w:sz="4" w:space="0" w:color="000000"/>
              <w:left w:val="single" w:sz="8" w:space="0" w:color="000000"/>
              <w:bottom w:val="nil"/>
              <w:right w:val="single" w:sz="4" w:space="0" w:color="000000"/>
            </w:tcBorders>
            <w:shd w:val="clear" w:color="auto" w:fill="auto"/>
            <w:tcMar>
              <w:top w:w="80" w:type="dxa"/>
              <w:left w:w="80" w:type="dxa"/>
              <w:bottom w:w="80" w:type="dxa"/>
              <w:right w:w="80" w:type="dxa"/>
            </w:tcMar>
            <w:vAlign w:val="bottom"/>
          </w:tcPr>
          <w:p>
            <w:pPr>
              <w:rPr>
                <w:rFonts w:eastAsia="Times New Roman"/>
                <w:b w:val="0"/>
                <w:sz w:val="16"/>
                <w:szCs w:val="16"/>
                <w:lang w:val="es-ES_tradnl" w:eastAsia="es-ES"/>
              </w:rPr>
            </w:pPr>
            <w:r>
              <w:rPr>
                <w:rFonts w:eastAsia="Times New Roman"/>
                <w:b w:val="0"/>
                <w:sz w:val="16"/>
                <w:szCs w:val="16"/>
                <w:lang w:val="es-ES_tradnl" w:eastAsia="es-ES"/>
              </w:rPr>
              <w:t> </w:t>
            </w:r>
          </w:p>
        </w:tc>
        <w:tc>
          <w:tcPr>
            <w:tcW w:w="3402"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bottom"/>
          </w:tcPr>
          <w:p>
            <w:pPr>
              <w:rPr>
                <w:rFonts w:eastAsia="Times New Roman"/>
                <w:b w:val="0"/>
                <w:sz w:val="16"/>
                <w:szCs w:val="16"/>
                <w:lang w:val="es-ES_tradnl" w:eastAsia="es-ES"/>
              </w:rPr>
            </w:pPr>
            <w:r>
              <w:rPr>
                <w:rFonts w:eastAsia="Times New Roman"/>
                <w:b w:val="0"/>
                <w:sz w:val="16"/>
                <w:szCs w:val="16"/>
                <w:lang w:val="es-ES_tradnl" w:eastAsia="es-ES"/>
              </w:rPr>
              <w:t> </w:t>
            </w:r>
          </w:p>
        </w:tc>
        <w:tc>
          <w:tcPr>
            <w:tcW w:w="1701"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bottom"/>
          </w:tcPr>
          <w:p>
            <w:pPr>
              <w:rPr>
                <w:rFonts w:eastAsia="Times New Roman"/>
                <w:b w:val="0"/>
                <w:sz w:val="16"/>
                <w:szCs w:val="16"/>
                <w:lang w:val="es-ES_tradnl" w:eastAsia="es-ES"/>
              </w:rPr>
            </w:pPr>
            <w:r>
              <w:rPr>
                <w:rFonts w:eastAsia="Times New Roman"/>
                <w:b w:val="0"/>
                <w:sz w:val="16"/>
                <w:szCs w:val="16"/>
                <w:lang w:val="es-ES_tradnl" w:eastAsia="es-ES"/>
              </w:rPr>
              <w:t> </w:t>
            </w:r>
          </w:p>
        </w:tc>
        <w:tc>
          <w:tcPr>
            <w:tcW w:w="1559"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bottom"/>
          </w:tcPr>
          <w:p>
            <w:pPr>
              <w:rPr>
                <w:rFonts w:eastAsia="Times New Roman"/>
                <w:b w:val="0"/>
                <w:sz w:val="16"/>
                <w:szCs w:val="16"/>
                <w:lang w:val="es-ES_tradnl" w:eastAsia="es-ES"/>
              </w:rPr>
            </w:pPr>
            <w:r>
              <w:rPr>
                <w:rFonts w:eastAsia="Times New Roman"/>
                <w:b w:val="0"/>
                <w:sz w:val="16"/>
                <w:szCs w:val="16"/>
                <w:lang w:val="es-ES_tradnl" w:eastAsia="es-ES"/>
              </w:rPr>
              <w:t> </w:t>
            </w:r>
          </w:p>
        </w:tc>
        <w:tc>
          <w:tcPr>
            <w:tcW w:w="1497" w:type="dxa"/>
            <w:tcBorders>
              <w:top w:val="single" w:sz="4" w:space="0" w:color="000000"/>
              <w:left w:val="single" w:sz="4" w:space="0" w:color="000000"/>
              <w:bottom w:val="nil"/>
              <w:right w:val="single" w:sz="8" w:space="0" w:color="000000"/>
            </w:tcBorders>
            <w:shd w:val="clear" w:color="auto" w:fill="auto"/>
            <w:tcMar>
              <w:top w:w="80" w:type="dxa"/>
              <w:left w:w="80" w:type="dxa"/>
              <w:bottom w:w="80" w:type="dxa"/>
              <w:right w:w="80" w:type="dxa"/>
            </w:tcMar>
            <w:vAlign w:val="bottom"/>
          </w:tcPr>
          <w:p>
            <w:pPr>
              <w:rPr>
                <w:rFonts w:eastAsia="Times New Roman"/>
                <w:b w:val="0"/>
                <w:sz w:val="16"/>
                <w:szCs w:val="16"/>
                <w:lang w:val="es-ES_tradnl" w:eastAsia="es-ES"/>
              </w:rPr>
            </w:pPr>
            <w:r>
              <w:rPr>
                <w:rFonts w:eastAsia="Times New Roman"/>
                <w:b w:val="0"/>
                <w:sz w:val="16"/>
                <w:szCs w:val="16"/>
                <w:lang w:val="es-ES_tradnl" w:eastAsia="es-ES"/>
              </w:rPr>
              <w:t> </w:t>
            </w:r>
          </w:p>
        </w:tc>
      </w:tr>
      <w:tr>
        <w:tblPrEx>
          <w:tblCellMar>
            <w:top w:w="0" w:type="dxa"/>
            <w:left w:w="0" w:type="dxa"/>
            <w:bottom w:w="0" w:type="dxa"/>
            <w:right w:w="0" w:type="dxa"/>
          </w:tblCellMar>
        </w:tblPrEx>
        <w:trPr>
          <w:trHeight w:val="20"/>
        </w:trPr>
        <w:tc>
          <w:tcPr>
            <w:tcW w:w="681" w:type="dxa"/>
            <w:tcBorders>
              <w:top w:val="nil"/>
              <w:left w:val="single" w:sz="8" w:space="0" w:color="000000"/>
              <w:bottom w:val="nil"/>
              <w:right w:val="single" w:sz="4" w:space="0" w:color="000000"/>
            </w:tcBorders>
            <w:shd w:val="clear" w:color="auto" w:fill="auto"/>
            <w:tcMar>
              <w:top w:w="80" w:type="dxa"/>
              <w:left w:w="80" w:type="dxa"/>
              <w:bottom w:w="80" w:type="dxa"/>
              <w:right w:w="80" w:type="dxa"/>
            </w:tcMar>
            <w:vAlign w:val="bottom"/>
          </w:tcPr>
          <w:p>
            <w:pPr>
              <w:rPr>
                <w:rFonts w:eastAsia="Times New Roman"/>
                <w:b w:val="0"/>
                <w:sz w:val="16"/>
                <w:szCs w:val="16"/>
                <w:lang w:val="es-ES_tradnl" w:eastAsia="es-ES"/>
              </w:rPr>
            </w:pPr>
            <w:r>
              <w:rPr>
                <w:rFonts w:eastAsia="Times New Roman"/>
                <w:b w:val="0"/>
                <w:sz w:val="16"/>
                <w:szCs w:val="16"/>
                <w:lang w:val="es-ES_tradnl" w:eastAsia="es-ES"/>
              </w:rPr>
              <w:t>21</w:t>
            </w:r>
          </w:p>
        </w:tc>
        <w:tc>
          <w:tcPr>
            <w:tcW w:w="3402"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bottom"/>
          </w:tcPr>
          <w:p>
            <w:pPr>
              <w:rPr>
                <w:rFonts w:eastAsia="Times New Roman"/>
                <w:b w:val="0"/>
                <w:sz w:val="16"/>
                <w:szCs w:val="16"/>
                <w:lang w:val="es-ES_tradnl" w:eastAsia="es-ES"/>
              </w:rPr>
            </w:pPr>
            <w:r>
              <w:rPr>
                <w:rFonts w:eastAsia="Times New Roman"/>
                <w:b w:val="0"/>
                <w:sz w:val="16"/>
                <w:szCs w:val="16"/>
                <w:lang w:val="es-ES_tradnl" w:eastAsia="es-ES"/>
              </w:rPr>
              <w:t>GASTOS EN PERSONAL</w:t>
            </w:r>
          </w:p>
        </w:tc>
        <w:tc>
          <w:tcPr>
            <w:tcW w:w="1701"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bottom"/>
          </w:tcPr>
          <w:p>
            <w:pPr>
              <w:rPr>
                <w:rFonts w:eastAsia="Times New Roman"/>
                <w:b w:val="0"/>
                <w:sz w:val="16"/>
                <w:szCs w:val="16"/>
                <w:lang w:val="es-ES_tradnl" w:eastAsia="es-ES"/>
              </w:rPr>
            </w:pPr>
            <w:r>
              <w:rPr>
                <w:rFonts w:eastAsia="Times New Roman"/>
                <w:b w:val="0"/>
                <w:sz w:val="16"/>
                <w:szCs w:val="16"/>
                <w:lang w:val="es-ES_tradnl" w:eastAsia="es-ES"/>
              </w:rPr>
              <w:t>325.177.223</w:t>
            </w:r>
          </w:p>
        </w:tc>
        <w:tc>
          <w:tcPr>
            <w:tcW w:w="1559"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bottom"/>
          </w:tcPr>
          <w:p>
            <w:pPr>
              <w:rPr>
                <w:rFonts w:eastAsia="Times New Roman"/>
                <w:b w:val="0"/>
                <w:sz w:val="16"/>
                <w:szCs w:val="16"/>
                <w:lang w:val="es-ES_tradnl" w:eastAsia="es-ES"/>
              </w:rPr>
            </w:pPr>
            <w:r>
              <w:rPr>
                <w:rFonts w:eastAsia="Times New Roman"/>
                <w:b w:val="0"/>
                <w:sz w:val="16"/>
                <w:szCs w:val="16"/>
                <w:lang w:val="es-ES_tradnl" w:eastAsia="es-ES"/>
              </w:rPr>
              <w:t>331.424.705</w:t>
            </w:r>
          </w:p>
        </w:tc>
        <w:tc>
          <w:tcPr>
            <w:tcW w:w="1497" w:type="dxa"/>
            <w:tcBorders>
              <w:top w:val="nil"/>
              <w:left w:val="single" w:sz="4" w:space="0" w:color="000000"/>
              <w:bottom w:val="nil"/>
              <w:right w:val="single" w:sz="8" w:space="0" w:color="000000"/>
            </w:tcBorders>
            <w:shd w:val="clear" w:color="auto" w:fill="auto"/>
            <w:tcMar>
              <w:top w:w="80" w:type="dxa"/>
              <w:left w:w="80" w:type="dxa"/>
              <w:bottom w:w="80" w:type="dxa"/>
              <w:right w:w="80" w:type="dxa"/>
            </w:tcMar>
            <w:vAlign w:val="bottom"/>
          </w:tcPr>
          <w:p>
            <w:pPr>
              <w:rPr>
                <w:rFonts w:eastAsia="Times New Roman"/>
                <w:b w:val="0"/>
                <w:sz w:val="16"/>
                <w:szCs w:val="16"/>
                <w:lang w:val="es-ES_tradnl" w:eastAsia="es-ES"/>
              </w:rPr>
            </w:pPr>
            <w:r>
              <w:rPr>
                <w:rFonts w:eastAsia="Times New Roman"/>
                <w:b w:val="0"/>
                <w:sz w:val="16"/>
                <w:szCs w:val="16"/>
                <w:lang w:val="es-ES_tradnl" w:eastAsia="es-ES"/>
              </w:rPr>
              <w:t>1,9%</w:t>
            </w:r>
          </w:p>
        </w:tc>
      </w:tr>
      <w:tr>
        <w:tblPrEx>
          <w:tblCellMar>
            <w:top w:w="0" w:type="dxa"/>
            <w:left w:w="0" w:type="dxa"/>
            <w:bottom w:w="0" w:type="dxa"/>
            <w:right w:w="0" w:type="dxa"/>
          </w:tblCellMar>
        </w:tblPrEx>
        <w:trPr>
          <w:trHeight w:val="20"/>
        </w:trPr>
        <w:tc>
          <w:tcPr>
            <w:tcW w:w="681" w:type="dxa"/>
            <w:tcBorders>
              <w:top w:val="nil"/>
              <w:left w:val="single" w:sz="8" w:space="0" w:color="000000"/>
              <w:bottom w:val="nil"/>
              <w:right w:val="single" w:sz="4" w:space="0" w:color="000000"/>
            </w:tcBorders>
            <w:shd w:val="clear" w:color="auto" w:fill="auto"/>
            <w:tcMar>
              <w:top w:w="80" w:type="dxa"/>
              <w:left w:w="80" w:type="dxa"/>
              <w:bottom w:w="80" w:type="dxa"/>
              <w:right w:w="80" w:type="dxa"/>
            </w:tcMar>
            <w:vAlign w:val="bottom"/>
          </w:tcPr>
          <w:p>
            <w:pPr>
              <w:rPr>
                <w:rFonts w:eastAsia="Times New Roman"/>
                <w:b w:val="0"/>
                <w:sz w:val="16"/>
                <w:szCs w:val="16"/>
                <w:lang w:val="es-ES_tradnl" w:eastAsia="es-ES"/>
              </w:rPr>
            </w:pPr>
            <w:r>
              <w:rPr>
                <w:rFonts w:eastAsia="Times New Roman"/>
                <w:b w:val="0"/>
                <w:sz w:val="16"/>
                <w:szCs w:val="16"/>
                <w:lang w:val="es-ES_tradnl" w:eastAsia="es-ES"/>
              </w:rPr>
              <w:t>22</w:t>
            </w:r>
          </w:p>
        </w:tc>
        <w:tc>
          <w:tcPr>
            <w:tcW w:w="3402"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bottom"/>
          </w:tcPr>
          <w:p>
            <w:pPr>
              <w:rPr>
                <w:rFonts w:eastAsia="Times New Roman"/>
                <w:b w:val="0"/>
                <w:sz w:val="16"/>
                <w:szCs w:val="16"/>
                <w:lang w:val="es-ES_tradnl" w:eastAsia="es-ES"/>
              </w:rPr>
            </w:pPr>
            <w:r>
              <w:rPr>
                <w:rFonts w:eastAsia="Times New Roman"/>
                <w:b w:val="0"/>
                <w:sz w:val="16"/>
                <w:szCs w:val="16"/>
                <w:lang w:val="es-ES_tradnl" w:eastAsia="es-ES"/>
              </w:rPr>
              <w:t>BIENES Y SERVICIOS DE CONSUMO</w:t>
            </w:r>
          </w:p>
        </w:tc>
        <w:tc>
          <w:tcPr>
            <w:tcW w:w="1701"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bottom"/>
          </w:tcPr>
          <w:p>
            <w:pPr>
              <w:rPr>
                <w:rFonts w:eastAsia="Times New Roman"/>
                <w:b w:val="0"/>
                <w:sz w:val="16"/>
                <w:szCs w:val="16"/>
                <w:lang w:val="es-ES_tradnl" w:eastAsia="es-ES"/>
              </w:rPr>
            </w:pPr>
            <w:r>
              <w:rPr>
                <w:rFonts w:eastAsia="Times New Roman"/>
                <w:b w:val="0"/>
                <w:sz w:val="16"/>
                <w:szCs w:val="16"/>
                <w:lang w:val="es-ES_tradnl" w:eastAsia="es-ES"/>
              </w:rPr>
              <w:t>76.522.768</w:t>
            </w:r>
          </w:p>
        </w:tc>
        <w:tc>
          <w:tcPr>
            <w:tcW w:w="1559"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bottom"/>
          </w:tcPr>
          <w:p>
            <w:pPr>
              <w:rPr>
                <w:rFonts w:eastAsia="Times New Roman"/>
                <w:b w:val="0"/>
                <w:sz w:val="16"/>
                <w:szCs w:val="16"/>
                <w:lang w:val="es-ES_tradnl" w:eastAsia="es-ES"/>
              </w:rPr>
            </w:pPr>
            <w:r>
              <w:rPr>
                <w:rFonts w:eastAsia="Times New Roman"/>
                <w:b w:val="0"/>
                <w:sz w:val="16"/>
                <w:szCs w:val="16"/>
                <w:lang w:val="es-ES_tradnl" w:eastAsia="es-ES"/>
              </w:rPr>
              <w:t>72.378.528</w:t>
            </w:r>
          </w:p>
        </w:tc>
        <w:tc>
          <w:tcPr>
            <w:tcW w:w="1497" w:type="dxa"/>
            <w:tcBorders>
              <w:top w:val="nil"/>
              <w:left w:val="single" w:sz="4" w:space="0" w:color="000000"/>
              <w:bottom w:val="nil"/>
              <w:right w:val="single" w:sz="8" w:space="0" w:color="000000"/>
            </w:tcBorders>
            <w:shd w:val="clear" w:color="auto" w:fill="auto"/>
            <w:tcMar>
              <w:top w:w="80" w:type="dxa"/>
              <w:left w:w="80" w:type="dxa"/>
              <w:bottom w:w="80" w:type="dxa"/>
              <w:right w:w="80" w:type="dxa"/>
            </w:tcMar>
            <w:vAlign w:val="bottom"/>
          </w:tcPr>
          <w:p>
            <w:pPr>
              <w:rPr>
                <w:rFonts w:eastAsia="Times New Roman"/>
                <w:b w:val="0"/>
                <w:sz w:val="16"/>
                <w:szCs w:val="16"/>
                <w:lang w:val="es-ES_tradnl" w:eastAsia="es-ES"/>
              </w:rPr>
            </w:pPr>
            <w:r>
              <w:rPr>
                <w:rFonts w:eastAsia="Times New Roman"/>
                <w:b w:val="0"/>
                <w:sz w:val="16"/>
                <w:szCs w:val="16"/>
                <w:lang w:val="es-ES_tradnl" w:eastAsia="es-ES"/>
              </w:rPr>
              <w:t>-5,4%</w:t>
            </w:r>
          </w:p>
        </w:tc>
      </w:tr>
      <w:tr>
        <w:tblPrEx>
          <w:tblCellMar>
            <w:top w:w="0" w:type="dxa"/>
            <w:left w:w="0" w:type="dxa"/>
            <w:bottom w:w="0" w:type="dxa"/>
            <w:right w:w="0" w:type="dxa"/>
          </w:tblCellMar>
        </w:tblPrEx>
        <w:trPr>
          <w:trHeight w:val="20"/>
        </w:trPr>
        <w:tc>
          <w:tcPr>
            <w:tcW w:w="681" w:type="dxa"/>
            <w:tcBorders>
              <w:top w:val="nil"/>
              <w:left w:val="single" w:sz="8" w:space="0" w:color="000000"/>
              <w:bottom w:val="nil"/>
              <w:right w:val="single" w:sz="4" w:space="0" w:color="000000"/>
            </w:tcBorders>
            <w:shd w:val="clear" w:color="auto" w:fill="auto"/>
            <w:tcMar>
              <w:top w:w="80" w:type="dxa"/>
              <w:left w:w="80" w:type="dxa"/>
              <w:bottom w:w="80" w:type="dxa"/>
              <w:right w:w="80" w:type="dxa"/>
            </w:tcMar>
            <w:vAlign w:val="bottom"/>
          </w:tcPr>
          <w:p>
            <w:pPr>
              <w:rPr>
                <w:rFonts w:eastAsia="Times New Roman"/>
                <w:b w:val="0"/>
                <w:sz w:val="16"/>
                <w:szCs w:val="16"/>
                <w:lang w:val="es-ES_tradnl" w:eastAsia="es-ES"/>
              </w:rPr>
            </w:pPr>
            <w:r>
              <w:rPr>
                <w:rFonts w:eastAsia="Times New Roman"/>
                <w:b w:val="0"/>
                <w:sz w:val="16"/>
                <w:szCs w:val="16"/>
                <w:lang w:val="es-ES_tradnl" w:eastAsia="es-ES"/>
              </w:rPr>
              <w:t>23</w:t>
            </w:r>
          </w:p>
        </w:tc>
        <w:tc>
          <w:tcPr>
            <w:tcW w:w="3402"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bottom"/>
          </w:tcPr>
          <w:p>
            <w:pPr>
              <w:rPr>
                <w:rFonts w:eastAsia="Times New Roman"/>
                <w:b w:val="0"/>
                <w:sz w:val="16"/>
                <w:szCs w:val="16"/>
                <w:lang w:val="es-ES_tradnl" w:eastAsia="es-ES"/>
              </w:rPr>
            </w:pPr>
            <w:r>
              <w:rPr>
                <w:rFonts w:eastAsia="Times New Roman"/>
                <w:b w:val="0"/>
                <w:sz w:val="16"/>
                <w:szCs w:val="16"/>
                <w:lang w:val="es-ES_tradnl" w:eastAsia="es-ES"/>
              </w:rPr>
              <w:t>PRESTACIONES DE SEGURIDAD SOCIAL</w:t>
            </w:r>
          </w:p>
        </w:tc>
        <w:tc>
          <w:tcPr>
            <w:tcW w:w="1701"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bottom"/>
          </w:tcPr>
          <w:p>
            <w:pPr>
              <w:rPr>
                <w:rFonts w:eastAsia="Times New Roman"/>
                <w:b w:val="0"/>
                <w:sz w:val="16"/>
                <w:szCs w:val="16"/>
                <w:lang w:val="es-ES_tradnl" w:eastAsia="es-ES"/>
              </w:rPr>
            </w:pPr>
            <w:r>
              <w:rPr>
                <w:rFonts w:eastAsia="Times New Roman"/>
                <w:b w:val="0"/>
                <w:sz w:val="16"/>
                <w:szCs w:val="16"/>
                <w:lang w:val="es-ES_tradnl" w:eastAsia="es-ES"/>
              </w:rPr>
              <w:t>0</w:t>
            </w:r>
          </w:p>
        </w:tc>
        <w:tc>
          <w:tcPr>
            <w:tcW w:w="1559"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bottom"/>
          </w:tcPr>
          <w:p>
            <w:pPr>
              <w:rPr>
                <w:rFonts w:eastAsia="Times New Roman"/>
                <w:b w:val="0"/>
                <w:sz w:val="16"/>
                <w:szCs w:val="16"/>
                <w:lang w:val="es-ES_tradnl" w:eastAsia="es-ES"/>
              </w:rPr>
            </w:pPr>
            <w:r>
              <w:rPr>
                <w:rFonts w:eastAsia="Times New Roman"/>
                <w:b w:val="0"/>
                <w:sz w:val="16"/>
                <w:szCs w:val="16"/>
                <w:lang w:val="es-ES_tradnl" w:eastAsia="es-ES"/>
              </w:rPr>
              <w:t>0</w:t>
            </w:r>
          </w:p>
        </w:tc>
        <w:tc>
          <w:tcPr>
            <w:tcW w:w="1497" w:type="dxa"/>
            <w:tcBorders>
              <w:top w:val="nil"/>
              <w:left w:val="single" w:sz="4" w:space="0" w:color="000000"/>
              <w:bottom w:val="nil"/>
              <w:right w:val="single" w:sz="8" w:space="0" w:color="000000"/>
            </w:tcBorders>
            <w:shd w:val="clear" w:color="auto" w:fill="auto"/>
            <w:tcMar>
              <w:top w:w="80" w:type="dxa"/>
              <w:left w:w="80" w:type="dxa"/>
              <w:bottom w:w="80" w:type="dxa"/>
              <w:right w:w="80" w:type="dxa"/>
            </w:tcMar>
            <w:vAlign w:val="bottom"/>
          </w:tcPr>
          <w:p>
            <w:pPr>
              <w:rPr>
                <w:rFonts w:eastAsia="Times New Roman"/>
                <w:b w:val="0"/>
                <w:sz w:val="16"/>
                <w:szCs w:val="16"/>
                <w:lang w:val="es-ES_tradnl" w:eastAsia="es-ES"/>
              </w:rPr>
            </w:pPr>
            <w:r>
              <w:rPr>
                <w:rFonts w:eastAsia="Times New Roman"/>
                <w:b w:val="0"/>
                <w:sz w:val="16"/>
                <w:szCs w:val="16"/>
                <w:lang w:val="es-ES_tradnl" w:eastAsia="es-ES"/>
              </w:rPr>
              <w:t>0</w:t>
            </w:r>
          </w:p>
        </w:tc>
      </w:tr>
      <w:tr>
        <w:tblPrEx>
          <w:tblCellMar>
            <w:top w:w="0" w:type="dxa"/>
            <w:left w:w="0" w:type="dxa"/>
            <w:bottom w:w="0" w:type="dxa"/>
            <w:right w:w="0" w:type="dxa"/>
          </w:tblCellMar>
        </w:tblPrEx>
        <w:trPr>
          <w:trHeight w:val="20"/>
        </w:trPr>
        <w:tc>
          <w:tcPr>
            <w:tcW w:w="681" w:type="dxa"/>
            <w:tcBorders>
              <w:top w:val="nil"/>
              <w:left w:val="single" w:sz="8" w:space="0" w:color="000000"/>
              <w:bottom w:val="nil"/>
              <w:right w:val="single" w:sz="4" w:space="0" w:color="000000"/>
            </w:tcBorders>
            <w:shd w:val="clear" w:color="auto" w:fill="auto"/>
            <w:tcMar>
              <w:top w:w="80" w:type="dxa"/>
              <w:left w:w="80" w:type="dxa"/>
              <w:bottom w:w="80" w:type="dxa"/>
              <w:right w:w="80" w:type="dxa"/>
            </w:tcMar>
            <w:vAlign w:val="bottom"/>
          </w:tcPr>
          <w:p>
            <w:pPr>
              <w:rPr>
                <w:rFonts w:eastAsia="Times New Roman"/>
                <w:b w:val="0"/>
                <w:sz w:val="16"/>
                <w:szCs w:val="16"/>
                <w:lang w:val="es-ES_tradnl" w:eastAsia="es-ES"/>
              </w:rPr>
            </w:pPr>
            <w:r>
              <w:rPr>
                <w:rFonts w:eastAsia="Times New Roman"/>
                <w:b w:val="0"/>
                <w:sz w:val="16"/>
                <w:szCs w:val="16"/>
                <w:lang w:val="es-ES_tradnl" w:eastAsia="es-ES"/>
              </w:rPr>
              <w:t>24</w:t>
            </w:r>
          </w:p>
        </w:tc>
        <w:tc>
          <w:tcPr>
            <w:tcW w:w="3402"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bottom"/>
          </w:tcPr>
          <w:p>
            <w:pPr>
              <w:rPr>
                <w:rFonts w:eastAsia="Times New Roman"/>
                <w:b w:val="0"/>
                <w:sz w:val="16"/>
                <w:szCs w:val="16"/>
                <w:lang w:val="es-ES_tradnl" w:eastAsia="es-ES"/>
              </w:rPr>
            </w:pPr>
            <w:r>
              <w:rPr>
                <w:rFonts w:eastAsia="Times New Roman"/>
                <w:b w:val="0"/>
                <w:sz w:val="16"/>
                <w:szCs w:val="16"/>
                <w:lang w:val="es-ES_tradnl" w:eastAsia="es-ES"/>
              </w:rPr>
              <w:t>TRANSFERENCIAS CORRIENTES</w:t>
            </w:r>
          </w:p>
        </w:tc>
        <w:tc>
          <w:tcPr>
            <w:tcW w:w="1701"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bottom"/>
          </w:tcPr>
          <w:p>
            <w:pPr>
              <w:rPr>
                <w:rFonts w:eastAsia="Times New Roman"/>
                <w:b w:val="0"/>
                <w:sz w:val="16"/>
                <w:szCs w:val="16"/>
                <w:lang w:val="es-ES_tradnl" w:eastAsia="es-ES"/>
              </w:rPr>
            </w:pPr>
            <w:r>
              <w:rPr>
                <w:rFonts w:eastAsia="Times New Roman"/>
                <w:b w:val="0"/>
                <w:sz w:val="16"/>
                <w:szCs w:val="16"/>
                <w:lang w:val="es-ES_tradnl" w:eastAsia="es-ES"/>
              </w:rPr>
              <w:t>13.551.818</w:t>
            </w:r>
          </w:p>
        </w:tc>
        <w:tc>
          <w:tcPr>
            <w:tcW w:w="1559"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bottom"/>
          </w:tcPr>
          <w:p>
            <w:pPr>
              <w:rPr>
                <w:rFonts w:eastAsia="Times New Roman"/>
                <w:b w:val="0"/>
                <w:sz w:val="16"/>
                <w:szCs w:val="16"/>
                <w:lang w:val="es-ES_tradnl" w:eastAsia="es-ES"/>
              </w:rPr>
            </w:pPr>
            <w:r>
              <w:rPr>
                <w:rFonts w:eastAsia="Times New Roman"/>
                <w:b w:val="0"/>
                <w:sz w:val="16"/>
                <w:szCs w:val="16"/>
                <w:lang w:val="es-ES_tradnl" w:eastAsia="es-ES"/>
              </w:rPr>
              <w:t>16.066.263</w:t>
            </w:r>
          </w:p>
        </w:tc>
        <w:tc>
          <w:tcPr>
            <w:tcW w:w="1497" w:type="dxa"/>
            <w:tcBorders>
              <w:top w:val="nil"/>
              <w:left w:val="single" w:sz="4" w:space="0" w:color="000000"/>
              <w:bottom w:val="nil"/>
              <w:right w:val="single" w:sz="8" w:space="0" w:color="000000"/>
            </w:tcBorders>
            <w:shd w:val="clear" w:color="auto" w:fill="auto"/>
            <w:tcMar>
              <w:top w:w="80" w:type="dxa"/>
              <w:left w:w="80" w:type="dxa"/>
              <w:bottom w:w="80" w:type="dxa"/>
              <w:right w:w="80" w:type="dxa"/>
            </w:tcMar>
            <w:vAlign w:val="bottom"/>
          </w:tcPr>
          <w:p>
            <w:pPr>
              <w:rPr>
                <w:rFonts w:eastAsia="Times New Roman"/>
                <w:b w:val="0"/>
                <w:sz w:val="16"/>
                <w:szCs w:val="16"/>
                <w:lang w:val="es-ES_tradnl" w:eastAsia="es-ES"/>
              </w:rPr>
            </w:pPr>
            <w:r>
              <w:rPr>
                <w:rFonts w:eastAsia="Times New Roman"/>
                <w:b w:val="0"/>
                <w:sz w:val="16"/>
                <w:szCs w:val="16"/>
                <w:lang w:val="es-ES_tradnl" w:eastAsia="es-ES"/>
              </w:rPr>
              <w:t>18,6%</w:t>
            </w:r>
          </w:p>
        </w:tc>
      </w:tr>
      <w:tr>
        <w:tblPrEx>
          <w:tblCellMar>
            <w:top w:w="0" w:type="dxa"/>
            <w:left w:w="0" w:type="dxa"/>
            <w:bottom w:w="0" w:type="dxa"/>
            <w:right w:w="0" w:type="dxa"/>
          </w:tblCellMar>
        </w:tblPrEx>
        <w:trPr>
          <w:trHeight w:val="20"/>
        </w:trPr>
        <w:tc>
          <w:tcPr>
            <w:tcW w:w="681" w:type="dxa"/>
            <w:tcBorders>
              <w:top w:val="nil"/>
              <w:left w:val="single" w:sz="8" w:space="0" w:color="000000"/>
              <w:bottom w:val="nil"/>
              <w:right w:val="single" w:sz="4" w:space="0" w:color="000000"/>
            </w:tcBorders>
            <w:shd w:val="clear" w:color="auto" w:fill="auto"/>
            <w:tcMar>
              <w:top w:w="80" w:type="dxa"/>
              <w:left w:w="80" w:type="dxa"/>
              <w:bottom w:w="80" w:type="dxa"/>
              <w:right w:w="80" w:type="dxa"/>
            </w:tcMar>
            <w:vAlign w:val="bottom"/>
          </w:tcPr>
          <w:p>
            <w:pPr>
              <w:rPr>
                <w:rFonts w:eastAsia="Times New Roman"/>
                <w:b w:val="0"/>
                <w:sz w:val="16"/>
                <w:szCs w:val="16"/>
                <w:lang w:val="es-ES_tradnl" w:eastAsia="es-ES"/>
              </w:rPr>
            </w:pPr>
            <w:r>
              <w:rPr>
                <w:rFonts w:eastAsia="Times New Roman"/>
                <w:b w:val="0"/>
                <w:sz w:val="16"/>
                <w:szCs w:val="16"/>
                <w:lang w:val="es-ES_tradnl" w:eastAsia="es-ES"/>
              </w:rPr>
              <w:t>25</w:t>
            </w:r>
          </w:p>
        </w:tc>
        <w:tc>
          <w:tcPr>
            <w:tcW w:w="3402"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bottom"/>
          </w:tcPr>
          <w:p>
            <w:pPr>
              <w:rPr>
                <w:rFonts w:eastAsia="Times New Roman"/>
                <w:b w:val="0"/>
                <w:sz w:val="16"/>
                <w:szCs w:val="16"/>
                <w:lang w:val="es-ES_tradnl" w:eastAsia="es-ES"/>
              </w:rPr>
            </w:pPr>
            <w:r>
              <w:rPr>
                <w:rFonts w:eastAsia="Times New Roman"/>
                <w:b w:val="0"/>
                <w:sz w:val="16"/>
                <w:szCs w:val="16"/>
                <w:lang w:val="es-ES_tradnl" w:eastAsia="es-ES"/>
              </w:rPr>
              <w:t>INTEGROS AL FISCO</w:t>
            </w:r>
          </w:p>
        </w:tc>
        <w:tc>
          <w:tcPr>
            <w:tcW w:w="1701"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bottom"/>
          </w:tcPr>
          <w:p>
            <w:pPr>
              <w:rPr>
                <w:rFonts w:eastAsia="Times New Roman"/>
                <w:b w:val="0"/>
                <w:sz w:val="16"/>
                <w:szCs w:val="16"/>
                <w:lang w:val="es-ES_tradnl" w:eastAsia="es-ES"/>
              </w:rPr>
            </w:pPr>
            <w:r>
              <w:rPr>
                <w:rFonts w:eastAsia="Times New Roman"/>
                <w:b w:val="0"/>
                <w:sz w:val="16"/>
                <w:szCs w:val="16"/>
                <w:lang w:val="es-ES_tradnl" w:eastAsia="es-ES"/>
              </w:rPr>
              <w:t>37.739.521</w:t>
            </w:r>
          </w:p>
        </w:tc>
        <w:tc>
          <w:tcPr>
            <w:tcW w:w="1559"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bottom"/>
          </w:tcPr>
          <w:p>
            <w:pPr>
              <w:rPr>
                <w:rFonts w:eastAsia="Times New Roman"/>
                <w:b w:val="0"/>
                <w:sz w:val="16"/>
                <w:szCs w:val="16"/>
                <w:lang w:val="es-ES_tradnl" w:eastAsia="es-ES"/>
              </w:rPr>
            </w:pPr>
            <w:r>
              <w:rPr>
                <w:rFonts w:eastAsia="Times New Roman"/>
                <w:b w:val="0"/>
                <w:sz w:val="16"/>
                <w:szCs w:val="16"/>
                <w:lang w:val="es-ES_tradnl" w:eastAsia="es-ES"/>
              </w:rPr>
              <w:t>42.733.979</w:t>
            </w:r>
          </w:p>
        </w:tc>
        <w:tc>
          <w:tcPr>
            <w:tcW w:w="1497" w:type="dxa"/>
            <w:tcBorders>
              <w:top w:val="nil"/>
              <w:left w:val="single" w:sz="4" w:space="0" w:color="000000"/>
              <w:bottom w:val="nil"/>
              <w:right w:val="single" w:sz="8" w:space="0" w:color="000000"/>
            </w:tcBorders>
            <w:shd w:val="clear" w:color="auto" w:fill="auto"/>
            <w:tcMar>
              <w:top w:w="80" w:type="dxa"/>
              <w:left w:w="80" w:type="dxa"/>
              <w:bottom w:w="80" w:type="dxa"/>
              <w:right w:w="80" w:type="dxa"/>
            </w:tcMar>
            <w:vAlign w:val="bottom"/>
          </w:tcPr>
          <w:p>
            <w:pPr>
              <w:rPr>
                <w:rFonts w:eastAsia="Times New Roman"/>
                <w:b w:val="0"/>
                <w:sz w:val="16"/>
                <w:szCs w:val="16"/>
                <w:lang w:val="es-ES_tradnl" w:eastAsia="es-ES"/>
              </w:rPr>
            </w:pPr>
            <w:r>
              <w:rPr>
                <w:rFonts w:eastAsia="Times New Roman"/>
                <w:b w:val="0"/>
                <w:sz w:val="16"/>
                <w:szCs w:val="16"/>
                <w:lang w:val="es-ES_tradnl" w:eastAsia="es-ES"/>
              </w:rPr>
              <w:t>13,2%</w:t>
            </w:r>
          </w:p>
        </w:tc>
      </w:tr>
      <w:tr>
        <w:tblPrEx>
          <w:tblCellMar>
            <w:top w:w="0" w:type="dxa"/>
            <w:left w:w="0" w:type="dxa"/>
            <w:bottom w:w="0" w:type="dxa"/>
            <w:right w:w="0" w:type="dxa"/>
          </w:tblCellMar>
        </w:tblPrEx>
        <w:trPr>
          <w:trHeight w:val="20"/>
        </w:trPr>
        <w:tc>
          <w:tcPr>
            <w:tcW w:w="681" w:type="dxa"/>
            <w:tcBorders>
              <w:top w:val="nil"/>
              <w:left w:val="single" w:sz="8" w:space="0" w:color="000000"/>
              <w:bottom w:val="nil"/>
              <w:right w:val="single" w:sz="4" w:space="0" w:color="000000"/>
            </w:tcBorders>
            <w:shd w:val="clear" w:color="auto" w:fill="auto"/>
            <w:tcMar>
              <w:top w:w="80" w:type="dxa"/>
              <w:left w:w="80" w:type="dxa"/>
              <w:bottom w:w="80" w:type="dxa"/>
              <w:right w:w="80" w:type="dxa"/>
            </w:tcMar>
            <w:vAlign w:val="bottom"/>
          </w:tcPr>
          <w:p>
            <w:pPr>
              <w:rPr>
                <w:rFonts w:eastAsia="Times New Roman"/>
                <w:b w:val="0"/>
                <w:sz w:val="16"/>
                <w:szCs w:val="16"/>
                <w:lang w:val="es-ES_tradnl" w:eastAsia="es-ES"/>
              </w:rPr>
            </w:pPr>
            <w:r>
              <w:rPr>
                <w:rFonts w:eastAsia="Times New Roman"/>
                <w:b w:val="0"/>
                <w:sz w:val="16"/>
                <w:szCs w:val="16"/>
                <w:lang w:val="es-ES_tradnl" w:eastAsia="es-ES"/>
              </w:rPr>
              <w:t>26</w:t>
            </w:r>
          </w:p>
        </w:tc>
        <w:tc>
          <w:tcPr>
            <w:tcW w:w="3402"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bottom"/>
          </w:tcPr>
          <w:p>
            <w:pPr>
              <w:rPr>
                <w:rFonts w:eastAsia="Times New Roman"/>
                <w:b w:val="0"/>
                <w:sz w:val="16"/>
                <w:szCs w:val="16"/>
                <w:lang w:val="es-ES_tradnl" w:eastAsia="es-ES"/>
              </w:rPr>
            </w:pPr>
            <w:r>
              <w:rPr>
                <w:rFonts w:eastAsia="Times New Roman"/>
                <w:b w:val="0"/>
                <w:sz w:val="16"/>
                <w:szCs w:val="16"/>
                <w:lang w:val="es-ES_tradnl" w:eastAsia="es-ES"/>
              </w:rPr>
              <w:t>OTROS GASTOS CORRIENTES</w:t>
            </w:r>
          </w:p>
        </w:tc>
        <w:tc>
          <w:tcPr>
            <w:tcW w:w="1701"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bottom"/>
          </w:tcPr>
          <w:p>
            <w:pPr>
              <w:rPr>
                <w:rFonts w:eastAsia="Times New Roman"/>
                <w:b w:val="0"/>
                <w:sz w:val="16"/>
                <w:szCs w:val="16"/>
                <w:lang w:val="es-ES_tradnl" w:eastAsia="es-ES"/>
              </w:rPr>
            </w:pPr>
            <w:r>
              <w:rPr>
                <w:rFonts w:eastAsia="Times New Roman"/>
                <w:b w:val="0"/>
                <w:sz w:val="16"/>
                <w:szCs w:val="16"/>
                <w:lang w:val="es-ES_tradnl" w:eastAsia="es-ES"/>
              </w:rPr>
              <w:t>0</w:t>
            </w:r>
          </w:p>
        </w:tc>
        <w:tc>
          <w:tcPr>
            <w:tcW w:w="1559"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bottom"/>
          </w:tcPr>
          <w:p>
            <w:pPr>
              <w:rPr>
                <w:rFonts w:eastAsia="Times New Roman"/>
                <w:b w:val="0"/>
                <w:sz w:val="16"/>
                <w:szCs w:val="16"/>
                <w:lang w:val="es-ES_tradnl" w:eastAsia="es-ES"/>
              </w:rPr>
            </w:pPr>
            <w:r>
              <w:rPr>
                <w:rFonts w:eastAsia="Times New Roman"/>
                <w:b w:val="0"/>
                <w:sz w:val="16"/>
                <w:szCs w:val="16"/>
                <w:lang w:val="es-ES_tradnl" w:eastAsia="es-ES"/>
              </w:rPr>
              <w:t>0</w:t>
            </w:r>
          </w:p>
        </w:tc>
        <w:tc>
          <w:tcPr>
            <w:tcW w:w="1497" w:type="dxa"/>
            <w:tcBorders>
              <w:top w:val="nil"/>
              <w:left w:val="single" w:sz="4" w:space="0" w:color="000000"/>
              <w:bottom w:val="nil"/>
              <w:right w:val="single" w:sz="8" w:space="0" w:color="000000"/>
            </w:tcBorders>
            <w:shd w:val="clear" w:color="auto" w:fill="auto"/>
            <w:tcMar>
              <w:top w:w="80" w:type="dxa"/>
              <w:left w:w="80" w:type="dxa"/>
              <w:bottom w:w="80" w:type="dxa"/>
              <w:right w:w="80" w:type="dxa"/>
            </w:tcMar>
            <w:vAlign w:val="bottom"/>
          </w:tcPr>
          <w:p>
            <w:pPr>
              <w:rPr>
                <w:rFonts w:eastAsia="Times New Roman"/>
                <w:b w:val="0"/>
                <w:sz w:val="16"/>
                <w:szCs w:val="16"/>
                <w:lang w:val="es-ES_tradnl" w:eastAsia="es-ES"/>
              </w:rPr>
            </w:pPr>
            <w:r>
              <w:rPr>
                <w:rFonts w:eastAsia="Times New Roman"/>
                <w:b w:val="0"/>
                <w:sz w:val="16"/>
                <w:szCs w:val="16"/>
                <w:lang w:val="es-ES_tradnl" w:eastAsia="es-ES"/>
              </w:rPr>
              <w:t>0</w:t>
            </w:r>
          </w:p>
        </w:tc>
      </w:tr>
      <w:tr>
        <w:tblPrEx>
          <w:tblCellMar>
            <w:top w:w="0" w:type="dxa"/>
            <w:left w:w="0" w:type="dxa"/>
            <w:bottom w:w="0" w:type="dxa"/>
            <w:right w:w="0" w:type="dxa"/>
          </w:tblCellMar>
        </w:tblPrEx>
        <w:trPr>
          <w:trHeight w:val="20"/>
        </w:trPr>
        <w:tc>
          <w:tcPr>
            <w:tcW w:w="681" w:type="dxa"/>
            <w:tcBorders>
              <w:top w:val="nil"/>
              <w:left w:val="single" w:sz="8" w:space="0" w:color="000000"/>
              <w:bottom w:val="nil"/>
              <w:right w:val="single" w:sz="4" w:space="0" w:color="000000"/>
            </w:tcBorders>
            <w:shd w:val="clear" w:color="auto" w:fill="auto"/>
            <w:tcMar>
              <w:top w:w="80" w:type="dxa"/>
              <w:left w:w="80" w:type="dxa"/>
              <w:bottom w:w="80" w:type="dxa"/>
              <w:right w:w="80" w:type="dxa"/>
            </w:tcMar>
            <w:vAlign w:val="bottom"/>
          </w:tcPr>
          <w:p>
            <w:pPr>
              <w:rPr>
                <w:rFonts w:eastAsia="Times New Roman"/>
                <w:b w:val="0"/>
                <w:sz w:val="16"/>
                <w:szCs w:val="16"/>
                <w:lang w:val="es-ES_tradnl" w:eastAsia="es-ES"/>
              </w:rPr>
            </w:pPr>
            <w:r>
              <w:rPr>
                <w:rFonts w:eastAsia="Times New Roman"/>
                <w:b w:val="0"/>
                <w:sz w:val="16"/>
                <w:szCs w:val="16"/>
                <w:lang w:val="es-ES_tradnl" w:eastAsia="es-ES"/>
              </w:rPr>
              <w:t>29</w:t>
            </w:r>
          </w:p>
        </w:tc>
        <w:tc>
          <w:tcPr>
            <w:tcW w:w="3402"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bottom"/>
          </w:tcPr>
          <w:p>
            <w:pPr>
              <w:rPr>
                <w:rFonts w:eastAsia="Times New Roman"/>
                <w:b w:val="0"/>
                <w:sz w:val="16"/>
                <w:szCs w:val="16"/>
                <w:lang w:val="es-ES_tradnl" w:eastAsia="es-ES"/>
              </w:rPr>
            </w:pPr>
            <w:r>
              <w:rPr>
                <w:rFonts w:eastAsia="Times New Roman"/>
                <w:b w:val="0"/>
                <w:sz w:val="16"/>
                <w:szCs w:val="16"/>
                <w:lang w:val="es-ES_tradnl" w:eastAsia="es-ES"/>
              </w:rPr>
              <w:t>ADQUISICIÓN DE ACTIVOS NO FINANCIEROS</w:t>
            </w:r>
          </w:p>
        </w:tc>
        <w:tc>
          <w:tcPr>
            <w:tcW w:w="1701"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bottom"/>
          </w:tcPr>
          <w:p>
            <w:pPr>
              <w:rPr>
                <w:rFonts w:eastAsia="Times New Roman"/>
                <w:b w:val="0"/>
                <w:sz w:val="16"/>
                <w:szCs w:val="16"/>
                <w:lang w:val="es-ES_tradnl" w:eastAsia="es-ES"/>
              </w:rPr>
            </w:pPr>
            <w:r>
              <w:rPr>
                <w:rFonts w:eastAsia="Times New Roman"/>
                <w:b w:val="0"/>
                <w:sz w:val="16"/>
                <w:szCs w:val="16"/>
                <w:lang w:val="es-ES_tradnl" w:eastAsia="es-ES"/>
              </w:rPr>
              <w:t>24.126.973</w:t>
            </w:r>
          </w:p>
        </w:tc>
        <w:tc>
          <w:tcPr>
            <w:tcW w:w="1559"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bottom"/>
          </w:tcPr>
          <w:p>
            <w:pPr>
              <w:rPr>
                <w:rFonts w:eastAsia="Times New Roman"/>
                <w:b w:val="0"/>
                <w:sz w:val="16"/>
                <w:szCs w:val="16"/>
                <w:lang w:val="es-ES_tradnl" w:eastAsia="es-ES"/>
              </w:rPr>
            </w:pPr>
            <w:r>
              <w:rPr>
                <w:rFonts w:eastAsia="Times New Roman"/>
                <w:b w:val="0"/>
                <w:sz w:val="16"/>
                <w:szCs w:val="16"/>
                <w:lang w:val="es-ES_tradnl" w:eastAsia="es-ES"/>
              </w:rPr>
              <w:t>18.545.120</w:t>
            </w:r>
          </w:p>
        </w:tc>
        <w:tc>
          <w:tcPr>
            <w:tcW w:w="1497" w:type="dxa"/>
            <w:tcBorders>
              <w:top w:val="nil"/>
              <w:left w:val="single" w:sz="4" w:space="0" w:color="000000"/>
              <w:bottom w:val="nil"/>
              <w:right w:val="single" w:sz="8" w:space="0" w:color="000000"/>
            </w:tcBorders>
            <w:shd w:val="clear" w:color="auto" w:fill="auto"/>
            <w:tcMar>
              <w:top w:w="80" w:type="dxa"/>
              <w:left w:w="80" w:type="dxa"/>
              <w:bottom w:w="80" w:type="dxa"/>
              <w:right w:w="80" w:type="dxa"/>
            </w:tcMar>
            <w:vAlign w:val="bottom"/>
          </w:tcPr>
          <w:p>
            <w:pPr>
              <w:rPr>
                <w:rFonts w:eastAsia="Times New Roman"/>
                <w:b w:val="0"/>
                <w:sz w:val="16"/>
                <w:szCs w:val="16"/>
                <w:lang w:val="es-ES_tradnl" w:eastAsia="es-ES"/>
              </w:rPr>
            </w:pPr>
            <w:r>
              <w:rPr>
                <w:rFonts w:eastAsia="Times New Roman"/>
                <w:b w:val="0"/>
                <w:sz w:val="16"/>
                <w:szCs w:val="16"/>
                <w:lang w:val="es-ES_tradnl" w:eastAsia="es-ES"/>
              </w:rPr>
              <w:t>-23,1%</w:t>
            </w:r>
          </w:p>
        </w:tc>
      </w:tr>
      <w:tr>
        <w:tblPrEx>
          <w:tblCellMar>
            <w:top w:w="0" w:type="dxa"/>
            <w:left w:w="0" w:type="dxa"/>
            <w:bottom w:w="0" w:type="dxa"/>
            <w:right w:w="0" w:type="dxa"/>
          </w:tblCellMar>
        </w:tblPrEx>
        <w:trPr>
          <w:trHeight w:val="20"/>
        </w:trPr>
        <w:tc>
          <w:tcPr>
            <w:tcW w:w="681" w:type="dxa"/>
            <w:tcBorders>
              <w:top w:val="nil"/>
              <w:left w:val="single" w:sz="8" w:space="0" w:color="000000"/>
              <w:bottom w:val="nil"/>
              <w:right w:val="single" w:sz="4" w:space="0" w:color="000000"/>
            </w:tcBorders>
            <w:shd w:val="clear" w:color="auto" w:fill="auto"/>
            <w:tcMar>
              <w:top w:w="80" w:type="dxa"/>
              <w:left w:w="80" w:type="dxa"/>
              <w:bottom w:w="80" w:type="dxa"/>
              <w:right w:w="80" w:type="dxa"/>
            </w:tcMar>
            <w:vAlign w:val="bottom"/>
          </w:tcPr>
          <w:p>
            <w:pPr>
              <w:rPr>
                <w:rFonts w:eastAsia="Times New Roman"/>
                <w:b w:val="0"/>
                <w:sz w:val="16"/>
                <w:szCs w:val="16"/>
                <w:lang w:val="es-ES_tradnl" w:eastAsia="es-ES"/>
              </w:rPr>
            </w:pPr>
            <w:r>
              <w:rPr>
                <w:rFonts w:eastAsia="Times New Roman"/>
                <w:b w:val="0"/>
                <w:sz w:val="16"/>
                <w:szCs w:val="16"/>
                <w:lang w:val="es-ES_tradnl" w:eastAsia="es-ES"/>
              </w:rPr>
              <w:t>31</w:t>
            </w:r>
          </w:p>
        </w:tc>
        <w:tc>
          <w:tcPr>
            <w:tcW w:w="3402"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bottom"/>
          </w:tcPr>
          <w:p>
            <w:pPr>
              <w:rPr>
                <w:rFonts w:eastAsia="Times New Roman"/>
                <w:b w:val="0"/>
                <w:sz w:val="16"/>
                <w:szCs w:val="16"/>
                <w:lang w:val="es-ES_tradnl" w:eastAsia="es-ES"/>
              </w:rPr>
            </w:pPr>
            <w:r>
              <w:rPr>
                <w:rFonts w:eastAsia="Times New Roman"/>
                <w:b w:val="0"/>
                <w:sz w:val="16"/>
                <w:szCs w:val="16"/>
                <w:lang w:val="es-ES_tradnl" w:eastAsia="es-ES"/>
              </w:rPr>
              <w:t>INICIATIVAS DE INVERSIÓN</w:t>
            </w:r>
          </w:p>
        </w:tc>
        <w:tc>
          <w:tcPr>
            <w:tcW w:w="1701"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bottom"/>
          </w:tcPr>
          <w:p>
            <w:pPr>
              <w:rPr>
                <w:rFonts w:eastAsia="Times New Roman"/>
                <w:b w:val="0"/>
                <w:sz w:val="16"/>
                <w:szCs w:val="16"/>
                <w:lang w:val="es-ES_tradnl" w:eastAsia="es-ES"/>
              </w:rPr>
            </w:pPr>
            <w:r>
              <w:rPr>
                <w:rFonts w:eastAsia="Times New Roman"/>
                <w:b w:val="0"/>
                <w:sz w:val="16"/>
                <w:szCs w:val="16"/>
                <w:lang w:val="es-ES_tradnl" w:eastAsia="es-ES"/>
              </w:rPr>
              <w:t>3.442.125</w:t>
            </w:r>
          </w:p>
        </w:tc>
        <w:tc>
          <w:tcPr>
            <w:tcW w:w="1559"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bottom"/>
          </w:tcPr>
          <w:p>
            <w:pPr>
              <w:rPr>
                <w:rFonts w:eastAsia="Times New Roman"/>
                <w:b w:val="0"/>
                <w:sz w:val="16"/>
                <w:szCs w:val="16"/>
                <w:lang w:val="es-ES_tradnl" w:eastAsia="es-ES"/>
              </w:rPr>
            </w:pPr>
            <w:r>
              <w:rPr>
                <w:rFonts w:eastAsia="Times New Roman"/>
                <w:b w:val="0"/>
                <w:sz w:val="16"/>
                <w:szCs w:val="16"/>
                <w:lang w:val="es-ES_tradnl" w:eastAsia="es-ES"/>
              </w:rPr>
              <w:t>4.980.965</w:t>
            </w:r>
          </w:p>
        </w:tc>
        <w:tc>
          <w:tcPr>
            <w:tcW w:w="1497" w:type="dxa"/>
            <w:tcBorders>
              <w:top w:val="nil"/>
              <w:left w:val="single" w:sz="4" w:space="0" w:color="000000"/>
              <w:bottom w:val="nil"/>
              <w:right w:val="single" w:sz="8" w:space="0" w:color="000000"/>
            </w:tcBorders>
            <w:shd w:val="clear" w:color="auto" w:fill="auto"/>
            <w:tcMar>
              <w:top w:w="80" w:type="dxa"/>
              <w:left w:w="80" w:type="dxa"/>
              <w:bottom w:w="80" w:type="dxa"/>
              <w:right w:w="80" w:type="dxa"/>
            </w:tcMar>
            <w:vAlign w:val="bottom"/>
          </w:tcPr>
          <w:p>
            <w:pPr>
              <w:rPr>
                <w:rFonts w:eastAsia="Times New Roman"/>
                <w:b w:val="0"/>
                <w:sz w:val="16"/>
                <w:szCs w:val="16"/>
                <w:lang w:val="es-ES_tradnl" w:eastAsia="es-ES"/>
              </w:rPr>
            </w:pPr>
            <w:r>
              <w:rPr>
                <w:rFonts w:eastAsia="Times New Roman"/>
                <w:b w:val="0"/>
                <w:sz w:val="16"/>
                <w:szCs w:val="16"/>
                <w:lang w:val="es-ES_tradnl" w:eastAsia="es-ES"/>
              </w:rPr>
              <w:t>44,7%</w:t>
            </w:r>
          </w:p>
        </w:tc>
      </w:tr>
      <w:tr>
        <w:tblPrEx>
          <w:tblCellMar>
            <w:top w:w="0" w:type="dxa"/>
            <w:left w:w="0" w:type="dxa"/>
            <w:bottom w:w="0" w:type="dxa"/>
            <w:right w:w="0" w:type="dxa"/>
          </w:tblCellMar>
        </w:tblPrEx>
        <w:trPr>
          <w:trHeight w:val="20"/>
        </w:trPr>
        <w:tc>
          <w:tcPr>
            <w:tcW w:w="681" w:type="dxa"/>
            <w:tcBorders>
              <w:top w:val="nil"/>
              <w:left w:val="single" w:sz="8" w:space="0" w:color="000000"/>
              <w:bottom w:val="nil"/>
              <w:right w:val="single" w:sz="4" w:space="0" w:color="000000"/>
            </w:tcBorders>
            <w:shd w:val="clear" w:color="auto" w:fill="auto"/>
            <w:tcMar>
              <w:top w:w="80" w:type="dxa"/>
              <w:left w:w="80" w:type="dxa"/>
              <w:bottom w:w="80" w:type="dxa"/>
              <w:right w:w="80" w:type="dxa"/>
            </w:tcMar>
            <w:vAlign w:val="bottom"/>
          </w:tcPr>
          <w:p>
            <w:pPr>
              <w:rPr>
                <w:rFonts w:eastAsia="Times New Roman"/>
                <w:b w:val="0"/>
                <w:sz w:val="16"/>
                <w:szCs w:val="16"/>
                <w:lang w:val="es-ES_tradnl" w:eastAsia="es-ES"/>
              </w:rPr>
            </w:pPr>
            <w:r>
              <w:rPr>
                <w:rFonts w:eastAsia="Times New Roman"/>
                <w:b w:val="0"/>
                <w:sz w:val="16"/>
                <w:szCs w:val="16"/>
                <w:lang w:val="es-ES_tradnl" w:eastAsia="es-ES"/>
              </w:rPr>
              <w:t>34</w:t>
            </w:r>
          </w:p>
        </w:tc>
        <w:tc>
          <w:tcPr>
            <w:tcW w:w="3402"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bottom"/>
          </w:tcPr>
          <w:p>
            <w:pPr>
              <w:rPr>
                <w:rFonts w:eastAsia="Times New Roman"/>
                <w:b w:val="0"/>
                <w:sz w:val="16"/>
                <w:szCs w:val="16"/>
                <w:lang w:val="es-ES_tradnl" w:eastAsia="es-ES"/>
              </w:rPr>
            </w:pPr>
            <w:r>
              <w:rPr>
                <w:rFonts w:eastAsia="Times New Roman"/>
                <w:b w:val="0"/>
                <w:sz w:val="16"/>
                <w:szCs w:val="16"/>
                <w:lang w:val="es-ES_tradnl" w:eastAsia="es-ES"/>
              </w:rPr>
              <w:t>SERVICIO DE LA DEUDA</w:t>
            </w:r>
          </w:p>
        </w:tc>
        <w:tc>
          <w:tcPr>
            <w:tcW w:w="1701"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bottom"/>
          </w:tcPr>
          <w:p>
            <w:pPr>
              <w:rPr>
                <w:rFonts w:eastAsia="Times New Roman"/>
                <w:b w:val="0"/>
                <w:sz w:val="16"/>
                <w:szCs w:val="16"/>
                <w:lang w:val="es-ES_tradnl" w:eastAsia="es-ES"/>
              </w:rPr>
            </w:pPr>
            <w:r>
              <w:rPr>
                <w:rFonts w:eastAsia="Times New Roman"/>
                <w:b w:val="0"/>
                <w:sz w:val="16"/>
                <w:szCs w:val="16"/>
                <w:lang w:val="es-ES_tradnl" w:eastAsia="es-ES"/>
              </w:rPr>
              <w:t>5.841.159</w:t>
            </w:r>
          </w:p>
        </w:tc>
        <w:tc>
          <w:tcPr>
            <w:tcW w:w="1559"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bottom"/>
          </w:tcPr>
          <w:p>
            <w:pPr>
              <w:rPr>
                <w:rFonts w:eastAsia="Times New Roman"/>
                <w:b w:val="0"/>
                <w:sz w:val="16"/>
                <w:szCs w:val="16"/>
                <w:lang w:val="es-ES_tradnl" w:eastAsia="es-ES"/>
              </w:rPr>
            </w:pPr>
            <w:r>
              <w:rPr>
                <w:rFonts w:eastAsia="Times New Roman"/>
                <w:b w:val="0"/>
                <w:sz w:val="16"/>
                <w:szCs w:val="16"/>
                <w:lang w:val="es-ES_tradnl" w:eastAsia="es-ES"/>
              </w:rPr>
              <w:t>7.798.814</w:t>
            </w:r>
          </w:p>
        </w:tc>
        <w:tc>
          <w:tcPr>
            <w:tcW w:w="1497" w:type="dxa"/>
            <w:tcBorders>
              <w:top w:val="nil"/>
              <w:left w:val="single" w:sz="4" w:space="0" w:color="000000"/>
              <w:bottom w:val="nil"/>
              <w:right w:val="single" w:sz="8" w:space="0" w:color="000000"/>
            </w:tcBorders>
            <w:shd w:val="clear" w:color="auto" w:fill="auto"/>
            <w:tcMar>
              <w:top w:w="80" w:type="dxa"/>
              <w:left w:w="80" w:type="dxa"/>
              <w:bottom w:w="80" w:type="dxa"/>
              <w:right w:w="80" w:type="dxa"/>
            </w:tcMar>
            <w:vAlign w:val="bottom"/>
          </w:tcPr>
          <w:p>
            <w:pPr>
              <w:rPr>
                <w:rFonts w:eastAsia="Times New Roman"/>
                <w:b w:val="0"/>
                <w:sz w:val="16"/>
                <w:szCs w:val="16"/>
                <w:lang w:val="es-ES_tradnl" w:eastAsia="es-ES"/>
              </w:rPr>
            </w:pPr>
            <w:r>
              <w:rPr>
                <w:rFonts w:eastAsia="Times New Roman"/>
                <w:b w:val="0"/>
                <w:sz w:val="16"/>
                <w:szCs w:val="16"/>
                <w:lang w:val="es-ES_tradnl" w:eastAsia="es-ES"/>
              </w:rPr>
              <w:t>33,5%</w:t>
            </w:r>
          </w:p>
        </w:tc>
      </w:tr>
      <w:tr>
        <w:tblPrEx>
          <w:tblCellMar>
            <w:top w:w="0" w:type="dxa"/>
            <w:left w:w="0" w:type="dxa"/>
            <w:bottom w:w="0" w:type="dxa"/>
            <w:right w:w="0" w:type="dxa"/>
          </w:tblCellMar>
        </w:tblPrEx>
        <w:trPr>
          <w:trHeight w:val="20"/>
        </w:trPr>
        <w:tc>
          <w:tcPr>
            <w:tcW w:w="681" w:type="dxa"/>
            <w:tcBorders>
              <w:top w:val="nil"/>
              <w:left w:val="single" w:sz="8" w:space="0" w:color="000000"/>
              <w:bottom w:val="single" w:sz="8" w:space="0" w:color="000000"/>
              <w:right w:val="single" w:sz="4" w:space="0" w:color="000000"/>
            </w:tcBorders>
            <w:shd w:val="clear" w:color="auto" w:fill="auto"/>
            <w:tcMar>
              <w:top w:w="80" w:type="dxa"/>
              <w:left w:w="80" w:type="dxa"/>
              <w:bottom w:w="80" w:type="dxa"/>
              <w:right w:w="80" w:type="dxa"/>
            </w:tcMar>
            <w:vAlign w:val="bottom"/>
          </w:tcPr>
          <w:p>
            <w:pPr>
              <w:rPr>
                <w:rFonts w:eastAsia="Times New Roman"/>
                <w:b w:val="0"/>
                <w:sz w:val="16"/>
                <w:szCs w:val="16"/>
                <w:lang w:val="es-ES_tradnl" w:eastAsia="es-ES"/>
              </w:rPr>
            </w:pPr>
            <w:r>
              <w:rPr>
                <w:rFonts w:eastAsia="Times New Roman"/>
                <w:b w:val="0"/>
                <w:sz w:val="16"/>
                <w:szCs w:val="16"/>
                <w:lang w:val="es-ES_tradnl" w:eastAsia="es-ES"/>
              </w:rPr>
              <w:t>35</w:t>
            </w:r>
          </w:p>
        </w:tc>
        <w:tc>
          <w:tcPr>
            <w:tcW w:w="3402" w:type="dxa"/>
            <w:tcBorders>
              <w:top w:val="nil"/>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bottom"/>
          </w:tcPr>
          <w:p>
            <w:pPr>
              <w:rPr>
                <w:rFonts w:eastAsia="Times New Roman"/>
                <w:b w:val="0"/>
                <w:sz w:val="16"/>
                <w:szCs w:val="16"/>
                <w:lang w:val="es-ES_tradnl" w:eastAsia="es-ES"/>
              </w:rPr>
            </w:pPr>
            <w:r>
              <w:rPr>
                <w:rFonts w:eastAsia="Times New Roman"/>
                <w:b w:val="0"/>
                <w:sz w:val="16"/>
                <w:szCs w:val="16"/>
                <w:lang w:val="es-ES_tradnl" w:eastAsia="es-ES"/>
              </w:rPr>
              <w:t>SALDO FINAL DE CAJA</w:t>
            </w:r>
          </w:p>
        </w:tc>
        <w:tc>
          <w:tcPr>
            <w:tcW w:w="1701" w:type="dxa"/>
            <w:tcBorders>
              <w:top w:val="nil"/>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bottom"/>
          </w:tcPr>
          <w:p>
            <w:pPr>
              <w:rPr>
                <w:rFonts w:eastAsia="Times New Roman"/>
                <w:b w:val="0"/>
                <w:sz w:val="16"/>
                <w:szCs w:val="16"/>
                <w:lang w:val="es-ES_tradnl" w:eastAsia="es-ES"/>
              </w:rPr>
            </w:pPr>
            <w:r>
              <w:rPr>
                <w:rFonts w:eastAsia="Times New Roman"/>
                <w:b w:val="0"/>
                <w:sz w:val="16"/>
                <w:szCs w:val="16"/>
                <w:lang w:val="es-ES_tradnl" w:eastAsia="es-ES"/>
              </w:rPr>
              <w:t> </w:t>
            </w:r>
          </w:p>
        </w:tc>
        <w:tc>
          <w:tcPr>
            <w:tcW w:w="1559" w:type="dxa"/>
            <w:tcBorders>
              <w:top w:val="nil"/>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bottom"/>
          </w:tcPr>
          <w:p>
            <w:pPr>
              <w:rPr>
                <w:rFonts w:eastAsia="Times New Roman"/>
                <w:b w:val="0"/>
                <w:sz w:val="16"/>
                <w:szCs w:val="16"/>
                <w:lang w:val="es-ES_tradnl" w:eastAsia="es-ES"/>
              </w:rPr>
            </w:pPr>
            <w:r>
              <w:rPr>
                <w:rFonts w:eastAsia="Times New Roman"/>
                <w:b w:val="0"/>
                <w:sz w:val="16"/>
                <w:szCs w:val="16"/>
                <w:lang w:val="es-ES_tradnl" w:eastAsia="es-ES"/>
              </w:rPr>
              <w:t> </w:t>
            </w:r>
          </w:p>
        </w:tc>
        <w:tc>
          <w:tcPr>
            <w:tcW w:w="1497" w:type="dxa"/>
            <w:tcBorders>
              <w:top w:val="nil"/>
              <w:left w:val="single" w:sz="4"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pPr>
              <w:rPr>
                <w:rFonts w:eastAsia="Times New Roman"/>
                <w:b w:val="0"/>
                <w:sz w:val="16"/>
                <w:szCs w:val="16"/>
                <w:lang w:val="es-ES_tradnl" w:eastAsia="es-ES"/>
              </w:rPr>
            </w:pPr>
            <w:r>
              <w:rPr>
                <w:rFonts w:eastAsia="Times New Roman"/>
                <w:b w:val="0"/>
                <w:sz w:val="16"/>
                <w:szCs w:val="16"/>
                <w:lang w:val="es-ES_tradnl" w:eastAsia="es-ES"/>
              </w:rPr>
              <w:t> </w:t>
            </w:r>
          </w:p>
        </w:tc>
      </w:tr>
      <w:tr>
        <w:tblPrEx>
          <w:tblCellMar>
            <w:top w:w="0" w:type="dxa"/>
            <w:left w:w="0" w:type="dxa"/>
            <w:bottom w:w="0" w:type="dxa"/>
            <w:right w:w="0" w:type="dxa"/>
          </w:tblCellMar>
        </w:tblPrEx>
        <w:trPr>
          <w:trHeight w:val="20"/>
        </w:trPr>
        <w:tc>
          <w:tcPr>
            <w:tcW w:w="681"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bottom"/>
          </w:tcPr>
          <w:p>
            <w:pPr>
              <w:rPr>
                <w:rFonts w:eastAsia="Times New Roman"/>
                <w:b w:val="0"/>
                <w:sz w:val="16"/>
                <w:szCs w:val="16"/>
                <w:lang w:val="es-ES_tradnl" w:eastAsia="es-ES"/>
              </w:rPr>
            </w:pPr>
          </w:p>
        </w:tc>
        <w:tc>
          <w:tcPr>
            <w:tcW w:w="3402"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bottom"/>
          </w:tcPr>
          <w:p>
            <w:pPr>
              <w:rPr>
                <w:rFonts w:eastAsia="Times New Roman"/>
                <w:b w:val="0"/>
                <w:sz w:val="16"/>
                <w:szCs w:val="16"/>
                <w:lang w:val="es-ES_tradnl" w:eastAsia="es-ES"/>
              </w:rPr>
            </w:pPr>
          </w:p>
        </w:tc>
        <w:tc>
          <w:tcPr>
            <w:tcW w:w="1701"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bottom"/>
          </w:tcPr>
          <w:p>
            <w:pPr>
              <w:rPr>
                <w:rFonts w:eastAsia="Times New Roman"/>
                <w:b w:val="0"/>
                <w:sz w:val="16"/>
                <w:szCs w:val="16"/>
                <w:lang w:val="es-ES_tradnl" w:eastAsia="es-ES"/>
              </w:rPr>
            </w:pPr>
          </w:p>
        </w:tc>
        <w:tc>
          <w:tcPr>
            <w:tcW w:w="1559"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bottom"/>
          </w:tcPr>
          <w:p>
            <w:pPr>
              <w:rPr>
                <w:rFonts w:eastAsia="Times New Roman"/>
                <w:b w:val="0"/>
                <w:sz w:val="16"/>
                <w:szCs w:val="16"/>
                <w:lang w:val="es-ES_tradnl" w:eastAsia="es-ES"/>
              </w:rPr>
            </w:pPr>
          </w:p>
        </w:tc>
        <w:tc>
          <w:tcPr>
            <w:tcW w:w="1497"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bottom"/>
          </w:tcPr>
          <w:p>
            <w:pPr>
              <w:rPr>
                <w:rFonts w:eastAsia="Times New Roman"/>
                <w:b w:val="0"/>
                <w:sz w:val="16"/>
                <w:szCs w:val="16"/>
                <w:lang w:val="es-ES_tradnl" w:eastAsia="es-ES"/>
              </w:rPr>
            </w:pPr>
          </w:p>
        </w:tc>
      </w:tr>
      <w:tr>
        <w:tblPrEx>
          <w:tblCellMar>
            <w:top w:w="0" w:type="dxa"/>
            <w:left w:w="0" w:type="dxa"/>
            <w:bottom w:w="0" w:type="dxa"/>
            <w:right w:w="0" w:type="dxa"/>
          </w:tblCellMar>
        </w:tblPrEx>
        <w:trPr>
          <w:trHeight w:val="20"/>
        </w:trPr>
        <w:tc>
          <w:tcPr>
            <w:tcW w:w="4083" w:type="dxa"/>
            <w:gridSpan w:val="2"/>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pPr>
              <w:rPr>
                <w:rFonts w:eastAsia="Times New Roman"/>
                <w:b w:val="0"/>
                <w:sz w:val="16"/>
                <w:szCs w:val="16"/>
                <w:lang w:val="es-ES_tradnl" w:eastAsia="es-ES"/>
              </w:rPr>
            </w:pPr>
            <w:r>
              <w:rPr>
                <w:rFonts w:eastAsia="Times New Roman"/>
                <w:b w:val="0"/>
                <w:sz w:val="16"/>
                <w:szCs w:val="16"/>
                <w:lang w:val="es-ES_tradnl" w:eastAsia="es-ES"/>
              </w:rPr>
              <w:t>Gasto de Estado de Operaciones = GASTOS -(Subt.25+30+32+34+35) + Ítem25.01+Intereses y Otros Gastos Financieros de Deuda</w:t>
            </w:r>
          </w:p>
        </w:tc>
        <w:tc>
          <w:tcPr>
            <w:tcW w:w="1701" w:type="dxa"/>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pPr>
              <w:rPr>
                <w:rFonts w:eastAsia="Times New Roman"/>
                <w:b w:val="0"/>
                <w:sz w:val="16"/>
                <w:szCs w:val="16"/>
                <w:lang w:val="es-ES_tradnl" w:eastAsia="es-ES"/>
              </w:rPr>
            </w:pPr>
            <w:r>
              <w:rPr>
                <w:rFonts w:eastAsia="Times New Roman"/>
                <w:b w:val="0"/>
                <w:sz w:val="16"/>
                <w:szCs w:val="16"/>
                <w:lang w:val="es-ES_tradnl" w:eastAsia="es-ES"/>
              </w:rPr>
              <w:t>443.168.388</w:t>
            </w:r>
          </w:p>
        </w:tc>
        <w:tc>
          <w:tcPr>
            <w:tcW w:w="1559" w:type="dxa"/>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pPr>
              <w:rPr>
                <w:rFonts w:eastAsia="Times New Roman"/>
                <w:b w:val="0"/>
                <w:sz w:val="16"/>
                <w:szCs w:val="16"/>
                <w:lang w:val="es-ES_tradnl" w:eastAsia="es-ES"/>
              </w:rPr>
            </w:pPr>
            <w:r>
              <w:rPr>
                <w:rFonts w:eastAsia="Times New Roman"/>
                <w:b w:val="0"/>
                <w:sz w:val="16"/>
                <w:szCs w:val="16"/>
                <w:lang w:val="es-ES_tradnl" w:eastAsia="es-ES"/>
              </w:rPr>
              <w:t>443.856.493</w:t>
            </w:r>
          </w:p>
        </w:tc>
        <w:tc>
          <w:tcPr>
            <w:tcW w:w="1497" w:type="dxa"/>
            <w:tcBorders>
              <w:top w:val="single" w:sz="8"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pPr>
              <w:rPr>
                <w:rFonts w:eastAsia="Times New Roman"/>
                <w:b w:val="0"/>
                <w:sz w:val="16"/>
                <w:szCs w:val="16"/>
                <w:lang w:val="es-ES_tradnl" w:eastAsia="es-ES"/>
              </w:rPr>
            </w:pPr>
            <w:r>
              <w:rPr>
                <w:rFonts w:eastAsia="Times New Roman"/>
                <w:b w:val="0"/>
                <w:sz w:val="16"/>
                <w:szCs w:val="16"/>
                <w:lang w:val="es-ES_tradnl" w:eastAsia="es-ES"/>
              </w:rPr>
              <w:t>0,2%</w:t>
            </w:r>
          </w:p>
        </w:tc>
      </w:tr>
    </w:tbl>
    <w:p>
      <w:pPr>
        <w:rPr>
          <w:rFonts w:eastAsia="Times New Roman"/>
          <w:b w:val="0"/>
          <w:lang w:val="es-ES_tradnl" w:eastAsia="es-ES"/>
        </w:rPr>
      </w:pPr>
    </w:p>
    <w:p>
      <w:pPr>
        <w:rPr>
          <w:rFonts w:eastAsia="Times New Roman"/>
          <w:b w:val="0"/>
          <w:lang w:val="es-ES_tradnl" w:eastAsia="es-ES"/>
        </w:rPr>
      </w:pPr>
      <w:r>
        <w:rPr>
          <w:rFonts w:eastAsia="Times New Roman"/>
          <w:b w:val="0"/>
          <w:lang w:val="es-ES_tradnl" w:eastAsia="es-ES"/>
        </w:rPr>
        <w:tab/>
        <w:t>En este punto, destacó que el Ministerio de Hacienda en su conjunto incrementa su presupuesto, respecto del vigente, en un 1,5%, situándose por debajo del alza presupuestaria para el año 2017</w:t>
      </w:r>
    </w:p>
    <w:p>
      <w:pPr>
        <w:rPr>
          <w:rFonts w:eastAsia="Times New Roman"/>
          <w:b w:val="0"/>
          <w:lang w:val="es-ES_tradnl" w:eastAsia="es-ES"/>
        </w:rPr>
      </w:pPr>
    </w:p>
    <w:p>
      <w:pPr>
        <w:rPr>
          <w:rFonts w:eastAsia="Times New Roman"/>
          <w:b w:val="0"/>
          <w:lang w:val="es-ES_tradnl" w:eastAsia="es-ES"/>
        </w:rPr>
      </w:pPr>
    </w:p>
    <w:p>
      <w:pPr>
        <w:rPr>
          <w:rFonts w:eastAsia="Times New Roman"/>
          <w:b w:val="0"/>
          <w:lang w:val="es-ES_tradnl" w:eastAsia="es-ES"/>
        </w:rPr>
      </w:pPr>
      <w:r>
        <w:rPr>
          <w:rFonts w:eastAsia="Times New Roman"/>
          <w:b w:val="0"/>
          <w:lang w:val="es-ES_tradnl" w:eastAsia="es-ES"/>
        </w:rPr>
        <w:tab/>
      </w:r>
      <w:r>
        <w:rPr>
          <w:rFonts w:eastAsia="Times New Roman"/>
          <w:bCs/>
          <w:lang w:val="es-ES_tradnl" w:eastAsia="es-ES"/>
        </w:rPr>
        <w:t>El Honorable Diputado señor Silva</w:t>
      </w:r>
      <w:r>
        <w:rPr>
          <w:rFonts w:eastAsia="Times New Roman"/>
          <w:b w:val="0"/>
          <w:lang w:val="es-ES_tradnl" w:eastAsia="es-ES"/>
        </w:rPr>
        <w:t>, solicitó el envío de un Informe que permita determinar el incremento o reducción del presupuesto 2017, considerando en su base de cálculo el presupuesto inicial 2016, más el reajuste, leyes especiales, ajustes y otros, en toda la Partida de Hacienda.</w:t>
      </w:r>
    </w:p>
    <w:p>
      <w:pPr>
        <w:rPr>
          <w:rFonts w:eastAsia="Times New Roman"/>
          <w:b w:val="0"/>
          <w:lang w:val="es-ES_tradnl" w:eastAsia="es-ES"/>
        </w:rPr>
      </w:pPr>
    </w:p>
    <w:p>
      <w:pPr>
        <w:rPr>
          <w:rFonts w:eastAsia="Times New Roman"/>
          <w:b w:val="0"/>
          <w:lang w:val="es-ES_tradnl" w:eastAsia="es-ES"/>
        </w:rPr>
      </w:pPr>
    </w:p>
    <w:p>
      <w:pPr>
        <w:rPr>
          <w:rFonts w:eastAsia="Times New Roman"/>
          <w:b w:val="0"/>
          <w:lang w:val="es-ES_tradnl" w:eastAsia="es-ES"/>
        </w:rPr>
      </w:pPr>
      <w:r>
        <w:rPr>
          <w:rFonts w:eastAsia="Times New Roman"/>
          <w:b w:val="0"/>
          <w:lang w:val="es-ES_tradnl" w:eastAsia="es-ES"/>
        </w:rPr>
        <w:tab/>
      </w:r>
      <w:r>
        <w:rPr>
          <w:rFonts w:eastAsia="Times New Roman"/>
          <w:bCs/>
          <w:lang w:val="es-ES_tradnl" w:eastAsia="es-ES"/>
        </w:rPr>
        <w:t>El Presidente de la Subcomisión, Honorable Diputado señor De Mussy</w:t>
      </w:r>
      <w:r>
        <w:rPr>
          <w:rFonts w:eastAsia="Times New Roman"/>
          <w:b w:val="0"/>
          <w:lang w:val="es-ES_tradnl" w:eastAsia="es-ES"/>
        </w:rPr>
        <w:t>, preguntó si la columna N° 5 de la segunda lámina corresponde a las cifras contenidas en la segunda columna de la primera lámina pero reajustadas.</w:t>
      </w:r>
    </w:p>
    <w:p>
      <w:pPr>
        <w:rPr>
          <w:rFonts w:eastAsia="Times New Roman"/>
          <w:b w:val="0"/>
          <w:lang w:val="es-ES_tradnl" w:eastAsia="es-ES"/>
        </w:rPr>
      </w:pPr>
    </w:p>
    <w:p>
      <w:pPr>
        <w:rPr>
          <w:rFonts w:eastAsia="Times New Roman"/>
          <w:b w:val="0"/>
          <w:lang w:val="es-ES_tradnl" w:eastAsia="es-ES"/>
        </w:rPr>
      </w:pPr>
    </w:p>
    <w:p>
      <w:pPr>
        <w:rPr>
          <w:rFonts w:eastAsia="Times New Roman"/>
          <w:b w:val="0"/>
          <w:lang w:val="es-ES_tradnl" w:eastAsia="es-ES"/>
        </w:rPr>
      </w:pPr>
      <w:r>
        <w:rPr>
          <w:rFonts w:eastAsia="Times New Roman"/>
          <w:b w:val="0"/>
          <w:lang w:val="es-ES_tradnl" w:eastAsia="es-ES"/>
        </w:rPr>
        <w:tab/>
      </w:r>
      <w:r>
        <w:rPr>
          <w:rFonts w:eastAsia="Times New Roman"/>
          <w:bCs/>
          <w:lang w:val="es-ES_tradnl" w:eastAsia="es-ES"/>
        </w:rPr>
        <w:t>El Subsecretario de Hacienda, señor Alejandro Micco</w:t>
      </w:r>
      <w:r>
        <w:rPr>
          <w:rFonts w:eastAsia="Times New Roman"/>
          <w:b w:val="0"/>
          <w:lang w:val="es-ES_tradnl" w:eastAsia="es-ES"/>
        </w:rPr>
        <w:t>, respondió afirmativamente.</w:t>
      </w:r>
    </w:p>
    <w:p>
      <w:pPr>
        <w:rPr>
          <w:rFonts w:eastAsia="Times New Roman"/>
          <w:b w:val="0"/>
          <w:lang w:val="es-ES_tradnl" w:eastAsia="es-ES"/>
        </w:rPr>
      </w:pPr>
    </w:p>
    <w:p>
      <w:pPr>
        <w:rPr>
          <w:rFonts w:eastAsia="Times New Roman"/>
          <w:b w:val="0"/>
          <w:lang w:val="es-ES_tradnl" w:eastAsia="es-ES"/>
        </w:rPr>
      </w:pPr>
    </w:p>
    <w:p>
      <w:pPr>
        <w:rPr>
          <w:rFonts w:eastAsia="Times New Roman"/>
          <w:b w:val="0"/>
          <w:lang w:val="es-ES_tradnl" w:eastAsia="es-ES"/>
        </w:rPr>
      </w:pPr>
      <w:r>
        <w:rPr>
          <w:rFonts w:eastAsia="Times New Roman"/>
          <w:b w:val="0"/>
          <w:lang w:val="es-ES_tradnl" w:eastAsia="es-ES"/>
        </w:rPr>
        <w:tab/>
      </w:r>
      <w:r>
        <w:rPr>
          <w:rFonts w:eastAsia="Times New Roman"/>
          <w:lang w:val="es-ES_tradnl" w:eastAsia="es-ES"/>
        </w:rPr>
        <w:t>El Presidente de la Subcomisión, Honorable Diputado señor De Mussy,</w:t>
      </w:r>
      <w:r>
        <w:rPr>
          <w:rFonts w:eastAsia="Times New Roman"/>
          <w:b w:val="0"/>
          <w:lang w:val="es-ES_tradnl" w:eastAsia="es-ES"/>
        </w:rPr>
        <w:t xml:space="preserve"> señaló que las cantidades contempladas en la tercera columna de la primera lámina, en pesos correspondientes al año 2017, pudiesen resultar mayores que las cifras contenidas en la quinta columna.</w:t>
      </w:r>
    </w:p>
    <w:p>
      <w:pPr>
        <w:rPr>
          <w:rFonts w:eastAsia="Times New Roman"/>
          <w:b w:val="0"/>
          <w:lang w:val="es-ES_tradnl" w:eastAsia="es-ES"/>
        </w:rPr>
      </w:pPr>
    </w:p>
    <w:p>
      <w:pPr>
        <w:rPr>
          <w:rFonts w:eastAsia="Times New Roman"/>
          <w:b w:val="0"/>
          <w:lang w:val="es-ES_tradnl" w:eastAsia="es-ES"/>
        </w:rPr>
      </w:pPr>
    </w:p>
    <w:p>
      <w:pPr>
        <w:rPr>
          <w:rFonts w:eastAsia="Times New Roman"/>
          <w:b w:val="0"/>
          <w:lang w:val="es-ES_tradnl" w:eastAsia="es-ES"/>
        </w:rPr>
      </w:pPr>
      <w:r>
        <w:rPr>
          <w:rFonts w:eastAsia="Times New Roman"/>
          <w:b w:val="0"/>
          <w:lang w:val="es-ES_tradnl" w:eastAsia="es-ES"/>
        </w:rPr>
        <w:tab/>
      </w:r>
      <w:r>
        <w:rPr>
          <w:rFonts w:eastAsia="Times New Roman"/>
          <w:bCs/>
          <w:lang w:val="es-ES_tradnl" w:eastAsia="es-ES"/>
        </w:rPr>
        <w:t>El Subsecretario de Hacienda, señor Alejandro Micco</w:t>
      </w:r>
      <w:r>
        <w:rPr>
          <w:rFonts w:eastAsia="Times New Roman"/>
          <w:b w:val="0"/>
          <w:lang w:val="es-ES_tradnl" w:eastAsia="es-ES"/>
        </w:rPr>
        <w:t>, indicó que ello es posible.</w:t>
      </w:r>
    </w:p>
    <w:p>
      <w:pPr>
        <w:rPr>
          <w:rFonts w:eastAsia="Times New Roman"/>
          <w:b w:val="0"/>
          <w:lang w:val="es-ES_tradnl" w:eastAsia="es-ES"/>
        </w:rPr>
      </w:pPr>
    </w:p>
    <w:p>
      <w:pPr>
        <w:rPr>
          <w:rFonts w:eastAsia="Times New Roman"/>
          <w:b w:val="0"/>
          <w:lang w:val="es-ES_tradnl" w:eastAsia="es-ES"/>
        </w:rPr>
      </w:pPr>
      <w:r>
        <w:rPr>
          <w:rFonts w:eastAsia="Times New Roman"/>
          <w:b w:val="0"/>
          <w:lang w:val="es-ES_tradnl" w:eastAsia="es-ES"/>
        </w:rPr>
        <w:tab/>
        <w:t>Lo anterior, explicó, en tanto se deben tener presentes dos consideraciones.</w:t>
      </w:r>
    </w:p>
    <w:p>
      <w:pPr>
        <w:rPr>
          <w:rFonts w:eastAsia="Times New Roman"/>
          <w:b w:val="0"/>
          <w:lang w:val="es-ES_tradnl" w:eastAsia="es-ES"/>
        </w:rPr>
      </w:pPr>
    </w:p>
    <w:p>
      <w:pPr>
        <w:rPr>
          <w:rFonts w:eastAsia="Times New Roman"/>
          <w:b w:val="0"/>
          <w:lang w:val="es-ES_tradnl" w:eastAsia="es-ES"/>
        </w:rPr>
      </w:pPr>
      <w:r>
        <w:rPr>
          <w:rFonts w:eastAsia="Times New Roman"/>
          <w:b w:val="0"/>
          <w:lang w:val="es-ES_tradnl" w:eastAsia="es-ES"/>
        </w:rPr>
        <w:tab/>
        <w:t>La primera, agregó, que en las partidas iniciales muchas veces se consideran bajas cantidades, las que progresivamente van aumentando a medida que se va generando deuda flotante.</w:t>
      </w:r>
    </w:p>
    <w:p>
      <w:pPr>
        <w:rPr>
          <w:rFonts w:eastAsia="Times New Roman"/>
          <w:b w:val="0"/>
          <w:lang w:val="es-ES_tradnl" w:eastAsia="es-ES"/>
        </w:rPr>
      </w:pPr>
    </w:p>
    <w:p>
      <w:pPr>
        <w:rPr>
          <w:rFonts w:eastAsia="Times New Roman"/>
          <w:b w:val="0"/>
          <w:lang w:val="es-ES_tradnl" w:eastAsia="es-ES"/>
        </w:rPr>
      </w:pPr>
      <w:r>
        <w:rPr>
          <w:rFonts w:eastAsia="Times New Roman"/>
          <w:b w:val="0"/>
          <w:lang w:val="es-ES_tradnl" w:eastAsia="es-ES"/>
        </w:rPr>
        <w:tab/>
        <w:t>Como consecuencia de la anterior observación, añadió, el segundo elemento a considerar es que para efectuar una comparación razonable entre presupuestos de años distintos, lo más apropiado es contrastar el presupuesto inicial, el ajustado y el vigente con lo proyectado para el futuro, en el mismo sentido que las láminas anteriormente descritas lo contemplan.</w:t>
      </w:r>
    </w:p>
    <w:p>
      <w:pPr>
        <w:rPr>
          <w:rFonts w:eastAsia="Times New Roman"/>
          <w:b w:val="0"/>
          <w:lang w:val="es-ES_tradnl" w:eastAsia="es-ES"/>
        </w:rPr>
      </w:pPr>
    </w:p>
    <w:p>
      <w:pPr>
        <w:rPr>
          <w:rFonts w:eastAsia="Times New Roman"/>
          <w:b w:val="0"/>
          <w:lang w:val="es-ES_tradnl" w:eastAsia="es-ES"/>
        </w:rPr>
      </w:pPr>
    </w:p>
    <w:p>
      <w:pPr>
        <w:rPr>
          <w:rFonts w:eastAsia="Times New Roman"/>
          <w:b w:val="0"/>
          <w:lang w:val="es-ES_tradnl" w:eastAsia="es-ES"/>
        </w:rPr>
      </w:pPr>
    </w:p>
    <w:p>
      <w:pPr>
        <w:rPr>
          <w:rFonts w:eastAsia="Times New Roman"/>
          <w:b w:val="0"/>
          <w:lang w:val="es-ES_tradnl" w:eastAsia="es-ES"/>
        </w:rPr>
      </w:pPr>
    </w:p>
    <w:p>
      <w:pPr>
        <w:rPr>
          <w:rFonts w:eastAsia="Times New Roman"/>
          <w:b w:val="0"/>
          <w:lang w:val="es-ES_tradnl" w:eastAsia="es-ES"/>
        </w:rPr>
      </w:pPr>
    </w:p>
    <w:p>
      <w:pPr>
        <w:rPr>
          <w:rFonts w:eastAsia="Times New Roman"/>
          <w:b w:val="0"/>
          <w:lang w:val="es-ES_tradnl" w:eastAsia="es-ES"/>
        </w:rPr>
      </w:pPr>
      <w:r>
        <w:rPr>
          <w:rFonts w:eastAsia="Times New Roman"/>
          <w:b w:val="0"/>
          <w:lang w:val="es-ES_tradnl" w:eastAsia="es-ES"/>
        </w:rPr>
        <w:tab/>
      </w:r>
      <w:r>
        <w:rPr>
          <w:rFonts w:eastAsia="Times New Roman"/>
          <w:bCs/>
          <w:lang w:val="es-ES_tradnl" w:eastAsia="es-ES"/>
        </w:rPr>
        <w:t>El Honorable Diputado señor Silva</w:t>
      </w:r>
      <w:r>
        <w:rPr>
          <w:rFonts w:eastAsia="Times New Roman"/>
          <w:b w:val="0"/>
          <w:lang w:val="es-ES_tradnl" w:eastAsia="es-ES"/>
        </w:rPr>
        <w:t>, consultó las razones que explican que los gastos en las Prestaciones de Seguridad Social (Subtítulo 23) comiencen en $0.-</w:t>
      </w:r>
    </w:p>
    <w:p>
      <w:pPr>
        <w:rPr>
          <w:rFonts w:eastAsia="Times New Roman"/>
          <w:b w:val="0"/>
          <w:lang w:val="es-ES_tradnl" w:eastAsia="es-ES"/>
        </w:rPr>
      </w:pPr>
    </w:p>
    <w:p>
      <w:pPr>
        <w:rPr>
          <w:rFonts w:eastAsia="Times New Roman"/>
          <w:b w:val="0"/>
          <w:lang w:val="es-ES_tradnl" w:eastAsia="es-ES"/>
        </w:rPr>
      </w:pPr>
    </w:p>
    <w:p>
      <w:pPr>
        <w:rPr>
          <w:rFonts w:eastAsia="Times New Roman"/>
          <w:b w:val="0"/>
          <w:lang w:val="es-ES_tradnl" w:eastAsia="es-ES"/>
        </w:rPr>
      </w:pPr>
      <w:r>
        <w:rPr>
          <w:rFonts w:eastAsia="Times New Roman"/>
          <w:b w:val="0"/>
          <w:lang w:val="es-ES_tradnl" w:eastAsia="es-ES"/>
        </w:rPr>
        <w:tab/>
      </w:r>
      <w:r>
        <w:rPr>
          <w:rFonts w:eastAsia="Times New Roman"/>
          <w:bCs/>
          <w:lang w:val="es-ES_tradnl" w:eastAsia="es-ES"/>
        </w:rPr>
        <w:t>El Subsecretario de Hacienda, señor Alejandro Micco</w:t>
      </w:r>
      <w:r>
        <w:rPr>
          <w:rFonts w:eastAsia="Times New Roman"/>
          <w:b w:val="0"/>
          <w:lang w:val="es-ES_tradnl" w:eastAsia="es-ES"/>
        </w:rPr>
        <w:t>, expresó que ello se debe a que dicho subtítulo se va incrementando a lo largo del año a medida que tales prestaciones son efectuadas, en tanto no es posible prever las mismas de antemano.</w:t>
      </w:r>
    </w:p>
    <w:p>
      <w:pPr>
        <w:rPr>
          <w:rFonts w:eastAsia="Times New Roman"/>
          <w:b w:val="0"/>
          <w:lang w:val="es-ES_tradnl" w:eastAsia="es-ES"/>
        </w:rPr>
      </w:pPr>
    </w:p>
    <w:p>
      <w:pPr>
        <w:rPr>
          <w:rFonts w:eastAsia="Times New Roman"/>
          <w:b w:val="0"/>
          <w:lang w:val="es-ES_tradnl" w:eastAsia="es-ES"/>
        </w:rPr>
      </w:pPr>
    </w:p>
    <w:p>
      <w:pPr>
        <w:rPr>
          <w:rFonts w:eastAsia="Times New Roman"/>
          <w:b w:val="0"/>
          <w:lang w:val="es-ES_tradnl" w:eastAsia="es-ES"/>
        </w:rPr>
      </w:pPr>
      <w:r>
        <w:rPr>
          <w:rFonts w:eastAsia="Times New Roman"/>
          <w:b w:val="0"/>
          <w:lang w:val="es-ES_tradnl" w:eastAsia="es-ES"/>
        </w:rPr>
        <w:tab/>
        <w:t>Dicha mecánica, subrayó, es la que se utiliza en todos los proyectos de Ley de Presupuestos.</w:t>
      </w:r>
    </w:p>
    <w:p>
      <w:pPr>
        <w:rPr>
          <w:rFonts w:eastAsia="Times New Roman"/>
          <w:b w:val="0"/>
          <w:lang w:val="es-ES_tradnl" w:eastAsia="es-ES"/>
        </w:rPr>
      </w:pPr>
    </w:p>
    <w:p>
      <w:pPr>
        <w:rPr>
          <w:rFonts w:eastAsia="Times New Roman"/>
          <w:b w:val="0"/>
          <w:lang w:val="es-ES_tradnl" w:eastAsia="es-ES"/>
        </w:rPr>
      </w:pPr>
    </w:p>
    <w:p>
      <w:pPr>
        <w:rPr>
          <w:rFonts w:eastAsia="Times New Roman"/>
          <w:b w:val="0"/>
          <w:lang w:val="es-ES_tradnl" w:eastAsia="es-ES"/>
        </w:rPr>
      </w:pPr>
      <w:r>
        <w:rPr>
          <w:rFonts w:eastAsia="Times New Roman"/>
          <w:b w:val="0"/>
          <w:lang w:val="es-ES_tradnl" w:eastAsia="es-ES"/>
        </w:rPr>
        <w:tab/>
      </w:r>
      <w:r>
        <w:rPr>
          <w:rFonts w:eastAsia="Times New Roman"/>
          <w:bCs/>
          <w:lang w:val="es-ES_tradnl" w:eastAsia="es-ES"/>
        </w:rPr>
        <w:t>El Honorable Diputado señor Silva</w:t>
      </w:r>
      <w:r>
        <w:rPr>
          <w:rFonts w:eastAsia="Times New Roman"/>
          <w:b w:val="0"/>
          <w:lang w:val="es-ES_tradnl" w:eastAsia="es-ES"/>
        </w:rPr>
        <w:t>, solicitó el envío de un catastro con las situaciones que durante la ejecución de la Ley de Presupuestos requieren de modificaciones presupuestarias que no pueden ser provisionadas en el Tesoro o las Partidas (por ejemplo, en el caso del subtítulo 23 “Prestaciones de Seguridad Social”</w:t>
      </w:r>
    </w:p>
    <w:p>
      <w:pPr>
        <w:rPr>
          <w:rFonts w:eastAsia="Times New Roman"/>
          <w:b w:val="0"/>
          <w:lang w:val="es-ES_tradnl" w:eastAsia="es-ES"/>
        </w:rPr>
      </w:pPr>
    </w:p>
    <w:p>
      <w:pPr>
        <w:rPr>
          <w:rFonts w:eastAsia="Times New Roman"/>
          <w:b w:val="0"/>
          <w:lang w:val="es-ES_tradnl" w:eastAsia="es-ES"/>
        </w:rPr>
      </w:pPr>
    </w:p>
    <w:p>
      <w:pPr>
        <w:rPr>
          <w:rFonts w:eastAsia="Times New Roman"/>
          <w:b w:val="0"/>
          <w:lang w:val="es-ES_tradnl" w:eastAsia="es-ES"/>
        </w:rPr>
      </w:pPr>
      <w:r>
        <w:rPr>
          <w:rFonts w:eastAsia="Times New Roman"/>
          <w:b w:val="0"/>
          <w:lang w:val="es-ES_tradnl" w:eastAsia="es-ES"/>
        </w:rPr>
        <w:tab/>
      </w:r>
      <w:r>
        <w:rPr>
          <w:rFonts w:eastAsia="Times New Roman"/>
          <w:bCs/>
          <w:lang w:val="es-ES_tradnl" w:eastAsia="es-ES"/>
        </w:rPr>
        <w:t>El Honorable Senador señor Coloma</w:t>
      </w:r>
      <w:r>
        <w:rPr>
          <w:rFonts w:eastAsia="Times New Roman"/>
          <w:b w:val="0"/>
          <w:lang w:val="es-ES_tradnl" w:eastAsia="es-ES"/>
        </w:rPr>
        <w:t>, señaló que sin perjuicio de que tales cantidades no puedan ser previstas de antemano, sugirió que se efectúe y se explicite en el proyecto de Ley de Presupuestos estimaciones al respecto, las que no debiesen variar más allá de un 5%.</w:t>
      </w:r>
    </w:p>
    <w:p>
      <w:pPr>
        <w:rPr>
          <w:rFonts w:eastAsia="Times New Roman"/>
          <w:b w:val="0"/>
          <w:lang w:val="es-ES_tradnl" w:eastAsia="es-ES"/>
        </w:rPr>
      </w:pPr>
    </w:p>
    <w:p>
      <w:pPr>
        <w:rPr>
          <w:rFonts w:eastAsia="Times New Roman"/>
          <w:b w:val="0"/>
          <w:lang w:val="es-ES_tradnl" w:eastAsia="es-ES"/>
        </w:rPr>
      </w:pPr>
    </w:p>
    <w:p>
      <w:pPr>
        <w:rPr>
          <w:rFonts w:eastAsia="Times New Roman"/>
          <w:b w:val="0"/>
          <w:lang w:val="es-ES_tradnl" w:eastAsia="es-ES"/>
        </w:rPr>
      </w:pPr>
      <w:r>
        <w:rPr>
          <w:rFonts w:eastAsia="Times New Roman"/>
          <w:b w:val="0"/>
          <w:lang w:val="es-ES_tradnl" w:eastAsia="es-ES"/>
        </w:rPr>
        <w:tab/>
      </w:r>
      <w:r>
        <w:rPr>
          <w:rFonts w:eastAsia="Times New Roman"/>
          <w:bCs/>
          <w:lang w:val="es-ES_tradnl" w:eastAsia="es-ES"/>
        </w:rPr>
        <w:t>El Subsecretario de Hacienda, señor Alejandro Micco</w:t>
      </w:r>
      <w:r>
        <w:rPr>
          <w:rFonts w:eastAsia="Times New Roman"/>
          <w:b w:val="0"/>
          <w:lang w:val="es-ES_tradnl" w:eastAsia="es-ES"/>
        </w:rPr>
        <w:t>, indicó que la metodología seguida obedece a cuestiones que suceden, por ejemplo, en el caso de los incentivos al retiro, en donde se hace muy complejo saber de antemano el número exacto de funcionarios que se acogerán a dicho beneficio, en tanto ser el mismo de carácter voluntario.</w:t>
      </w:r>
    </w:p>
    <w:p>
      <w:pPr>
        <w:rPr>
          <w:rFonts w:eastAsia="Times New Roman"/>
          <w:b w:val="0"/>
          <w:lang w:val="es-ES_tradnl" w:eastAsia="es-ES"/>
        </w:rPr>
      </w:pPr>
    </w:p>
    <w:p>
      <w:pPr>
        <w:rPr>
          <w:rFonts w:eastAsia="Times New Roman"/>
          <w:b w:val="0"/>
          <w:lang w:val="es-ES_tradnl" w:eastAsia="es-ES"/>
        </w:rPr>
      </w:pPr>
    </w:p>
    <w:p>
      <w:pPr>
        <w:rPr>
          <w:rFonts w:eastAsia="Times New Roman"/>
          <w:b w:val="0"/>
          <w:lang w:val="es-ES_tradnl" w:eastAsia="es-ES"/>
        </w:rPr>
      </w:pPr>
      <w:r>
        <w:rPr>
          <w:rFonts w:eastAsia="Times New Roman"/>
          <w:b w:val="0"/>
          <w:lang w:val="es-ES_tradnl" w:eastAsia="es-ES"/>
        </w:rPr>
        <w:tab/>
        <w:t>Posteriormente, describió las variaciones presupuestarias de los diversos Subtítulos de la Partida de Hacienda a través de la lámina que a continuación se describe:</w:t>
      </w:r>
    </w:p>
    <w:p>
      <w:pPr>
        <w:rPr>
          <w:rFonts w:eastAsia="Times New Roman"/>
          <w:b w:val="0"/>
          <w:lang w:val="es-ES_tradnl" w:eastAsia="es-ES"/>
        </w:rPr>
      </w:pPr>
    </w:p>
    <w:p>
      <w:pPr>
        <w:rPr>
          <w:rFonts w:eastAsia="Times New Roman"/>
          <w:b w:val="0"/>
          <w:lang w:val="es-ES_tradnl" w:eastAsia="es-ES"/>
        </w:rPr>
      </w:pPr>
    </w:p>
    <w:p>
      <w:pPr>
        <w:rPr>
          <w:rFonts w:eastAsia="Times New Roman"/>
          <w:b w:val="0"/>
          <w:lang w:val="es-ES_tradnl" w:eastAsia="es-ES"/>
        </w:rPr>
      </w:pPr>
    </w:p>
    <w:p>
      <w:pPr>
        <w:rPr>
          <w:rFonts w:eastAsia="Times New Roman"/>
          <w:b w:val="0"/>
          <w:lang w:val="es-ES_tradnl" w:eastAsia="es-ES"/>
        </w:rPr>
      </w:pPr>
    </w:p>
    <w:p>
      <w:pPr>
        <w:rPr>
          <w:rFonts w:eastAsia="Times New Roman"/>
          <w:b w:val="0"/>
          <w:lang w:val="es-ES_tradnl" w:eastAsia="es-ES"/>
        </w:rPr>
      </w:pPr>
    </w:p>
    <w:p>
      <w:pPr>
        <w:jc w:val="center"/>
        <w:rPr>
          <w:rFonts w:eastAsia="Times New Roman"/>
          <w:bCs/>
          <w:lang w:val="es-ES_tradnl" w:eastAsia="es-ES"/>
        </w:rPr>
      </w:pPr>
      <w:r>
        <w:rPr>
          <w:rFonts w:eastAsia="Times New Roman"/>
          <w:bCs/>
          <w:lang w:val="es-ES_tradnl" w:eastAsia="es-ES"/>
        </w:rPr>
        <w:t>Ministerio de Hacienda</w:t>
      </w:r>
    </w:p>
    <w:tbl>
      <w:tblPr>
        <w:tblW w:w="8665" w:type="dxa"/>
        <w:jc w:val="center"/>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513"/>
        <w:gridCol w:w="1806"/>
        <w:gridCol w:w="1332"/>
        <w:gridCol w:w="5014"/>
      </w:tblGrid>
      <w:tr>
        <w:tblPrEx>
          <w:tblCellMar>
            <w:top w:w="0" w:type="dxa"/>
            <w:left w:w="0" w:type="dxa"/>
            <w:bottom w:w="0" w:type="dxa"/>
            <w:right w:w="0" w:type="dxa"/>
          </w:tblCellMar>
        </w:tblPrEx>
        <w:trPr>
          <w:trHeight w:val="899"/>
          <w:jc w:val="center"/>
        </w:trPr>
        <w:tc>
          <w:tcPr>
            <w:tcW w:w="2319" w:type="dxa"/>
            <w:gridSpan w:val="2"/>
            <w:tcBorders>
              <w:top w:val="single" w:sz="8" w:space="0" w:color="FFFFFF"/>
              <w:left w:val="single" w:sz="8" w:space="0" w:color="FFFFFF"/>
              <w:bottom w:val="single" w:sz="24" w:space="0" w:color="FFFFFF"/>
              <w:right w:val="single" w:sz="8" w:space="0" w:color="FFFFFF"/>
            </w:tcBorders>
            <w:shd w:val="clear" w:color="auto" w:fill="4F81BD"/>
            <w:tcMar>
              <w:top w:w="80" w:type="dxa"/>
              <w:left w:w="80" w:type="dxa"/>
              <w:bottom w:w="80" w:type="dxa"/>
              <w:right w:w="80" w:type="dxa"/>
            </w:tcMar>
          </w:tcPr>
          <w:p>
            <w:pPr>
              <w:rPr>
                <w:rFonts w:eastAsia="Times New Roman"/>
                <w:b w:val="0"/>
                <w:sz w:val="18"/>
                <w:szCs w:val="18"/>
                <w:lang w:val="es-ES_tradnl" w:eastAsia="es-ES"/>
              </w:rPr>
            </w:pPr>
            <w:r>
              <w:rPr>
                <w:rFonts w:eastAsia="Times New Roman"/>
                <w:bCs/>
                <w:sz w:val="18"/>
                <w:szCs w:val="18"/>
                <w:lang w:val="es-ES_tradnl" w:eastAsia="es-ES"/>
              </w:rPr>
              <w:t>Subtitulo</w:t>
            </w:r>
          </w:p>
        </w:tc>
        <w:tc>
          <w:tcPr>
            <w:tcW w:w="1332" w:type="dxa"/>
            <w:tcBorders>
              <w:top w:val="single" w:sz="8" w:space="0" w:color="FFFFFF"/>
              <w:left w:val="single" w:sz="8" w:space="0" w:color="FFFFFF"/>
              <w:bottom w:val="single" w:sz="24" w:space="0" w:color="FFFFFF"/>
              <w:right w:val="single" w:sz="8" w:space="0" w:color="FFFFFF"/>
            </w:tcBorders>
            <w:shd w:val="clear" w:color="auto" w:fill="4F81BD"/>
            <w:tcMar>
              <w:top w:w="80" w:type="dxa"/>
              <w:left w:w="80" w:type="dxa"/>
              <w:bottom w:w="80" w:type="dxa"/>
              <w:right w:w="80" w:type="dxa"/>
            </w:tcMar>
          </w:tcPr>
          <w:p>
            <w:pPr>
              <w:rPr>
                <w:rFonts w:eastAsia="Times New Roman"/>
                <w:b w:val="0"/>
                <w:sz w:val="18"/>
                <w:szCs w:val="18"/>
                <w:lang w:val="es-ES_tradnl" w:eastAsia="es-ES"/>
              </w:rPr>
            </w:pPr>
            <w:r>
              <w:rPr>
                <w:rFonts w:eastAsia="Times New Roman"/>
                <w:bCs/>
                <w:sz w:val="18"/>
                <w:szCs w:val="18"/>
                <w:lang w:val="es-ES_tradnl" w:eastAsia="es-ES"/>
              </w:rPr>
              <w:t>Variación respecto a ley ajustada</w:t>
            </w:r>
          </w:p>
        </w:tc>
        <w:tc>
          <w:tcPr>
            <w:tcW w:w="5014" w:type="dxa"/>
            <w:tcBorders>
              <w:top w:val="single" w:sz="8" w:space="0" w:color="FFFFFF"/>
              <w:left w:val="single" w:sz="8" w:space="0" w:color="FFFFFF"/>
              <w:bottom w:val="single" w:sz="24" w:space="0" w:color="FFFFFF"/>
              <w:right w:val="single" w:sz="8" w:space="0" w:color="FFFFFF"/>
            </w:tcBorders>
            <w:shd w:val="clear" w:color="auto" w:fill="4F81BD"/>
            <w:tcMar>
              <w:top w:w="80" w:type="dxa"/>
              <w:left w:w="80" w:type="dxa"/>
              <w:bottom w:w="80" w:type="dxa"/>
              <w:right w:w="80" w:type="dxa"/>
            </w:tcMar>
          </w:tcPr>
          <w:p>
            <w:pPr>
              <w:rPr>
                <w:rFonts w:eastAsia="Times New Roman"/>
                <w:b w:val="0"/>
                <w:sz w:val="18"/>
                <w:szCs w:val="18"/>
                <w:lang w:val="es-ES_tradnl" w:eastAsia="es-ES"/>
              </w:rPr>
            </w:pPr>
            <w:r>
              <w:rPr>
                <w:rFonts w:eastAsia="Times New Roman"/>
                <w:bCs/>
                <w:sz w:val="18"/>
                <w:szCs w:val="18"/>
                <w:lang w:val="es-ES_tradnl" w:eastAsia="es-ES"/>
              </w:rPr>
              <w:t>Detalle</w:t>
            </w:r>
          </w:p>
        </w:tc>
      </w:tr>
      <w:tr>
        <w:tblPrEx>
          <w:tblCellMar>
            <w:top w:w="0" w:type="dxa"/>
            <w:left w:w="0" w:type="dxa"/>
            <w:bottom w:w="0" w:type="dxa"/>
            <w:right w:w="0" w:type="dxa"/>
          </w:tblCellMar>
        </w:tblPrEx>
        <w:trPr>
          <w:trHeight w:val="1201"/>
          <w:jc w:val="center"/>
        </w:trPr>
        <w:tc>
          <w:tcPr>
            <w:tcW w:w="513" w:type="dxa"/>
            <w:tcBorders>
              <w:top w:val="single" w:sz="24" w:space="0" w:color="FFFFFF"/>
              <w:left w:val="single" w:sz="8" w:space="0" w:color="FFFFFF"/>
              <w:bottom w:val="single" w:sz="8" w:space="0" w:color="FFFFFF"/>
              <w:right w:val="single" w:sz="8" w:space="0" w:color="FFFFFF"/>
            </w:tcBorders>
            <w:shd w:val="clear" w:color="auto" w:fill="D0D8E8"/>
            <w:tcMar>
              <w:top w:w="80" w:type="dxa"/>
              <w:left w:w="80" w:type="dxa"/>
              <w:bottom w:w="80" w:type="dxa"/>
              <w:right w:w="80" w:type="dxa"/>
            </w:tcMar>
          </w:tcPr>
          <w:p>
            <w:pPr>
              <w:rPr>
                <w:rFonts w:eastAsia="Times New Roman"/>
                <w:b w:val="0"/>
                <w:sz w:val="18"/>
                <w:szCs w:val="18"/>
                <w:lang w:val="es-ES_tradnl" w:eastAsia="es-ES"/>
              </w:rPr>
            </w:pPr>
            <w:r>
              <w:rPr>
                <w:rFonts w:eastAsia="Times New Roman"/>
                <w:b w:val="0"/>
                <w:sz w:val="18"/>
                <w:szCs w:val="18"/>
                <w:lang w:val="es-ES_tradnl" w:eastAsia="es-ES"/>
              </w:rPr>
              <w:t>21</w:t>
            </w:r>
          </w:p>
        </w:tc>
        <w:tc>
          <w:tcPr>
            <w:tcW w:w="1806" w:type="dxa"/>
            <w:tcBorders>
              <w:top w:val="single" w:sz="24" w:space="0" w:color="FFFFFF"/>
              <w:left w:val="single" w:sz="8" w:space="0" w:color="FFFFFF"/>
              <w:bottom w:val="single" w:sz="8" w:space="0" w:color="FFFFFF"/>
              <w:right w:val="single" w:sz="8" w:space="0" w:color="FFFFFF"/>
            </w:tcBorders>
            <w:shd w:val="clear" w:color="auto" w:fill="D0D8E8"/>
            <w:tcMar>
              <w:top w:w="80" w:type="dxa"/>
              <w:left w:w="80" w:type="dxa"/>
              <w:bottom w:w="80" w:type="dxa"/>
              <w:right w:w="80" w:type="dxa"/>
            </w:tcMar>
          </w:tcPr>
          <w:p>
            <w:pPr>
              <w:rPr>
                <w:rFonts w:eastAsia="Times New Roman"/>
                <w:b w:val="0"/>
                <w:sz w:val="18"/>
                <w:szCs w:val="18"/>
                <w:lang w:val="es-ES_tradnl" w:eastAsia="es-ES"/>
              </w:rPr>
            </w:pPr>
            <w:r>
              <w:rPr>
                <w:rFonts w:eastAsia="Times New Roman"/>
                <w:b w:val="0"/>
                <w:sz w:val="18"/>
                <w:szCs w:val="18"/>
                <w:lang w:val="es-ES_tradnl" w:eastAsia="es-ES"/>
              </w:rPr>
              <w:t>Gastos en Personal</w:t>
            </w:r>
          </w:p>
        </w:tc>
        <w:tc>
          <w:tcPr>
            <w:tcW w:w="1332" w:type="dxa"/>
            <w:tcBorders>
              <w:top w:val="single" w:sz="24" w:space="0" w:color="FFFFFF"/>
              <w:left w:val="single" w:sz="8" w:space="0" w:color="FFFFFF"/>
              <w:bottom w:val="single" w:sz="8" w:space="0" w:color="FFFFFF"/>
              <w:right w:val="single" w:sz="8" w:space="0" w:color="FFFFFF"/>
            </w:tcBorders>
            <w:shd w:val="clear" w:color="auto" w:fill="D0D8E8"/>
            <w:tcMar>
              <w:top w:w="80" w:type="dxa"/>
              <w:left w:w="80" w:type="dxa"/>
              <w:bottom w:w="80" w:type="dxa"/>
              <w:right w:w="80" w:type="dxa"/>
            </w:tcMar>
          </w:tcPr>
          <w:p>
            <w:pPr>
              <w:rPr>
                <w:rFonts w:eastAsia="Times New Roman"/>
                <w:b w:val="0"/>
                <w:sz w:val="18"/>
                <w:szCs w:val="18"/>
                <w:lang w:val="es-ES_tradnl" w:eastAsia="es-ES"/>
              </w:rPr>
            </w:pPr>
            <w:r>
              <w:rPr>
                <w:rFonts w:eastAsia="Times New Roman"/>
                <w:b w:val="0"/>
                <w:sz w:val="18"/>
                <w:szCs w:val="18"/>
                <w:lang w:val="es-ES_tradnl" w:eastAsia="es-ES"/>
              </w:rPr>
              <w:t>1,9%</w:t>
            </w:r>
          </w:p>
        </w:tc>
        <w:tc>
          <w:tcPr>
            <w:tcW w:w="5014" w:type="dxa"/>
            <w:tcBorders>
              <w:top w:val="single" w:sz="24" w:space="0" w:color="FFFFFF"/>
              <w:left w:val="single" w:sz="8" w:space="0" w:color="FFFFFF"/>
              <w:bottom w:val="single" w:sz="8" w:space="0" w:color="FFFFFF"/>
              <w:right w:val="single" w:sz="8" w:space="0" w:color="FFFFFF"/>
            </w:tcBorders>
            <w:shd w:val="clear" w:color="auto" w:fill="D0D8E8"/>
            <w:tcMar>
              <w:top w:w="80" w:type="dxa"/>
              <w:left w:w="80" w:type="dxa"/>
              <w:bottom w:w="80" w:type="dxa"/>
              <w:right w:w="80" w:type="dxa"/>
            </w:tcMar>
          </w:tcPr>
          <w:p>
            <w:pPr>
              <w:rPr>
                <w:rFonts w:eastAsia="Times New Roman"/>
                <w:b w:val="0"/>
                <w:sz w:val="18"/>
                <w:szCs w:val="18"/>
                <w:lang w:val="es-ES_tradnl" w:eastAsia="es-ES"/>
              </w:rPr>
            </w:pPr>
            <w:r>
              <w:rPr>
                <w:rFonts w:eastAsia="Times New Roman"/>
                <w:b w:val="0"/>
                <w:sz w:val="18"/>
                <w:szCs w:val="18"/>
                <w:lang w:val="es-ES_tradnl" w:eastAsia="es-ES"/>
              </w:rPr>
              <w:t>Aumento de dotación de 164 funcionarios en diferentes servicios (la dotación año 2016 es de 11.246), dotación completa y Ley de Fortalecimiento al Servicio de Impuestos Internos</w:t>
            </w:r>
          </w:p>
        </w:tc>
      </w:tr>
      <w:tr>
        <w:tblPrEx>
          <w:tblCellMar>
            <w:top w:w="0" w:type="dxa"/>
            <w:left w:w="0" w:type="dxa"/>
            <w:bottom w:w="0" w:type="dxa"/>
            <w:right w:w="0" w:type="dxa"/>
          </w:tblCellMar>
        </w:tblPrEx>
        <w:trPr>
          <w:trHeight w:val="821"/>
          <w:jc w:val="center"/>
        </w:trPr>
        <w:tc>
          <w:tcPr>
            <w:tcW w:w="513"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tcPr>
          <w:p>
            <w:pPr>
              <w:rPr>
                <w:rFonts w:eastAsia="Times New Roman"/>
                <w:b w:val="0"/>
                <w:sz w:val="18"/>
                <w:szCs w:val="18"/>
                <w:lang w:val="es-ES_tradnl" w:eastAsia="es-ES"/>
              </w:rPr>
            </w:pPr>
            <w:r>
              <w:rPr>
                <w:rFonts w:eastAsia="Times New Roman"/>
                <w:b w:val="0"/>
                <w:sz w:val="18"/>
                <w:szCs w:val="18"/>
                <w:lang w:val="es-ES_tradnl" w:eastAsia="es-ES"/>
              </w:rPr>
              <w:t>22</w:t>
            </w:r>
          </w:p>
        </w:tc>
        <w:tc>
          <w:tcPr>
            <w:tcW w:w="1806"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tcPr>
          <w:p>
            <w:pPr>
              <w:rPr>
                <w:rFonts w:eastAsia="Times New Roman"/>
                <w:b w:val="0"/>
                <w:sz w:val="18"/>
                <w:szCs w:val="18"/>
                <w:lang w:val="es-ES_tradnl" w:eastAsia="es-ES"/>
              </w:rPr>
            </w:pPr>
            <w:r>
              <w:rPr>
                <w:rFonts w:eastAsia="Times New Roman"/>
                <w:b w:val="0"/>
                <w:sz w:val="18"/>
                <w:szCs w:val="18"/>
                <w:lang w:val="es-ES_tradnl" w:eastAsia="es-ES"/>
              </w:rPr>
              <w:t>Bienes y Servicios de Consumo</w:t>
            </w:r>
          </w:p>
        </w:tc>
        <w:tc>
          <w:tcPr>
            <w:tcW w:w="1332"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tcPr>
          <w:p>
            <w:pPr>
              <w:rPr>
                <w:rFonts w:eastAsia="Times New Roman"/>
                <w:b w:val="0"/>
                <w:sz w:val="18"/>
                <w:szCs w:val="18"/>
                <w:lang w:val="es-ES_tradnl" w:eastAsia="es-ES"/>
              </w:rPr>
            </w:pPr>
            <w:r>
              <w:rPr>
                <w:rFonts w:eastAsia="Times New Roman"/>
                <w:b w:val="0"/>
                <w:sz w:val="18"/>
                <w:szCs w:val="18"/>
                <w:lang w:val="es-ES_tradnl" w:eastAsia="es-ES"/>
              </w:rPr>
              <w:t>-5,4%</w:t>
            </w:r>
          </w:p>
        </w:tc>
        <w:tc>
          <w:tcPr>
            <w:tcW w:w="5014"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tcPr>
          <w:p>
            <w:pPr>
              <w:rPr>
                <w:rFonts w:eastAsia="Times New Roman"/>
                <w:b w:val="0"/>
                <w:sz w:val="18"/>
                <w:szCs w:val="18"/>
                <w:lang w:val="es-ES_tradnl" w:eastAsia="es-ES"/>
              </w:rPr>
            </w:pPr>
            <w:r>
              <w:rPr>
                <w:rFonts w:eastAsia="Times New Roman"/>
                <w:b w:val="0"/>
                <w:sz w:val="18"/>
                <w:szCs w:val="18"/>
                <w:lang w:val="es-ES_tradnl" w:eastAsia="es-ES"/>
              </w:rPr>
              <w:t>Ajuste de gasto para todos los servicios</w:t>
            </w:r>
          </w:p>
        </w:tc>
      </w:tr>
      <w:tr>
        <w:tblPrEx>
          <w:tblCellMar>
            <w:top w:w="0" w:type="dxa"/>
            <w:left w:w="0" w:type="dxa"/>
            <w:bottom w:w="0" w:type="dxa"/>
            <w:right w:w="0" w:type="dxa"/>
          </w:tblCellMar>
        </w:tblPrEx>
        <w:trPr>
          <w:trHeight w:val="792"/>
          <w:jc w:val="center"/>
        </w:trPr>
        <w:tc>
          <w:tcPr>
            <w:tcW w:w="513" w:type="dxa"/>
            <w:tcBorders>
              <w:top w:val="single" w:sz="8" w:space="0" w:color="FFFFFF"/>
              <w:left w:val="single" w:sz="8" w:space="0" w:color="FFFFFF"/>
              <w:bottom w:val="single" w:sz="8" w:space="0" w:color="FFFFFF"/>
              <w:right w:val="single" w:sz="8" w:space="0" w:color="FFFFFF"/>
            </w:tcBorders>
            <w:shd w:val="clear" w:color="auto" w:fill="D0D8E8"/>
            <w:tcMar>
              <w:top w:w="80" w:type="dxa"/>
              <w:left w:w="80" w:type="dxa"/>
              <w:bottom w:w="80" w:type="dxa"/>
              <w:right w:w="80" w:type="dxa"/>
            </w:tcMar>
          </w:tcPr>
          <w:p>
            <w:pPr>
              <w:rPr>
                <w:rFonts w:eastAsia="Times New Roman"/>
                <w:b w:val="0"/>
                <w:sz w:val="18"/>
                <w:szCs w:val="18"/>
                <w:lang w:val="es-ES_tradnl" w:eastAsia="es-ES"/>
              </w:rPr>
            </w:pPr>
            <w:r>
              <w:rPr>
                <w:rFonts w:eastAsia="Times New Roman"/>
                <w:b w:val="0"/>
                <w:sz w:val="18"/>
                <w:szCs w:val="18"/>
                <w:lang w:val="es-ES_tradnl" w:eastAsia="es-ES"/>
              </w:rPr>
              <w:t>24</w:t>
            </w:r>
          </w:p>
        </w:tc>
        <w:tc>
          <w:tcPr>
            <w:tcW w:w="1806" w:type="dxa"/>
            <w:tcBorders>
              <w:top w:val="single" w:sz="8" w:space="0" w:color="FFFFFF"/>
              <w:left w:val="single" w:sz="8" w:space="0" w:color="FFFFFF"/>
              <w:bottom w:val="single" w:sz="8" w:space="0" w:color="FFFFFF"/>
              <w:right w:val="single" w:sz="8" w:space="0" w:color="FFFFFF"/>
            </w:tcBorders>
            <w:shd w:val="clear" w:color="auto" w:fill="D0D8E8"/>
            <w:tcMar>
              <w:top w:w="80" w:type="dxa"/>
              <w:left w:w="80" w:type="dxa"/>
              <w:bottom w:w="80" w:type="dxa"/>
              <w:right w:w="80" w:type="dxa"/>
            </w:tcMar>
          </w:tcPr>
          <w:p>
            <w:pPr>
              <w:rPr>
                <w:rFonts w:eastAsia="Times New Roman"/>
                <w:b w:val="0"/>
                <w:sz w:val="18"/>
                <w:szCs w:val="18"/>
                <w:lang w:val="es-ES_tradnl" w:eastAsia="es-ES"/>
              </w:rPr>
            </w:pPr>
            <w:r>
              <w:rPr>
                <w:rFonts w:eastAsia="Times New Roman"/>
                <w:b w:val="0"/>
                <w:sz w:val="18"/>
                <w:szCs w:val="18"/>
                <w:lang w:val="es-ES_tradnl" w:eastAsia="es-ES"/>
              </w:rPr>
              <w:t>Transferencias Corrientes</w:t>
            </w:r>
          </w:p>
        </w:tc>
        <w:tc>
          <w:tcPr>
            <w:tcW w:w="1332" w:type="dxa"/>
            <w:tcBorders>
              <w:top w:val="single" w:sz="8" w:space="0" w:color="FFFFFF"/>
              <w:left w:val="single" w:sz="8" w:space="0" w:color="FFFFFF"/>
              <w:bottom w:val="single" w:sz="8" w:space="0" w:color="FFFFFF"/>
              <w:right w:val="single" w:sz="8" w:space="0" w:color="FFFFFF"/>
            </w:tcBorders>
            <w:shd w:val="clear" w:color="auto" w:fill="D0D8E8"/>
            <w:tcMar>
              <w:top w:w="80" w:type="dxa"/>
              <w:left w:w="80" w:type="dxa"/>
              <w:bottom w:w="80" w:type="dxa"/>
              <w:right w:w="80" w:type="dxa"/>
            </w:tcMar>
          </w:tcPr>
          <w:p>
            <w:pPr>
              <w:rPr>
                <w:rFonts w:eastAsia="Times New Roman"/>
                <w:b w:val="0"/>
                <w:sz w:val="18"/>
                <w:szCs w:val="18"/>
                <w:lang w:val="es-ES_tradnl" w:eastAsia="es-ES"/>
              </w:rPr>
            </w:pPr>
            <w:r>
              <w:rPr>
                <w:rFonts w:eastAsia="Times New Roman"/>
                <w:b w:val="0"/>
                <w:sz w:val="18"/>
                <w:szCs w:val="18"/>
                <w:lang w:val="es-ES_tradnl" w:eastAsia="es-ES"/>
              </w:rPr>
              <w:t>18,6%</w:t>
            </w:r>
          </w:p>
        </w:tc>
        <w:tc>
          <w:tcPr>
            <w:tcW w:w="5014" w:type="dxa"/>
            <w:tcBorders>
              <w:top w:val="single" w:sz="8" w:space="0" w:color="FFFFFF"/>
              <w:left w:val="single" w:sz="8" w:space="0" w:color="FFFFFF"/>
              <w:bottom w:val="single" w:sz="8" w:space="0" w:color="FFFFFF"/>
              <w:right w:val="single" w:sz="8" w:space="0" w:color="FFFFFF"/>
            </w:tcBorders>
            <w:shd w:val="clear" w:color="auto" w:fill="D0D8E8"/>
            <w:tcMar>
              <w:top w:w="80" w:type="dxa"/>
              <w:left w:w="80" w:type="dxa"/>
              <w:bottom w:w="80" w:type="dxa"/>
              <w:right w:w="80" w:type="dxa"/>
            </w:tcMar>
          </w:tcPr>
          <w:p>
            <w:pPr>
              <w:rPr>
                <w:rFonts w:eastAsia="Times New Roman"/>
                <w:b w:val="0"/>
                <w:sz w:val="18"/>
                <w:szCs w:val="18"/>
                <w:lang w:val="es-ES_tradnl" w:eastAsia="es-ES"/>
              </w:rPr>
            </w:pPr>
            <w:r>
              <w:rPr>
                <w:rFonts w:eastAsia="Times New Roman"/>
                <w:b w:val="0"/>
                <w:sz w:val="18"/>
                <w:szCs w:val="18"/>
                <w:lang w:val="es-ES_tradnl" w:eastAsia="es-ES"/>
              </w:rPr>
              <w:t>Debido al aumento de proyectos del Programa de Modernización del Sector Público</w:t>
            </w:r>
          </w:p>
        </w:tc>
      </w:tr>
      <w:tr>
        <w:tblPrEx>
          <w:tblCellMar>
            <w:top w:w="0" w:type="dxa"/>
            <w:left w:w="0" w:type="dxa"/>
            <w:bottom w:w="0" w:type="dxa"/>
            <w:right w:w="0" w:type="dxa"/>
          </w:tblCellMar>
        </w:tblPrEx>
        <w:trPr>
          <w:trHeight w:val="679"/>
          <w:jc w:val="center"/>
        </w:trPr>
        <w:tc>
          <w:tcPr>
            <w:tcW w:w="513"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tcPr>
          <w:p>
            <w:pPr>
              <w:rPr>
                <w:rFonts w:eastAsia="Times New Roman"/>
                <w:b w:val="0"/>
                <w:sz w:val="18"/>
                <w:szCs w:val="18"/>
                <w:lang w:val="es-ES_tradnl" w:eastAsia="es-ES"/>
              </w:rPr>
            </w:pPr>
            <w:r>
              <w:rPr>
                <w:rFonts w:eastAsia="Times New Roman"/>
                <w:b w:val="0"/>
                <w:sz w:val="18"/>
                <w:szCs w:val="18"/>
                <w:lang w:val="es-ES_tradnl" w:eastAsia="es-ES"/>
              </w:rPr>
              <w:t>25</w:t>
            </w:r>
          </w:p>
        </w:tc>
        <w:tc>
          <w:tcPr>
            <w:tcW w:w="1806"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tcPr>
          <w:p>
            <w:pPr>
              <w:rPr>
                <w:rFonts w:eastAsia="Times New Roman"/>
                <w:b w:val="0"/>
                <w:sz w:val="18"/>
                <w:szCs w:val="18"/>
                <w:lang w:val="es-ES_tradnl" w:eastAsia="es-ES"/>
              </w:rPr>
            </w:pPr>
            <w:r>
              <w:rPr>
                <w:rFonts w:eastAsia="Times New Roman"/>
                <w:b w:val="0"/>
                <w:sz w:val="18"/>
                <w:szCs w:val="18"/>
                <w:lang w:val="es-ES_tradnl" w:eastAsia="es-ES"/>
              </w:rPr>
              <w:t>Integros al Fisco</w:t>
            </w:r>
          </w:p>
        </w:tc>
        <w:tc>
          <w:tcPr>
            <w:tcW w:w="1332"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tcPr>
          <w:p>
            <w:pPr>
              <w:rPr>
                <w:rFonts w:eastAsia="Times New Roman"/>
                <w:b w:val="0"/>
                <w:sz w:val="18"/>
                <w:szCs w:val="18"/>
                <w:lang w:val="es-ES_tradnl" w:eastAsia="es-ES"/>
              </w:rPr>
            </w:pPr>
            <w:r>
              <w:rPr>
                <w:rFonts w:eastAsia="Times New Roman"/>
                <w:b w:val="0"/>
                <w:sz w:val="18"/>
                <w:szCs w:val="18"/>
                <w:lang w:val="es-ES_tradnl" w:eastAsia="es-ES"/>
              </w:rPr>
              <w:t>13,2%</w:t>
            </w:r>
          </w:p>
        </w:tc>
        <w:tc>
          <w:tcPr>
            <w:tcW w:w="5014"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tcPr>
          <w:p>
            <w:pPr>
              <w:rPr>
                <w:rFonts w:eastAsia="Times New Roman"/>
                <w:b w:val="0"/>
                <w:sz w:val="18"/>
                <w:szCs w:val="18"/>
                <w:lang w:val="es-ES_tradnl" w:eastAsia="es-ES"/>
              </w:rPr>
            </w:pPr>
            <w:r>
              <w:rPr>
                <w:rFonts w:eastAsia="Times New Roman"/>
                <w:b w:val="0"/>
                <w:sz w:val="18"/>
                <w:szCs w:val="18"/>
                <w:lang w:val="es-ES_tradnl" w:eastAsia="es-ES"/>
              </w:rPr>
              <w:t>Aumento en la programación de Integros de la Superintendencia de Bancos e Instituciones Financieras</w:t>
            </w:r>
          </w:p>
        </w:tc>
      </w:tr>
      <w:tr>
        <w:tblPrEx>
          <w:tblCellMar>
            <w:top w:w="0" w:type="dxa"/>
            <w:left w:w="0" w:type="dxa"/>
            <w:bottom w:w="0" w:type="dxa"/>
            <w:right w:w="0" w:type="dxa"/>
          </w:tblCellMar>
        </w:tblPrEx>
        <w:trPr>
          <w:trHeight w:val="960"/>
          <w:jc w:val="center"/>
        </w:trPr>
        <w:tc>
          <w:tcPr>
            <w:tcW w:w="513" w:type="dxa"/>
            <w:tcBorders>
              <w:top w:val="single" w:sz="8" w:space="0" w:color="FFFFFF"/>
              <w:left w:val="single" w:sz="8" w:space="0" w:color="FFFFFF"/>
              <w:bottom w:val="single" w:sz="8" w:space="0" w:color="FFFFFF"/>
              <w:right w:val="single" w:sz="8" w:space="0" w:color="FFFFFF"/>
            </w:tcBorders>
            <w:shd w:val="clear" w:color="auto" w:fill="D0D8E8"/>
            <w:tcMar>
              <w:top w:w="80" w:type="dxa"/>
              <w:left w:w="80" w:type="dxa"/>
              <w:bottom w:w="80" w:type="dxa"/>
              <w:right w:w="80" w:type="dxa"/>
            </w:tcMar>
          </w:tcPr>
          <w:p>
            <w:pPr>
              <w:rPr>
                <w:rFonts w:eastAsia="Times New Roman"/>
                <w:b w:val="0"/>
                <w:sz w:val="18"/>
                <w:szCs w:val="18"/>
                <w:lang w:val="es-ES_tradnl" w:eastAsia="es-ES"/>
              </w:rPr>
            </w:pPr>
            <w:r>
              <w:rPr>
                <w:rFonts w:eastAsia="Times New Roman"/>
                <w:b w:val="0"/>
                <w:sz w:val="18"/>
                <w:szCs w:val="18"/>
                <w:lang w:val="es-ES_tradnl" w:eastAsia="es-ES"/>
              </w:rPr>
              <w:t>29</w:t>
            </w:r>
          </w:p>
        </w:tc>
        <w:tc>
          <w:tcPr>
            <w:tcW w:w="1806" w:type="dxa"/>
            <w:tcBorders>
              <w:top w:val="single" w:sz="8" w:space="0" w:color="FFFFFF"/>
              <w:left w:val="single" w:sz="8" w:space="0" w:color="FFFFFF"/>
              <w:bottom w:val="single" w:sz="8" w:space="0" w:color="FFFFFF"/>
              <w:right w:val="single" w:sz="8" w:space="0" w:color="FFFFFF"/>
            </w:tcBorders>
            <w:shd w:val="clear" w:color="auto" w:fill="D0D8E8"/>
            <w:tcMar>
              <w:top w:w="80" w:type="dxa"/>
              <w:left w:w="80" w:type="dxa"/>
              <w:bottom w:w="80" w:type="dxa"/>
              <w:right w:w="80" w:type="dxa"/>
            </w:tcMar>
          </w:tcPr>
          <w:p>
            <w:pPr>
              <w:rPr>
                <w:rFonts w:eastAsia="Times New Roman"/>
                <w:b w:val="0"/>
                <w:sz w:val="18"/>
                <w:szCs w:val="18"/>
                <w:lang w:val="es-ES_tradnl" w:eastAsia="es-ES"/>
              </w:rPr>
            </w:pPr>
            <w:r>
              <w:rPr>
                <w:rFonts w:eastAsia="Times New Roman"/>
                <w:b w:val="0"/>
                <w:sz w:val="18"/>
                <w:szCs w:val="18"/>
                <w:lang w:val="es-ES_tradnl" w:eastAsia="es-ES"/>
              </w:rPr>
              <w:t>Adquisición de Activos No Financieros</w:t>
            </w:r>
          </w:p>
        </w:tc>
        <w:tc>
          <w:tcPr>
            <w:tcW w:w="1332" w:type="dxa"/>
            <w:tcBorders>
              <w:top w:val="single" w:sz="8" w:space="0" w:color="FFFFFF"/>
              <w:left w:val="single" w:sz="8" w:space="0" w:color="FFFFFF"/>
              <w:bottom w:val="single" w:sz="8" w:space="0" w:color="FFFFFF"/>
              <w:right w:val="single" w:sz="8" w:space="0" w:color="FFFFFF"/>
            </w:tcBorders>
            <w:shd w:val="clear" w:color="auto" w:fill="D0D8E8"/>
            <w:tcMar>
              <w:top w:w="80" w:type="dxa"/>
              <w:left w:w="80" w:type="dxa"/>
              <w:bottom w:w="80" w:type="dxa"/>
              <w:right w:w="80" w:type="dxa"/>
            </w:tcMar>
          </w:tcPr>
          <w:p>
            <w:pPr>
              <w:rPr>
                <w:rFonts w:eastAsia="Times New Roman"/>
                <w:b w:val="0"/>
                <w:sz w:val="18"/>
                <w:szCs w:val="18"/>
                <w:lang w:val="es-ES_tradnl" w:eastAsia="es-ES"/>
              </w:rPr>
            </w:pPr>
            <w:r>
              <w:rPr>
                <w:rFonts w:eastAsia="Times New Roman"/>
                <w:b w:val="0"/>
                <w:sz w:val="18"/>
                <w:szCs w:val="18"/>
                <w:lang w:val="es-ES_tradnl" w:eastAsia="es-ES"/>
              </w:rPr>
              <w:t>-23,1%</w:t>
            </w:r>
          </w:p>
        </w:tc>
        <w:tc>
          <w:tcPr>
            <w:tcW w:w="5014" w:type="dxa"/>
            <w:tcBorders>
              <w:top w:val="single" w:sz="8" w:space="0" w:color="FFFFFF"/>
              <w:left w:val="single" w:sz="8" w:space="0" w:color="FFFFFF"/>
              <w:bottom w:val="single" w:sz="8" w:space="0" w:color="FFFFFF"/>
              <w:right w:val="single" w:sz="8" w:space="0" w:color="FFFFFF"/>
            </w:tcBorders>
            <w:shd w:val="clear" w:color="auto" w:fill="D0D8E8"/>
            <w:tcMar>
              <w:top w:w="80" w:type="dxa"/>
              <w:left w:w="80" w:type="dxa"/>
              <w:bottom w:w="80" w:type="dxa"/>
              <w:right w:w="80" w:type="dxa"/>
            </w:tcMar>
          </w:tcPr>
          <w:p>
            <w:pPr>
              <w:rPr>
                <w:rFonts w:eastAsia="Times New Roman"/>
                <w:b w:val="0"/>
                <w:sz w:val="18"/>
                <w:szCs w:val="18"/>
                <w:lang w:val="es-ES_tradnl" w:eastAsia="es-ES"/>
              </w:rPr>
            </w:pPr>
            <w:r>
              <w:rPr>
                <w:rFonts w:eastAsia="Times New Roman"/>
                <w:b w:val="0"/>
                <w:sz w:val="18"/>
                <w:szCs w:val="18"/>
                <w:lang w:val="es-ES_tradnl" w:eastAsia="es-ES"/>
              </w:rPr>
              <w:t>Baja en el programa SICEX y por la disminución de compras de máquinas y equipos informáticos de Aduana.</w:t>
            </w:r>
          </w:p>
        </w:tc>
      </w:tr>
      <w:tr>
        <w:tblPrEx>
          <w:tblCellMar>
            <w:top w:w="0" w:type="dxa"/>
            <w:left w:w="0" w:type="dxa"/>
            <w:bottom w:w="0" w:type="dxa"/>
            <w:right w:w="0" w:type="dxa"/>
          </w:tblCellMar>
        </w:tblPrEx>
        <w:trPr>
          <w:trHeight w:val="806"/>
          <w:jc w:val="center"/>
        </w:trPr>
        <w:tc>
          <w:tcPr>
            <w:tcW w:w="513"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tcPr>
          <w:p>
            <w:pPr>
              <w:rPr>
                <w:rFonts w:eastAsia="Times New Roman"/>
                <w:b w:val="0"/>
                <w:sz w:val="18"/>
                <w:szCs w:val="18"/>
                <w:lang w:val="es-ES_tradnl" w:eastAsia="es-ES"/>
              </w:rPr>
            </w:pPr>
            <w:r>
              <w:rPr>
                <w:rFonts w:eastAsia="Times New Roman"/>
                <w:b w:val="0"/>
                <w:sz w:val="18"/>
                <w:szCs w:val="18"/>
                <w:lang w:val="es-ES_tradnl" w:eastAsia="es-ES"/>
              </w:rPr>
              <w:t>31</w:t>
            </w:r>
          </w:p>
        </w:tc>
        <w:tc>
          <w:tcPr>
            <w:tcW w:w="1806"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tcPr>
          <w:p>
            <w:pPr>
              <w:rPr>
                <w:rFonts w:eastAsia="Times New Roman"/>
                <w:b w:val="0"/>
                <w:sz w:val="18"/>
                <w:szCs w:val="18"/>
                <w:lang w:val="es-ES_tradnl" w:eastAsia="es-ES"/>
              </w:rPr>
            </w:pPr>
            <w:r>
              <w:rPr>
                <w:rFonts w:eastAsia="Times New Roman"/>
                <w:b w:val="0"/>
                <w:sz w:val="18"/>
                <w:szCs w:val="18"/>
                <w:lang w:val="es-ES_tradnl" w:eastAsia="es-ES"/>
              </w:rPr>
              <w:t>Iniciativas de inversión</w:t>
            </w:r>
          </w:p>
        </w:tc>
        <w:tc>
          <w:tcPr>
            <w:tcW w:w="1332"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tcPr>
          <w:p>
            <w:pPr>
              <w:rPr>
                <w:rFonts w:eastAsia="Times New Roman"/>
                <w:b w:val="0"/>
                <w:sz w:val="18"/>
                <w:szCs w:val="18"/>
                <w:lang w:val="es-ES_tradnl" w:eastAsia="es-ES"/>
              </w:rPr>
            </w:pPr>
            <w:r>
              <w:rPr>
                <w:rFonts w:eastAsia="Times New Roman"/>
                <w:b w:val="0"/>
                <w:sz w:val="18"/>
                <w:szCs w:val="18"/>
                <w:lang w:val="es-ES_tradnl" w:eastAsia="es-ES"/>
              </w:rPr>
              <w:t>44,7%</w:t>
            </w:r>
          </w:p>
        </w:tc>
        <w:tc>
          <w:tcPr>
            <w:tcW w:w="5014"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tcPr>
          <w:p>
            <w:pPr>
              <w:rPr>
                <w:rFonts w:eastAsia="Times New Roman"/>
                <w:b w:val="0"/>
                <w:sz w:val="18"/>
                <w:szCs w:val="18"/>
                <w:lang w:val="es-ES_tradnl" w:eastAsia="es-ES"/>
              </w:rPr>
            </w:pPr>
            <w:r>
              <w:rPr>
                <w:rFonts w:eastAsia="Times New Roman"/>
                <w:b w:val="0"/>
                <w:sz w:val="18"/>
                <w:szCs w:val="18"/>
                <w:lang w:val="es-ES_tradnl" w:eastAsia="es-ES"/>
              </w:rPr>
              <w:t>Edificio Arica de SII por Ley de Reforma Tributaria y SNA por plan de ampliación Edificio Esmeralda</w:t>
            </w:r>
          </w:p>
        </w:tc>
      </w:tr>
      <w:tr>
        <w:tblPrEx>
          <w:tblCellMar>
            <w:top w:w="0" w:type="dxa"/>
            <w:left w:w="0" w:type="dxa"/>
            <w:bottom w:w="0" w:type="dxa"/>
            <w:right w:w="0" w:type="dxa"/>
          </w:tblCellMar>
        </w:tblPrEx>
        <w:trPr>
          <w:trHeight w:val="1028"/>
          <w:jc w:val="center"/>
        </w:trPr>
        <w:tc>
          <w:tcPr>
            <w:tcW w:w="513" w:type="dxa"/>
            <w:tcBorders>
              <w:top w:val="single" w:sz="8" w:space="0" w:color="FFFFFF"/>
              <w:left w:val="single" w:sz="8" w:space="0" w:color="FFFFFF"/>
              <w:bottom w:val="single" w:sz="8" w:space="0" w:color="FFFFFF"/>
              <w:right w:val="single" w:sz="8" w:space="0" w:color="FFFFFF"/>
            </w:tcBorders>
            <w:shd w:val="clear" w:color="auto" w:fill="D0D8E8"/>
            <w:tcMar>
              <w:top w:w="80" w:type="dxa"/>
              <w:left w:w="80" w:type="dxa"/>
              <w:bottom w:w="80" w:type="dxa"/>
              <w:right w:w="80" w:type="dxa"/>
            </w:tcMar>
          </w:tcPr>
          <w:p>
            <w:pPr>
              <w:rPr>
                <w:rFonts w:eastAsia="Times New Roman"/>
                <w:b w:val="0"/>
                <w:sz w:val="18"/>
                <w:szCs w:val="18"/>
                <w:lang w:val="es-ES_tradnl" w:eastAsia="es-ES"/>
              </w:rPr>
            </w:pPr>
            <w:r>
              <w:rPr>
                <w:rFonts w:eastAsia="Times New Roman"/>
                <w:b w:val="0"/>
                <w:sz w:val="18"/>
                <w:szCs w:val="18"/>
                <w:lang w:val="es-ES_tradnl" w:eastAsia="es-ES"/>
              </w:rPr>
              <w:t>34</w:t>
            </w:r>
          </w:p>
        </w:tc>
        <w:tc>
          <w:tcPr>
            <w:tcW w:w="1806" w:type="dxa"/>
            <w:tcBorders>
              <w:top w:val="single" w:sz="8" w:space="0" w:color="FFFFFF"/>
              <w:left w:val="single" w:sz="8" w:space="0" w:color="FFFFFF"/>
              <w:bottom w:val="single" w:sz="8" w:space="0" w:color="FFFFFF"/>
              <w:right w:val="single" w:sz="8" w:space="0" w:color="FFFFFF"/>
            </w:tcBorders>
            <w:shd w:val="clear" w:color="auto" w:fill="D0D8E8"/>
            <w:tcMar>
              <w:top w:w="80" w:type="dxa"/>
              <w:left w:w="80" w:type="dxa"/>
              <w:bottom w:w="80" w:type="dxa"/>
              <w:right w:w="80" w:type="dxa"/>
            </w:tcMar>
          </w:tcPr>
          <w:p>
            <w:pPr>
              <w:rPr>
                <w:rFonts w:eastAsia="Times New Roman"/>
                <w:b w:val="0"/>
                <w:sz w:val="18"/>
                <w:szCs w:val="18"/>
                <w:lang w:val="es-ES_tradnl" w:eastAsia="es-ES"/>
              </w:rPr>
            </w:pPr>
            <w:r>
              <w:rPr>
                <w:rFonts w:eastAsia="Times New Roman"/>
                <w:b w:val="0"/>
                <w:sz w:val="18"/>
                <w:szCs w:val="18"/>
                <w:lang w:val="es-ES_tradnl" w:eastAsia="es-ES"/>
              </w:rPr>
              <w:t>Servicio de la Deuda</w:t>
            </w:r>
          </w:p>
        </w:tc>
        <w:tc>
          <w:tcPr>
            <w:tcW w:w="1332" w:type="dxa"/>
            <w:tcBorders>
              <w:top w:val="single" w:sz="8" w:space="0" w:color="FFFFFF"/>
              <w:left w:val="single" w:sz="8" w:space="0" w:color="FFFFFF"/>
              <w:bottom w:val="single" w:sz="8" w:space="0" w:color="FFFFFF"/>
              <w:right w:val="single" w:sz="8" w:space="0" w:color="FFFFFF"/>
            </w:tcBorders>
            <w:shd w:val="clear" w:color="auto" w:fill="D0D8E8"/>
            <w:tcMar>
              <w:top w:w="80" w:type="dxa"/>
              <w:left w:w="80" w:type="dxa"/>
              <w:bottom w:w="80" w:type="dxa"/>
              <w:right w:w="80" w:type="dxa"/>
            </w:tcMar>
          </w:tcPr>
          <w:p>
            <w:pPr>
              <w:rPr>
                <w:rFonts w:eastAsia="Times New Roman"/>
                <w:b w:val="0"/>
                <w:sz w:val="18"/>
                <w:szCs w:val="18"/>
                <w:lang w:val="es-ES_tradnl" w:eastAsia="es-ES"/>
              </w:rPr>
            </w:pPr>
            <w:r>
              <w:rPr>
                <w:rFonts w:eastAsia="Times New Roman"/>
                <w:b w:val="0"/>
                <w:sz w:val="18"/>
                <w:szCs w:val="18"/>
                <w:lang w:val="es-ES_tradnl" w:eastAsia="es-ES"/>
              </w:rPr>
              <w:t>33,5%</w:t>
            </w:r>
          </w:p>
        </w:tc>
        <w:tc>
          <w:tcPr>
            <w:tcW w:w="5014" w:type="dxa"/>
            <w:tcBorders>
              <w:top w:val="single" w:sz="8" w:space="0" w:color="FFFFFF"/>
              <w:left w:val="single" w:sz="8" w:space="0" w:color="FFFFFF"/>
              <w:bottom w:val="single" w:sz="8" w:space="0" w:color="FFFFFF"/>
              <w:right w:val="single" w:sz="8" w:space="0" w:color="FFFFFF"/>
            </w:tcBorders>
            <w:shd w:val="clear" w:color="auto" w:fill="D0D8E8"/>
            <w:tcMar>
              <w:top w:w="80" w:type="dxa"/>
              <w:left w:w="80" w:type="dxa"/>
              <w:bottom w:w="80" w:type="dxa"/>
              <w:right w:w="80" w:type="dxa"/>
            </w:tcMar>
          </w:tcPr>
          <w:p>
            <w:pPr>
              <w:rPr>
                <w:rFonts w:eastAsia="Times New Roman"/>
                <w:b w:val="0"/>
                <w:sz w:val="18"/>
                <w:szCs w:val="18"/>
                <w:lang w:val="es-ES_tradnl" w:eastAsia="es-ES"/>
              </w:rPr>
            </w:pPr>
            <w:r>
              <w:rPr>
                <w:rFonts w:eastAsia="Times New Roman"/>
                <w:b w:val="0"/>
                <w:sz w:val="18"/>
                <w:szCs w:val="18"/>
                <w:lang w:val="es-ES_tradnl" w:eastAsia="es-ES"/>
              </w:rPr>
              <w:t>Pago compromisos contractuales al BID, correspondientes al Programa SICEX.</w:t>
            </w:r>
          </w:p>
        </w:tc>
      </w:tr>
    </w:tbl>
    <w:p>
      <w:pPr>
        <w:rPr>
          <w:rFonts w:eastAsia="Times New Roman"/>
          <w:bCs/>
          <w:lang w:val="es-ES_tradnl" w:eastAsia="es-ES"/>
        </w:rPr>
      </w:pPr>
    </w:p>
    <w:p>
      <w:pPr>
        <w:rPr>
          <w:rFonts w:eastAsia="Times New Roman"/>
          <w:b w:val="0"/>
          <w:lang w:val="es-ES_tradnl" w:eastAsia="es-ES"/>
        </w:rPr>
      </w:pPr>
    </w:p>
    <w:p>
      <w:pPr>
        <w:rPr>
          <w:rFonts w:eastAsia="Times New Roman"/>
          <w:b w:val="0"/>
          <w:lang w:val="es-ES_tradnl" w:eastAsia="es-ES"/>
        </w:rPr>
      </w:pPr>
    </w:p>
    <w:p>
      <w:pPr>
        <w:rPr>
          <w:rFonts w:eastAsia="Times New Roman"/>
          <w:b w:val="0"/>
          <w:lang w:val="es-ES_tradnl" w:eastAsia="es-ES"/>
        </w:rPr>
      </w:pPr>
      <w:r>
        <w:rPr>
          <w:rFonts w:eastAsia="Times New Roman"/>
          <w:b w:val="0"/>
          <w:lang w:val="es-ES_tradnl" w:eastAsia="es-ES"/>
        </w:rPr>
        <w:tab/>
      </w:r>
      <w:r>
        <w:rPr>
          <w:rFonts w:eastAsia="Times New Roman"/>
          <w:bCs/>
          <w:lang w:val="es-ES_tradnl" w:eastAsia="es-ES"/>
        </w:rPr>
        <w:t>El Honorable Diputado señor Silva</w:t>
      </w:r>
      <w:r>
        <w:rPr>
          <w:rFonts w:eastAsia="Times New Roman"/>
          <w:b w:val="0"/>
          <w:lang w:val="es-ES_tradnl" w:eastAsia="es-ES"/>
        </w:rPr>
        <w:t>, solicitó información sobre los gastos en publicidad y en estudios identificables en todos los ítems de la Partida del Ministerio de Hacienda.</w:t>
      </w:r>
    </w:p>
    <w:p>
      <w:pPr>
        <w:rPr>
          <w:rFonts w:eastAsia="Times New Roman"/>
          <w:b w:val="0"/>
          <w:lang w:val="es-ES_tradnl" w:eastAsia="es-ES"/>
        </w:rPr>
      </w:pPr>
    </w:p>
    <w:p>
      <w:pPr>
        <w:rPr>
          <w:rFonts w:eastAsia="Times New Roman"/>
          <w:b w:val="0"/>
          <w:lang w:val="es-ES_tradnl" w:eastAsia="es-ES"/>
        </w:rPr>
      </w:pPr>
    </w:p>
    <w:p>
      <w:pPr>
        <w:rPr>
          <w:rFonts w:eastAsia="Times New Roman"/>
          <w:b w:val="0"/>
          <w:lang w:val="es-ES_tradnl" w:eastAsia="es-ES"/>
        </w:rPr>
      </w:pPr>
      <w:r>
        <w:rPr>
          <w:rFonts w:eastAsia="Times New Roman"/>
          <w:b w:val="0"/>
          <w:lang w:val="es-ES_tradnl" w:eastAsia="es-ES"/>
        </w:rPr>
        <w:tab/>
        <w:t xml:space="preserve">En seguida, el </w:t>
      </w:r>
      <w:r>
        <w:rPr>
          <w:rFonts w:eastAsia="Times New Roman"/>
          <w:bCs/>
          <w:lang w:val="es-ES_tradnl" w:eastAsia="es-ES"/>
        </w:rPr>
        <w:t>Subsecretario de Hacienda, señor Alejandro Micco</w:t>
      </w:r>
      <w:r>
        <w:rPr>
          <w:rFonts w:eastAsia="Times New Roman"/>
          <w:b w:val="0"/>
          <w:lang w:val="es-ES_tradnl" w:eastAsia="es-ES"/>
        </w:rPr>
        <w:t>, efectuó, por Servicio, las comparaciones del presupuesto vigente con el contemplado para el año 2017.</w:t>
      </w:r>
    </w:p>
    <w:p>
      <w:pPr>
        <w:rPr>
          <w:rFonts w:eastAsia="Times New Roman"/>
          <w:b w:val="0"/>
          <w:lang w:val="es-ES_tradnl" w:eastAsia="es-ES"/>
        </w:rPr>
      </w:pPr>
    </w:p>
    <w:p>
      <w:pPr>
        <w:rPr>
          <w:rFonts w:eastAsia="Times New Roman"/>
          <w:b w:val="0"/>
          <w:lang w:val="es-ES_tradnl" w:eastAsia="es-ES"/>
        </w:rPr>
      </w:pPr>
    </w:p>
    <w:p>
      <w:pPr>
        <w:rPr>
          <w:rFonts w:eastAsia="Times New Roman"/>
          <w:b w:val="0"/>
          <w:lang w:val="es-ES_tradnl" w:eastAsia="es-ES"/>
        </w:rPr>
      </w:pPr>
    </w:p>
    <w:p>
      <w:pPr>
        <w:rPr>
          <w:rFonts w:eastAsia="Times New Roman"/>
          <w:b w:val="0"/>
          <w:lang w:val="es-ES_tradnl" w:eastAsia="es-ES"/>
        </w:rPr>
      </w:pPr>
    </w:p>
    <w:p>
      <w:pPr>
        <w:jc w:val="center"/>
        <w:rPr>
          <w:rFonts w:eastAsia="Times New Roman"/>
          <w:bCs/>
          <w:lang w:val="es-ES_tradnl" w:eastAsia="es-ES"/>
        </w:rPr>
      </w:pPr>
      <w:r>
        <w:rPr>
          <w:rFonts w:eastAsia="Times New Roman"/>
          <w:bCs/>
          <w:lang w:val="es-ES_tradnl" w:eastAsia="es-ES"/>
        </w:rPr>
        <w:t>MINISTERIO DE HACIENDA</w:t>
      </w:r>
    </w:p>
    <w:p>
      <w:pPr>
        <w:jc w:val="center"/>
        <w:rPr>
          <w:rFonts w:eastAsia="Times New Roman"/>
          <w:bCs/>
          <w:lang w:val="es-ES_tradnl" w:eastAsia="es-ES"/>
        </w:rPr>
      </w:pPr>
      <w:r>
        <w:rPr>
          <w:rFonts w:eastAsia="Times New Roman"/>
          <w:bCs/>
          <w:lang w:val="es-ES_tradnl" w:eastAsia="es-ES"/>
        </w:rPr>
        <w:t>Proyecto Presupuesto 2017 – Cifras comparadas 2016/2017 por Servicio</w:t>
      </w:r>
    </w:p>
    <w:tbl>
      <w:tblPr>
        <w:tblW w:w="8359" w:type="dxa"/>
        <w:jc w:val="center"/>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3639"/>
        <w:gridCol w:w="1446"/>
        <w:gridCol w:w="1385"/>
        <w:gridCol w:w="1142"/>
        <w:gridCol w:w="747"/>
      </w:tblGrid>
      <w:tr>
        <w:tblPrEx>
          <w:tblCellMar>
            <w:top w:w="0" w:type="dxa"/>
            <w:left w:w="0" w:type="dxa"/>
            <w:bottom w:w="0" w:type="dxa"/>
            <w:right w:w="0" w:type="dxa"/>
          </w:tblCellMar>
        </w:tblPrEx>
        <w:trPr>
          <w:trHeight w:val="642"/>
          <w:jc w:val="center"/>
        </w:trPr>
        <w:tc>
          <w:tcPr>
            <w:tcW w:w="3639" w:type="dxa"/>
            <w:vMerge w:val="restart"/>
            <w:tcBorders>
              <w:top w:val="single" w:sz="8" w:space="0" w:color="000000"/>
              <w:left w:val="single" w:sz="8" w:space="0" w:color="000000"/>
              <w:bottom w:val="single" w:sz="8" w:space="0" w:color="000000"/>
              <w:right w:val="single" w:sz="8" w:space="0" w:color="000000"/>
            </w:tcBorders>
            <w:shd w:val="clear" w:color="auto" w:fill="B9CDE5"/>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Cs/>
                <w:sz w:val="18"/>
                <w:szCs w:val="18"/>
                <w:lang w:val="es-ES_tradnl" w:eastAsia="es-ES"/>
              </w:rPr>
              <w:t>Servicio</w:t>
            </w:r>
          </w:p>
        </w:tc>
        <w:tc>
          <w:tcPr>
            <w:tcW w:w="1446" w:type="dxa"/>
            <w:vMerge w:val="restart"/>
            <w:tcBorders>
              <w:top w:val="single" w:sz="8" w:space="0" w:color="000000"/>
              <w:left w:val="single" w:sz="8" w:space="0" w:color="000000"/>
              <w:bottom w:val="single" w:sz="8" w:space="0" w:color="000000"/>
              <w:right w:val="single" w:sz="8" w:space="0" w:color="000000"/>
            </w:tcBorders>
            <w:shd w:val="clear" w:color="auto" w:fill="B9CDE5"/>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Cs/>
                <w:sz w:val="18"/>
                <w:szCs w:val="18"/>
                <w:lang w:val="es-ES_tradnl" w:eastAsia="es-ES"/>
              </w:rPr>
              <w:t>Año 2016</w:t>
            </w:r>
            <w:r>
              <w:rPr>
                <w:rFonts w:eastAsia="Times New Roman"/>
                <w:bCs/>
                <w:sz w:val="18"/>
                <w:szCs w:val="18"/>
                <w:lang w:val="es-ES_tradnl" w:eastAsia="es-ES"/>
              </w:rPr>
              <w:br/>
              <w:t>P.Inicial + Difer. Reajuste + Leyes Esp. – Rebaja</w:t>
            </w:r>
          </w:p>
        </w:tc>
        <w:tc>
          <w:tcPr>
            <w:tcW w:w="1385" w:type="dxa"/>
            <w:vMerge w:val="restart"/>
            <w:tcBorders>
              <w:top w:val="single" w:sz="8" w:space="0" w:color="000000"/>
              <w:left w:val="single" w:sz="8" w:space="0" w:color="000000"/>
              <w:bottom w:val="single" w:sz="8" w:space="0" w:color="000000"/>
              <w:right w:val="single" w:sz="8" w:space="0" w:color="000000"/>
            </w:tcBorders>
            <w:shd w:val="clear" w:color="auto" w:fill="B9CDE5"/>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Cs/>
                <w:sz w:val="18"/>
                <w:szCs w:val="18"/>
                <w:lang w:val="es-ES_tradnl" w:eastAsia="es-ES"/>
              </w:rPr>
              <w:t>Año 2017</w:t>
            </w:r>
            <w:r>
              <w:rPr>
                <w:rFonts w:eastAsia="Times New Roman"/>
                <w:bCs/>
                <w:sz w:val="18"/>
                <w:szCs w:val="18"/>
                <w:lang w:val="es-ES_tradnl" w:eastAsia="es-ES"/>
              </w:rPr>
              <w:br/>
              <w:t>Proyecto de Ley de Presupuestos</w:t>
            </w:r>
          </w:p>
        </w:tc>
        <w:tc>
          <w:tcPr>
            <w:tcW w:w="1889" w:type="dxa"/>
            <w:gridSpan w:val="2"/>
            <w:tcBorders>
              <w:top w:val="single" w:sz="8" w:space="0" w:color="000000"/>
              <w:left w:val="single" w:sz="8" w:space="0" w:color="000000"/>
              <w:bottom w:val="single" w:sz="8" w:space="0" w:color="000000"/>
              <w:right w:val="single" w:sz="8" w:space="0" w:color="000000"/>
            </w:tcBorders>
            <w:shd w:val="clear" w:color="auto" w:fill="B9CDE5"/>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Cs/>
                <w:sz w:val="18"/>
                <w:szCs w:val="18"/>
                <w:lang w:val="es-ES_tradnl" w:eastAsia="es-ES"/>
              </w:rPr>
              <w:t xml:space="preserve">  Variación 2016 a 2017</w:t>
            </w:r>
          </w:p>
        </w:tc>
      </w:tr>
      <w:tr>
        <w:tblPrEx>
          <w:tblCellMar>
            <w:top w:w="0" w:type="dxa"/>
            <w:left w:w="0" w:type="dxa"/>
            <w:bottom w:w="0" w:type="dxa"/>
            <w:right w:w="0" w:type="dxa"/>
          </w:tblCellMar>
        </w:tblPrEx>
        <w:trPr>
          <w:trHeight w:val="728"/>
          <w:jc w:val="center"/>
        </w:trPr>
        <w:tc>
          <w:tcPr>
            <w:tcW w:w="3639" w:type="dxa"/>
            <w:vMerge/>
            <w:tcBorders>
              <w:top w:val="single" w:sz="8" w:space="0" w:color="000000"/>
              <w:left w:val="single" w:sz="8" w:space="0" w:color="000000"/>
              <w:bottom w:val="single" w:sz="8" w:space="0" w:color="000000"/>
              <w:right w:val="single" w:sz="8" w:space="0" w:color="000000"/>
            </w:tcBorders>
            <w:shd w:val="clear" w:color="auto" w:fill="B9CDE5"/>
          </w:tcPr>
          <w:p>
            <w:pPr>
              <w:rPr>
                <w:rFonts w:eastAsia="Times New Roman"/>
                <w:b w:val="0"/>
                <w:sz w:val="18"/>
                <w:szCs w:val="18"/>
                <w:lang w:val="es-ES_tradnl" w:eastAsia="es-ES"/>
              </w:rPr>
            </w:pPr>
          </w:p>
        </w:tc>
        <w:tc>
          <w:tcPr>
            <w:tcW w:w="1446" w:type="dxa"/>
            <w:vMerge/>
            <w:tcBorders>
              <w:top w:val="single" w:sz="8" w:space="0" w:color="000000"/>
              <w:left w:val="single" w:sz="8" w:space="0" w:color="000000"/>
              <w:bottom w:val="single" w:sz="8" w:space="0" w:color="000000"/>
              <w:right w:val="single" w:sz="8" w:space="0" w:color="000000"/>
            </w:tcBorders>
            <w:shd w:val="clear" w:color="auto" w:fill="B9CDE5"/>
          </w:tcPr>
          <w:p>
            <w:pPr>
              <w:rPr>
                <w:rFonts w:eastAsia="Times New Roman"/>
                <w:b w:val="0"/>
                <w:sz w:val="18"/>
                <w:szCs w:val="18"/>
                <w:lang w:val="es-ES_tradnl" w:eastAsia="es-ES"/>
              </w:rPr>
            </w:pPr>
          </w:p>
        </w:tc>
        <w:tc>
          <w:tcPr>
            <w:tcW w:w="1385" w:type="dxa"/>
            <w:vMerge/>
            <w:tcBorders>
              <w:top w:val="single" w:sz="8" w:space="0" w:color="000000"/>
              <w:left w:val="single" w:sz="8" w:space="0" w:color="000000"/>
              <w:bottom w:val="single" w:sz="8" w:space="0" w:color="000000"/>
              <w:right w:val="single" w:sz="8" w:space="0" w:color="000000"/>
            </w:tcBorders>
            <w:shd w:val="clear" w:color="auto" w:fill="B9CDE5"/>
          </w:tcPr>
          <w:p>
            <w:pPr>
              <w:rPr>
                <w:rFonts w:eastAsia="Times New Roman"/>
                <w:b w:val="0"/>
                <w:sz w:val="18"/>
                <w:szCs w:val="18"/>
                <w:lang w:val="es-ES_tradnl" w:eastAsia="es-ES"/>
              </w:rPr>
            </w:pPr>
          </w:p>
        </w:tc>
        <w:tc>
          <w:tcPr>
            <w:tcW w:w="1142" w:type="dxa"/>
            <w:tcBorders>
              <w:top w:val="single" w:sz="8" w:space="0" w:color="000000"/>
              <w:left w:val="single" w:sz="8" w:space="0" w:color="000000"/>
              <w:bottom w:val="single" w:sz="8" w:space="0" w:color="000000"/>
              <w:right w:val="single" w:sz="8" w:space="0" w:color="000000"/>
            </w:tcBorders>
            <w:shd w:val="clear" w:color="auto" w:fill="B9CDE5"/>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Cs/>
                <w:sz w:val="18"/>
                <w:szCs w:val="18"/>
                <w:lang w:val="es-ES_tradnl" w:eastAsia="es-ES"/>
              </w:rPr>
              <w:t>Monto</w:t>
            </w:r>
          </w:p>
        </w:tc>
        <w:tc>
          <w:tcPr>
            <w:tcW w:w="747" w:type="dxa"/>
            <w:tcBorders>
              <w:top w:val="single" w:sz="8" w:space="0" w:color="000000"/>
              <w:left w:val="single" w:sz="8" w:space="0" w:color="000000"/>
              <w:bottom w:val="single" w:sz="8" w:space="0" w:color="000000"/>
              <w:right w:val="single" w:sz="8" w:space="0" w:color="000000"/>
            </w:tcBorders>
            <w:shd w:val="clear" w:color="auto" w:fill="B9CDE5"/>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Cs/>
                <w:sz w:val="18"/>
                <w:szCs w:val="18"/>
                <w:lang w:val="es-ES_tradnl" w:eastAsia="es-ES"/>
              </w:rPr>
              <w:t>%</w:t>
            </w:r>
          </w:p>
        </w:tc>
      </w:tr>
      <w:tr>
        <w:tblPrEx>
          <w:tblCellMar>
            <w:top w:w="0" w:type="dxa"/>
            <w:left w:w="0" w:type="dxa"/>
            <w:bottom w:w="0" w:type="dxa"/>
            <w:right w:w="0" w:type="dxa"/>
          </w:tblCellMar>
        </w:tblPrEx>
        <w:trPr>
          <w:trHeight w:val="572"/>
          <w:jc w:val="center"/>
        </w:trPr>
        <w:tc>
          <w:tcPr>
            <w:tcW w:w="3639"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Subsecretaría de Hacienda</w:t>
            </w:r>
          </w:p>
        </w:tc>
        <w:tc>
          <w:tcPr>
            <w:tcW w:w="1446"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10.938.362</w:t>
            </w:r>
          </w:p>
        </w:tc>
        <w:tc>
          <w:tcPr>
            <w:tcW w:w="1385"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9.772.094</w:t>
            </w:r>
          </w:p>
        </w:tc>
        <w:tc>
          <w:tcPr>
            <w:tcW w:w="1142"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-1.166.268</w:t>
            </w:r>
          </w:p>
        </w:tc>
        <w:tc>
          <w:tcPr>
            <w:tcW w:w="747"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-10,7%</w:t>
            </w:r>
          </w:p>
        </w:tc>
      </w:tr>
      <w:tr>
        <w:tblPrEx>
          <w:tblCellMar>
            <w:top w:w="0" w:type="dxa"/>
            <w:left w:w="0" w:type="dxa"/>
            <w:bottom w:w="0" w:type="dxa"/>
            <w:right w:w="0" w:type="dxa"/>
          </w:tblCellMar>
        </w:tblPrEx>
        <w:trPr>
          <w:trHeight w:val="572"/>
          <w:jc w:val="center"/>
        </w:trPr>
        <w:tc>
          <w:tcPr>
            <w:tcW w:w="3639"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Tribunales Tributarios y Aduaneros</w:t>
            </w:r>
          </w:p>
        </w:tc>
        <w:tc>
          <w:tcPr>
            <w:tcW w:w="1446"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8.753.388</w:t>
            </w:r>
          </w:p>
        </w:tc>
        <w:tc>
          <w:tcPr>
            <w:tcW w:w="1385"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8.747.790</w:t>
            </w:r>
          </w:p>
        </w:tc>
        <w:tc>
          <w:tcPr>
            <w:tcW w:w="1142"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-5.598</w:t>
            </w:r>
          </w:p>
        </w:tc>
        <w:tc>
          <w:tcPr>
            <w:tcW w:w="747"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-0,06%</w:t>
            </w:r>
          </w:p>
        </w:tc>
      </w:tr>
      <w:tr>
        <w:tblPrEx>
          <w:tblCellMar>
            <w:top w:w="0" w:type="dxa"/>
            <w:left w:w="0" w:type="dxa"/>
            <w:bottom w:w="0" w:type="dxa"/>
            <w:right w:w="0" w:type="dxa"/>
          </w:tblCellMar>
        </w:tblPrEx>
        <w:trPr>
          <w:trHeight w:val="572"/>
          <w:jc w:val="center"/>
        </w:trPr>
        <w:tc>
          <w:tcPr>
            <w:tcW w:w="3639"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Sistema Integrado de Comercio Exterior (SICEX)</w:t>
            </w:r>
          </w:p>
        </w:tc>
        <w:tc>
          <w:tcPr>
            <w:tcW w:w="1446"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2.918.368</w:t>
            </w:r>
          </w:p>
        </w:tc>
        <w:tc>
          <w:tcPr>
            <w:tcW w:w="1385"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2.396.538</w:t>
            </w:r>
          </w:p>
        </w:tc>
        <w:tc>
          <w:tcPr>
            <w:tcW w:w="1142"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-521.830</w:t>
            </w:r>
          </w:p>
        </w:tc>
        <w:tc>
          <w:tcPr>
            <w:tcW w:w="747"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-17,88%</w:t>
            </w:r>
          </w:p>
        </w:tc>
      </w:tr>
      <w:tr>
        <w:tblPrEx>
          <w:tblCellMar>
            <w:top w:w="0" w:type="dxa"/>
            <w:left w:w="0" w:type="dxa"/>
            <w:bottom w:w="0" w:type="dxa"/>
            <w:right w:w="0" w:type="dxa"/>
          </w:tblCellMar>
        </w:tblPrEx>
        <w:trPr>
          <w:trHeight w:val="572"/>
          <w:jc w:val="center"/>
        </w:trPr>
        <w:tc>
          <w:tcPr>
            <w:tcW w:w="3639"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Programa de Modernización del Estado – BID</w:t>
            </w:r>
          </w:p>
        </w:tc>
        <w:tc>
          <w:tcPr>
            <w:tcW w:w="1446"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5.634.232</w:t>
            </w:r>
          </w:p>
        </w:tc>
        <w:tc>
          <w:tcPr>
            <w:tcW w:w="1385"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8.444.254</w:t>
            </w:r>
          </w:p>
        </w:tc>
        <w:tc>
          <w:tcPr>
            <w:tcW w:w="1142"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2.810.022</w:t>
            </w:r>
          </w:p>
        </w:tc>
        <w:tc>
          <w:tcPr>
            <w:tcW w:w="747"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49,87%</w:t>
            </w:r>
          </w:p>
        </w:tc>
      </w:tr>
      <w:tr>
        <w:tblPrEx>
          <w:tblCellMar>
            <w:top w:w="0" w:type="dxa"/>
            <w:left w:w="0" w:type="dxa"/>
            <w:bottom w:w="0" w:type="dxa"/>
            <w:right w:w="0" w:type="dxa"/>
          </w:tblCellMar>
        </w:tblPrEx>
        <w:trPr>
          <w:trHeight w:val="572"/>
          <w:jc w:val="center"/>
        </w:trPr>
        <w:tc>
          <w:tcPr>
            <w:tcW w:w="3639"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Dirección de Presupuestos</w:t>
            </w:r>
          </w:p>
        </w:tc>
        <w:tc>
          <w:tcPr>
            <w:tcW w:w="1446"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22.920.678</w:t>
            </w:r>
          </w:p>
        </w:tc>
        <w:tc>
          <w:tcPr>
            <w:tcW w:w="1385"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22.088.132</w:t>
            </w:r>
          </w:p>
        </w:tc>
        <w:tc>
          <w:tcPr>
            <w:tcW w:w="1142"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-832.546</w:t>
            </w:r>
          </w:p>
        </w:tc>
        <w:tc>
          <w:tcPr>
            <w:tcW w:w="747"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-3,63%</w:t>
            </w:r>
          </w:p>
        </w:tc>
      </w:tr>
      <w:tr>
        <w:tblPrEx>
          <w:tblCellMar>
            <w:top w:w="0" w:type="dxa"/>
            <w:left w:w="0" w:type="dxa"/>
            <w:bottom w:w="0" w:type="dxa"/>
            <w:right w:w="0" w:type="dxa"/>
          </w:tblCellMar>
        </w:tblPrEx>
        <w:trPr>
          <w:trHeight w:val="260"/>
          <w:jc w:val="center"/>
        </w:trPr>
        <w:tc>
          <w:tcPr>
            <w:tcW w:w="3639"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Servicio de Impuestos Internos</w:t>
            </w:r>
          </w:p>
        </w:tc>
        <w:tc>
          <w:tcPr>
            <w:tcW w:w="1446"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183.433.308</w:t>
            </w:r>
          </w:p>
        </w:tc>
        <w:tc>
          <w:tcPr>
            <w:tcW w:w="1385"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185.470.237</w:t>
            </w:r>
          </w:p>
        </w:tc>
        <w:tc>
          <w:tcPr>
            <w:tcW w:w="1142"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2.036.929</w:t>
            </w:r>
          </w:p>
        </w:tc>
        <w:tc>
          <w:tcPr>
            <w:tcW w:w="747"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1,11%</w:t>
            </w:r>
          </w:p>
        </w:tc>
      </w:tr>
      <w:tr>
        <w:tblPrEx>
          <w:tblCellMar>
            <w:top w:w="0" w:type="dxa"/>
            <w:left w:w="0" w:type="dxa"/>
            <w:bottom w:w="0" w:type="dxa"/>
            <w:right w:w="0" w:type="dxa"/>
          </w:tblCellMar>
        </w:tblPrEx>
        <w:trPr>
          <w:trHeight w:val="572"/>
          <w:jc w:val="center"/>
        </w:trPr>
        <w:tc>
          <w:tcPr>
            <w:tcW w:w="3639"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Servicio Nacional de Aduanas</w:t>
            </w:r>
          </w:p>
        </w:tc>
        <w:tc>
          <w:tcPr>
            <w:tcW w:w="1446"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71.432.950</w:t>
            </w:r>
          </w:p>
        </w:tc>
        <w:tc>
          <w:tcPr>
            <w:tcW w:w="1385"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70.667.819</w:t>
            </w:r>
          </w:p>
        </w:tc>
        <w:tc>
          <w:tcPr>
            <w:tcW w:w="1142"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-765.131</w:t>
            </w:r>
          </w:p>
        </w:tc>
        <w:tc>
          <w:tcPr>
            <w:tcW w:w="747"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-1,07%</w:t>
            </w:r>
          </w:p>
        </w:tc>
      </w:tr>
      <w:tr>
        <w:tblPrEx>
          <w:tblCellMar>
            <w:top w:w="0" w:type="dxa"/>
            <w:left w:w="0" w:type="dxa"/>
            <w:bottom w:w="0" w:type="dxa"/>
            <w:right w:w="0" w:type="dxa"/>
          </w:tblCellMar>
        </w:tblPrEx>
        <w:trPr>
          <w:trHeight w:val="260"/>
          <w:jc w:val="center"/>
        </w:trPr>
        <w:tc>
          <w:tcPr>
            <w:tcW w:w="3639"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Tesorería General de la República</w:t>
            </w:r>
          </w:p>
        </w:tc>
        <w:tc>
          <w:tcPr>
            <w:tcW w:w="1446"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54.743.044</w:t>
            </w:r>
          </w:p>
        </w:tc>
        <w:tc>
          <w:tcPr>
            <w:tcW w:w="1385"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55.033.941</w:t>
            </w:r>
          </w:p>
        </w:tc>
        <w:tc>
          <w:tcPr>
            <w:tcW w:w="1142"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290.897</w:t>
            </w:r>
          </w:p>
        </w:tc>
        <w:tc>
          <w:tcPr>
            <w:tcW w:w="747"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0,53%</w:t>
            </w:r>
          </w:p>
        </w:tc>
      </w:tr>
      <w:tr>
        <w:tblPrEx>
          <w:tblCellMar>
            <w:top w:w="0" w:type="dxa"/>
            <w:left w:w="0" w:type="dxa"/>
            <w:bottom w:w="0" w:type="dxa"/>
            <w:right w:w="0" w:type="dxa"/>
          </w:tblCellMar>
        </w:tblPrEx>
        <w:trPr>
          <w:trHeight w:val="572"/>
          <w:jc w:val="center"/>
        </w:trPr>
        <w:tc>
          <w:tcPr>
            <w:tcW w:w="3639"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Dirección de Compras y Contrataciones Públicas</w:t>
            </w:r>
          </w:p>
        </w:tc>
        <w:tc>
          <w:tcPr>
            <w:tcW w:w="1446"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9.634.694</w:t>
            </w:r>
          </w:p>
        </w:tc>
        <w:tc>
          <w:tcPr>
            <w:tcW w:w="1385"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9.725.740</w:t>
            </w:r>
          </w:p>
        </w:tc>
        <w:tc>
          <w:tcPr>
            <w:tcW w:w="1142"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91.046</w:t>
            </w:r>
          </w:p>
        </w:tc>
        <w:tc>
          <w:tcPr>
            <w:tcW w:w="747"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0,94%</w:t>
            </w:r>
          </w:p>
        </w:tc>
      </w:tr>
      <w:tr>
        <w:tblPrEx>
          <w:tblCellMar>
            <w:top w:w="0" w:type="dxa"/>
            <w:left w:w="0" w:type="dxa"/>
            <w:bottom w:w="0" w:type="dxa"/>
            <w:right w:w="0" w:type="dxa"/>
          </w:tblCellMar>
        </w:tblPrEx>
        <w:trPr>
          <w:trHeight w:val="572"/>
          <w:jc w:val="center"/>
        </w:trPr>
        <w:tc>
          <w:tcPr>
            <w:tcW w:w="3639"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Superintendencia de Valores y Seguros</w:t>
            </w:r>
          </w:p>
        </w:tc>
        <w:tc>
          <w:tcPr>
            <w:tcW w:w="1446"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16.519.002</w:t>
            </w:r>
          </w:p>
        </w:tc>
        <w:tc>
          <w:tcPr>
            <w:tcW w:w="1385"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16.493.260</w:t>
            </w:r>
          </w:p>
        </w:tc>
        <w:tc>
          <w:tcPr>
            <w:tcW w:w="1142"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-25.742</w:t>
            </w:r>
          </w:p>
        </w:tc>
        <w:tc>
          <w:tcPr>
            <w:tcW w:w="747"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-0,16%</w:t>
            </w:r>
          </w:p>
        </w:tc>
      </w:tr>
      <w:tr>
        <w:tblPrEx>
          <w:tblCellMar>
            <w:top w:w="0" w:type="dxa"/>
            <w:left w:w="0" w:type="dxa"/>
            <w:bottom w:w="0" w:type="dxa"/>
            <w:right w:w="0" w:type="dxa"/>
          </w:tblCellMar>
        </w:tblPrEx>
        <w:trPr>
          <w:trHeight w:val="565"/>
          <w:jc w:val="center"/>
        </w:trPr>
        <w:tc>
          <w:tcPr>
            <w:tcW w:w="3639"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Superintendencia de Bancos e Instituciones Financieras</w:t>
            </w:r>
          </w:p>
        </w:tc>
        <w:tc>
          <w:tcPr>
            <w:tcW w:w="1446"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18.317.451</w:t>
            </w:r>
          </w:p>
        </w:tc>
        <w:tc>
          <w:tcPr>
            <w:tcW w:w="1385"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18.280.719</w:t>
            </w:r>
          </w:p>
        </w:tc>
        <w:tc>
          <w:tcPr>
            <w:tcW w:w="1142"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-36.732</w:t>
            </w:r>
          </w:p>
        </w:tc>
        <w:tc>
          <w:tcPr>
            <w:tcW w:w="747"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-0,20%</w:t>
            </w:r>
          </w:p>
        </w:tc>
      </w:tr>
      <w:tr>
        <w:tblPrEx>
          <w:tblCellMar>
            <w:top w:w="0" w:type="dxa"/>
            <w:left w:w="0" w:type="dxa"/>
            <w:bottom w:w="0" w:type="dxa"/>
            <w:right w:w="0" w:type="dxa"/>
          </w:tblCellMar>
        </w:tblPrEx>
        <w:trPr>
          <w:trHeight w:val="572"/>
          <w:jc w:val="center"/>
        </w:trPr>
        <w:tc>
          <w:tcPr>
            <w:tcW w:w="3639"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Dirección Nacional del Servicio Civil</w:t>
            </w:r>
          </w:p>
        </w:tc>
        <w:tc>
          <w:tcPr>
            <w:tcW w:w="1446"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10.561.679</w:t>
            </w:r>
          </w:p>
        </w:tc>
        <w:tc>
          <w:tcPr>
            <w:tcW w:w="1385"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10.409.120</w:t>
            </w:r>
          </w:p>
        </w:tc>
        <w:tc>
          <w:tcPr>
            <w:tcW w:w="1142"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-152.559</w:t>
            </w:r>
          </w:p>
        </w:tc>
        <w:tc>
          <w:tcPr>
            <w:tcW w:w="747"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-1,44%</w:t>
            </w:r>
          </w:p>
        </w:tc>
      </w:tr>
      <w:tr>
        <w:tblPrEx>
          <w:tblCellMar>
            <w:top w:w="0" w:type="dxa"/>
            <w:left w:w="0" w:type="dxa"/>
            <w:bottom w:w="0" w:type="dxa"/>
            <w:right w:w="0" w:type="dxa"/>
          </w:tblCellMar>
        </w:tblPrEx>
        <w:trPr>
          <w:trHeight w:val="260"/>
          <w:jc w:val="center"/>
        </w:trPr>
        <w:tc>
          <w:tcPr>
            <w:tcW w:w="3639"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Unidad de Análisis Financiero</w:t>
            </w:r>
          </w:p>
        </w:tc>
        <w:tc>
          <w:tcPr>
            <w:tcW w:w="1446"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3.072.394</w:t>
            </w:r>
          </w:p>
        </w:tc>
        <w:tc>
          <w:tcPr>
            <w:tcW w:w="1385"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3.177.276</w:t>
            </w:r>
          </w:p>
        </w:tc>
        <w:tc>
          <w:tcPr>
            <w:tcW w:w="1142"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104.882</w:t>
            </w:r>
          </w:p>
        </w:tc>
        <w:tc>
          <w:tcPr>
            <w:tcW w:w="747"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3,41%</w:t>
            </w:r>
          </w:p>
        </w:tc>
      </w:tr>
      <w:tr>
        <w:tblPrEx>
          <w:tblCellMar>
            <w:top w:w="0" w:type="dxa"/>
            <w:left w:w="0" w:type="dxa"/>
            <w:bottom w:w="0" w:type="dxa"/>
            <w:right w:w="0" w:type="dxa"/>
          </w:tblCellMar>
        </w:tblPrEx>
        <w:trPr>
          <w:trHeight w:val="572"/>
          <w:jc w:val="center"/>
        </w:trPr>
        <w:tc>
          <w:tcPr>
            <w:tcW w:w="3639"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Superintendencia de Casinos de Juego</w:t>
            </w:r>
          </w:p>
        </w:tc>
        <w:tc>
          <w:tcPr>
            <w:tcW w:w="1446"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5.036.244</w:t>
            </w:r>
          </w:p>
        </w:tc>
        <w:tc>
          <w:tcPr>
            <w:tcW w:w="1385"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4.053.509</w:t>
            </w:r>
          </w:p>
        </w:tc>
        <w:tc>
          <w:tcPr>
            <w:tcW w:w="1142"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-982.735</w:t>
            </w:r>
          </w:p>
        </w:tc>
        <w:tc>
          <w:tcPr>
            <w:tcW w:w="747"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-19,51%</w:t>
            </w:r>
          </w:p>
        </w:tc>
      </w:tr>
      <w:tr>
        <w:tblPrEx>
          <w:tblCellMar>
            <w:top w:w="0" w:type="dxa"/>
            <w:left w:w="0" w:type="dxa"/>
            <w:bottom w:w="0" w:type="dxa"/>
            <w:right w:w="0" w:type="dxa"/>
          </w:tblCellMar>
        </w:tblPrEx>
        <w:trPr>
          <w:trHeight w:val="572"/>
          <w:jc w:val="center"/>
        </w:trPr>
        <w:tc>
          <w:tcPr>
            <w:tcW w:w="3639"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20"/>
                <w:szCs w:val="20"/>
                <w:lang w:val="es-ES_tradnl" w:eastAsia="es-ES"/>
              </w:rPr>
            </w:pPr>
            <w:r>
              <w:rPr>
                <w:rFonts w:eastAsia="Times New Roman"/>
                <w:b w:val="0"/>
                <w:sz w:val="20"/>
                <w:szCs w:val="20"/>
                <w:lang w:val="es-ES_tradnl" w:eastAsia="es-ES"/>
              </w:rPr>
              <w:t>Consejo de Defensa del Estado</w:t>
            </w:r>
          </w:p>
        </w:tc>
        <w:tc>
          <w:tcPr>
            <w:tcW w:w="1446"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20"/>
                <w:szCs w:val="20"/>
                <w:lang w:val="es-ES_tradnl" w:eastAsia="es-ES"/>
              </w:rPr>
            </w:pPr>
            <w:r>
              <w:rPr>
                <w:rFonts w:eastAsia="Times New Roman"/>
                <w:b w:val="0"/>
                <w:sz w:val="20"/>
                <w:szCs w:val="20"/>
                <w:lang w:val="es-ES_tradnl" w:eastAsia="es-ES"/>
              </w:rPr>
              <w:t>20.483.602</w:t>
            </w:r>
          </w:p>
        </w:tc>
        <w:tc>
          <w:tcPr>
            <w:tcW w:w="1385"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20"/>
                <w:szCs w:val="20"/>
                <w:lang w:val="es-ES_tradnl" w:eastAsia="es-ES"/>
              </w:rPr>
            </w:pPr>
            <w:r>
              <w:rPr>
                <w:rFonts w:eastAsia="Times New Roman"/>
                <w:b w:val="0"/>
                <w:sz w:val="20"/>
                <w:szCs w:val="20"/>
                <w:lang w:val="es-ES_tradnl" w:eastAsia="es-ES"/>
              </w:rPr>
              <w:t>20.316.570</w:t>
            </w:r>
          </w:p>
        </w:tc>
        <w:tc>
          <w:tcPr>
            <w:tcW w:w="1142"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20"/>
                <w:szCs w:val="20"/>
                <w:lang w:val="es-ES_tradnl" w:eastAsia="es-ES"/>
              </w:rPr>
            </w:pPr>
            <w:r>
              <w:rPr>
                <w:rFonts w:eastAsia="Times New Roman"/>
                <w:b w:val="0"/>
                <w:sz w:val="20"/>
                <w:szCs w:val="20"/>
                <w:lang w:val="es-ES_tradnl" w:eastAsia="es-ES"/>
              </w:rPr>
              <w:t>-167.032</w:t>
            </w:r>
          </w:p>
        </w:tc>
        <w:tc>
          <w:tcPr>
            <w:tcW w:w="747"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20"/>
                <w:szCs w:val="20"/>
                <w:lang w:val="es-ES_tradnl" w:eastAsia="es-ES"/>
              </w:rPr>
            </w:pPr>
            <w:r>
              <w:rPr>
                <w:rFonts w:eastAsia="Times New Roman"/>
                <w:b w:val="0"/>
                <w:sz w:val="20"/>
                <w:szCs w:val="20"/>
                <w:lang w:val="es-ES_tradnl" w:eastAsia="es-ES"/>
              </w:rPr>
              <w:t>-0,82%</w:t>
            </w:r>
          </w:p>
        </w:tc>
      </w:tr>
    </w:tbl>
    <w:p>
      <w:pPr>
        <w:rPr>
          <w:rFonts w:eastAsia="Times New Roman"/>
          <w:bCs/>
          <w:lang w:val="es-ES_tradnl" w:eastAsia="es-ES"/>
        </w:rPr>
      </w:pPr>
    </w:p>
    <w:p>
      <w:pPr>
        <w:rPr>
          <w:rFonts w:eastAsia="Times New Roman"/>
          <w:b w:val="0"/>
          <w:lang w:val="es-ES_tradnl" w:eastAsia="es-ES"/>
        </w:rPr>
      </w:pPr>
      <w:r>
        <w:rPr>
          <w:rFonts w:eastAsia="Times New Roman"/>
          <w:b w:val="0"/>
          <w:lang w:val="es-ES_tradnl" w:eastAsia="es-ES"/>
        </w:rPr>
        <w:tab/>
        <w:t xml:space="preserve">En este punto, resaltó que la Subsecretaría de Hacienda redujo su presupuesto en casi un 11% (10,7%). </w:t>
      </w:r>
    </w:p>
    <w:p>
      <w:pPr>
        <w:rPr>
          <w:rFonts w:eastAsia="Times New Roman"/>
          <w:b w:val="0"/>
          <w:lang w:val="es-ES_tradnl" w:eastAsia="es-ES"/>
        </w:rPr>
      </w:pPr>
    </w:p>
    <w:p>
      <w:pPr>
        <w:rPr>
          <w:rFonts w:eastAsia="Times New Roman"/>
          <w:b w:val="0"/>
          <w:lang w:val="es-ES_tradnl" w:eastAsia="es-ES"/>
        </w:rPr>
      </w:pPr>
      <w:r>
        <w:rPr>
          <w:rFonts w:eastAsia="Times New Roman"/>
          <w:b w:val="0"/>
          <w:lang w:val="es-ES_tradnl" w:eastAsia="es-ES"/>
        </w:rPr>
        <w:tab/>
        <w:t>Asimismo, subrayó la disminución del Programa SICEX en un 17,88%, lo que obedece a haberse desplegado durante el año en curso una gran parte de plataformas e infraestructura requerida para el mismo.</w:t>
      </w:r>
    </w:p>
    <w:p>
      <w:pPr>
        <w:rPr>
          <w:rFonts w:eastAsia="Times New Roman"/>
          <w:b w:val="0"/>
          <w:lang w:val="es-ES_tradnl" w:eastAsia="es-ES"/>
        </w:rPr>
      </w:pPr>
    </w:p>
    <w:p>
      <w:pPr>
        <w:rPr>
          <w:rFonts w:eastAsia="Times New Roman"/>
          <w:b w:val="0"/>
          <w:lang w:val="es-ES_tradnl" w:eastAsia="es-ES"/>
        </w:rPr>
      </w:pPr>
      <w:r>
        <w:rPr>
          <w:rFonts w:eastAsia="Times New Roman"/>
          <w:b w:val="0"/>
          <w:lang w:val="es-ES_tradnl" w:eastAsia="es-ES"/>
        </w:rPr>
        <w:tab/>
        <w:t>De igual modo, destacó la reducción de  casi un 20% (19,51%) en el presupuesto de la Superintendencia de Casinos de Juego, lo que responde a que durante el año en curso se concluyeron con los estudios que sirven de base para el desarrollo de los procesos licitatorios de los casinos municipales que durante el presente año se comenzarán a llevar a cabo.</w:t>
      </w:r>
    </w:p>
    <w:p>
      <w:pPr>
        <w:rPr>
          <w:rFonts w:eastAsia="Times New Roman"/>
          <w:b w:val="0"/>
          <w:lang w:val="es-ES_tradnl" w:eastAsia="es-ES"/>
        </w:rPr>
      </w:pPr>
    </w:p>
    <w:p>
      <w:pPr>
        <w:rPr>
          <w:rFonts w:eastAsia="Times New Roman"/>
          <w:b w:val="0"/>
          <w:lang w:val="es-ES_tradnl" w:eastAsia="es-ES"/>
        </w:rPr>
      </w:pPr>
      <w:r>
        <w:rPr>
          <w:rFonts w:eastAsia="Times New Roman"/>
          <w:b w:val="0"/>
          <w:lang w:val="es-ES_tradnl" w:eastAsia="es-ES"/>
        </w:rPr>
        <w:tab/>
      </w:r>
      <w:r>
        <w:rPr>
          <w:rFonts w:eastAsia="Times New Roman"/>
          <w:lang w:val="es-ES_tradnl" w:eastAsia="es-ES"/>
        </w:rPr>
        <w:t xml:space="preserve">A continuación, el Subsecretario de Hacienda, señor Alejandro Micco </w:t>
      </w:r>
      <w:r>
        <w:rPr>
          <w:rFonts w:eastAsia="Times New Roman"/>
          <w:b w:val="0"/>
          <w:lang w:val="es-ES_tradnl" w:eastAsia="es-ES"/>
        </w:rPr>
        <w:t xml:space="preserve"> precisó las </w:t>
      </w:r>
      <w:r>
        <w:rPr>
          <w:rFonts w:eastAsia="Times New Roman"/>
          <w:lang w:val="es-ES_tradnl" w:eastAsia="es-ES"/>
        </w:rPr>
        <w:t>prioridades e incrementos presupuestarios para el año 2017</w:t>
      </w:r>
      <w:r>
        <w:rPr>
          <w:rFonts w:eastAsia="Times New Roman"/>
          <w:b w:val="0"/>
          <w:lang w:val="es-ES_tradnl" w:eastAsia="es-ES"/>
        </w:rPr>
        <w:t xml:space="preserve"> en cada uno de los Servicios de la Partida del Ministerio de Hacienda.</w:t>
      </w:r>
    </w:p>
    <w:p>
      <w:pPr>
        <w:rPr>
          <w:rFonts w:eastAsia="Times New Roman"/>
          <w:b w:val="0"/>
          <w:lang w:val="es-ES_tradnl" w:eastAsia="es-ES"/>
        </w:rPr>
      </w:pPr>
    </w:p>
    <w:p>
      <w:pPr>
        <w:rPr>
          <w:rFonts w:eastAsia="Times New Roman"/>
          <w:b w:val="0"/>
          <w:lang w:val="es-ES_tradnl" w:eastAsia="es-ES"/>
        </w:rPr>
      </w:pPr>
      <w:r>
        <w:rPr>
          <w:rFonts w:eastAsia="Times New Roman"/>
          <w:bCs/>
          <w:lang w:val="es-ES_tradnl" w:eastAsia="es-ES"/>
        </w:rPr>
        <w:tab/>
        <w:t>1. Programa de Modernización del Sector Público (2643MM)</w:t>
      </w:r>
      <w:r>
        <w:rPr>
          <w:rFonts w:eastAsia="Times New Roman"/>
          <w:b w:val="0"/>
          <w:lang w:val="es-ES_tradnl" w:eastAsia="es-ES"/>
        </w:rPr>
        <w:t>: se proyecta un aumento de las transferencias corrientes por el ciclo de vida de los proyectos.</w:t>
      </w:r>
    </w:p>
    <w:p>
      <w:pPr>
        <w:rPr>
          <w:rFonts w:eastAsia="Times New Roman"/>
          <w:b w:val="0"/>
          <w:lang w:val="es-ES_tradnl" w:eastAsia="es-ES"/>
        </w:rPr>
      </w:pPr>
    </w:p>
    <w:p>
      <w:pPr>
        <w:rPr>
          <w:rFonts w:eastAsia="Times New Roman"/>
          <w:b w:val="0"/>
          <w:lang w:val="es-ES_tradnl" w:eastAsia="es-ES"/>
        </w:rPr>
      </w:pPr>
      <w:r>
        <w:rPr>
          <w:rFonts w:eastAsia="Times New Roman"/>
          <w:bCs/>
          <w:lang w:val="es-ES_tradnl" w:eastAsia="es-ES"/>
        </w:rPr>
        <w:tab/>
        <w:t>2. Servicio Nacional de Aduanas (1.238MM)</w:t>
      </w:r>
      <w:r>
        <w:rPr>
          <w:rFonts w:eastAsia="Times New Roman"/>
          <w:b w:val="0"/>
          <w:lang w:val="es-ES_tradnl" w:eastAsia="es-ES"/>
        </w:rPr>
        <w:t>: se contempla la incorporación de 40 cupos con ocasión de la implementación de la Ley de Reforma Tributaria, y 50 funcionarios para el Programa de Control de Tráfico Ilícito</w:t>
      </w:r>
    </w:p>
    <w:p>
      <w:pPr>
        <w:rPr>
          <w:rFonts w:eastAsia="Times New Roman"/>
          <w:b w:val="0"/>
          <w:lang w:val="es-ES_tradnl" w:eastAsia="es-ES"/>
        </w:rPr>
      </w:pPr>
    </w:p>
    <w:p>
      <w:pPr>
        <w:rPr>
          <w:rFonts w:eastAsia="Times New Roman"/>
          <w:b w:val="0"/>
          <w:lang w:val="es-ES_tradnl" w:eastAsia="es-ES"/>
        </w:rPr>
      </w:pPr>
      <w:r>
        <w:rPr>
          <w:rFonts w:eastAsia="Times New Roman"/>
          <w:bCs/>
          <w:lang w:val="es-ES_tradnl" w:eastAsia="es-ES"/>
        </w:rPr>
        <w:tab/>
        <w:t>3. Tesorería General de la República (934 MM)</w:t>
      </w:r>
      <w:r>
        <w:rPr>
          <w:rFonts w:eastAsia="Times New Roman"/>
          <w:b w:val="0"/>
          <w:lang w:val="es-ES_tradnl" w:eastAsia="es-ES"/>
        </w:rPr>
        <w:t>: se prevé un aumento de 42 funcionarios para satisfacer las exigencias de la Reforma Tributaria y de 3 funcionarios para la fiscalización de Egresos no Tributarios.</w:t>
      </w:r>
    </w:p>
    <w:p>
      <w:pPr>
        <w:rPr>
          <w:rFonts w:eastAsia="Times New Roman"/>
          <w:b w:val="0"/>
          <w:lang w:val="es-ES_tradnl" w:eastAsia="es-ES"/>
        </w:rPr>
      </w:pPr>
    </w:p>
    <w:p>
      <w:pPr>
        <w:rPr>
          <w:rFonts w:eastAsia="Times New Roman"/>
          <w:b w:val="0"/>
          <w:lang w:val="es-ES_tradnl" w:eastAsia="es-ES"/>
        </w:rPr>
      </w:pPr>
      <w:r>
        <w:rPr>
          <w:rFonts w:eastAsia="Times New Roman"/>
          <w:bCs/>
          <w:lang w:val="es-ES_tradnl" w:eastAsia="es-ES"/>
        </w:rPr>
        <w:tab/>
        <w:t>4. Dirección de Compras y Contratación Pública (40MM)</w:t>
      </w:r>
      <w:r>
        <w:rPr>
          <w:rFonts w:eastAsia="Times New Roman"/>
          <w:b w:val="0"/>
          <w:lang w:val="es-ES_tradnl" w:eastAsia="es-ES"/>
        </w:rPr>
        <w:t>: se proyecta la incorporación de 2 funcionarios para el Tribunal de Contratación Pública, debido al aumento de jornada que este último efectuará.</w:t>
      </w:r>
    </w:p>
    <w:p>
      <w:pPr>
        <w:rPr>
          <w:rFonts w:eastAsia="Times New Roman"/>
          <w:b w:val="0"/>
          <w:lang w:val="es-ES_tradnl" w:eastAsia="es-ES"/>
        </w:rPr>
      </w:pPr>
    </w:p>
    <w:p>
      <w:pPr>
        <w:rPr>
          <w:rFonts w:eastAsia="Times New Roman"/>
          <w:b w:val="0"/>
          <w:lang w:val="es-ES_tradnl" w:eastAsia="es-ES"/>
        </w:rPr>
      </w:pPr>
      <w:r>
        <w:rPr>
          <w:rFonts w:eastAsia="Times New Roman"/>
          <w:bCs/>
          <w:lang w:val="es-ES_tradnl" w:eastAsia="es-ES"/>
        </w:rPr>
        <w:tab/>
        <w:t>5. Superintendencia de Valores y Seguros (167 MM)</w:t>
      </w:r>
      <w:r>
        <w:rPr>
          <w:rFonts w:eastAsia="Times New Roman"/>
          <w:b w:val="0"/>
          <w:lang w:val="es-ES_tradnl" w:eastAsia="es-ES"/>
        </w:rPr>
        <w:t>: se contempla un aumento de 4 funcionarios, en virtud de lo dispuesto en la Ley N°20.880, que regula los mecanismos de prevención de conflictos de intereses.</w:t>
      </w:r>
    </w:p>
    <w:p>
      <w:pPr>
        <w:rPr>
          <w:rFonts w:eastAsia="Times New Roman"/>
          <w:b w:val="0"/>
          <w:lang w:val="es-ES_tradnl" w:eastAsia="es-ES"/>
        </w:rPr>
      </w:pPr>
    </w:p>
    <w:p>
      <w:pPr>
        <w:rPr>
          <w:rFonts w:eastAsia="Times New Roman"/>
          <w:b w:val="0"/>
          <w:lang w:val="es-ES_tradnl" w:eastAsia="es-ES"/>
        </w:rPr>
      </w:pPr>
      <w:r>
        <w:rPr>
          <w:rFonts w:eastAsia="Times New Roman"/>
          <w:bCs/>
          <w:lang w:val="es-ES_tradnl" w:eastAsia="es-ES"/>
        </w:rPr>
        <w:tab/>
        <w:t>6. Superintendencia de Bancos e Instituciones Financieras (202MM)</w:t>
      </w:r>
      <w:r>
        <w:rPr>
          <w:rFonts w:eastAsia="Times New Roman"/>
          <w:b w:val="0"/>
          <w:lang w:val="es-ES_tradnl" w:eastAsia="es-ES"/>
        </w:rPr>
        <w:t>: al igual que en el Servicio anterior, prevén 4 nuevos funcionarios en atención a lo establecido en la mencionada Ley N°20.880, y otros 4 funcionarios por lo dispuesto en la Ley de Medios de Pago.</w:t>
      </w:r>
    </w:p>
    <w:p>
      <w:pPr>
        <w:rPr>
          <w:rFonts w:eastAsia="Times New Roman"/>
          <w:b w:val="0"/>
          <w:lang w:val="es-ES_tradnl" w:eastAsia="es-ES"/>
        </w:rPr>
      </w:pPr>
    </w:p>
    <w:p>
      <w:pPr>
        <w:rPr>
          <w:rFonts w:eastAsia="Times New Roman"/>
          <w:b w:val="0"/>
          <w:lang w:val="es-ES_tradnl" w:eastAsia="es-ES"/>
        </w:rPr>
      </w:pPr>
      <w:r>
        <w:rPr>
          <w:rFonts w:eastAsia="Times New Roman"/>
          <w:bCs/>
          <w:lang w:val="es-ES_tradnl" w:eastAsia="es-ES"/>
        </w:rPr>
        <w:tab/>
        <w:t>7. Dirección Nacional de Servicio Civil (370MM)</w:t>
      </w:r>
      <w:r>
        <w:rPr>
          <w:rFonts w:eastAsia="Times New Roman"/>
          <w:b w:val="0"/>
          <w:lang w:val="es-ES_tradnl" w:eastAsia="es-ES"/>
        </w:rPr>
        <w:t>: se proyecta la incorporación de 12 funcionarios, debido a la Ley de Perfeccionamiento del sistema de Alta Dirección Pública, la que se encuentra próxima a su publicación.</w:t>
      </w:r>
    </w:p>
    <w:p>
      <w:pPr>
        <w:rPr>
          <w:rFonts w:eastAsia="Times New Roman"/>
          <w:b w:val="0"/>
          <w:lang w:val="es-ES_tradnl" w:eastAsia="es-ES"/>
        </w:rPr>
      </w:pPr>
    </w:p>
    <w:p>
      <w:pPr>
        <w:rPr>
          <w:rFonts w:eastAsia="Times New Roman"/>
          <w:b w:val="0"/>
          <w:lang w:val="es-ES_tradnl" w:eastAsia="es-ES"/>
        </w:rPr>
      </w:pPr>
      <w:r>
        <w:rPr>
          <w:rFonts w:eastAsia="Times New Roman"/>
          <w:bCs/>
          <w:lang w:val="es-ES_tradnl" w:eastAsia="es-ES"/>
        </w:rPr>
        <w:tab/>
        <w:t>8. Unidad de Análisis Financiero (302 MM)</w:t>
      </w:r>
      <w:r>
        <w:rPr>
          <w:rFonts w:eastAsia="Times New Roman"/>
          <w:b w:val="0"/>
          <w:lang w:val="es-ES_tradnl" w:eastAsia="es-ES"/>
        </w:rPr>
        <w:t>: se considera un aumento de 7 funcionarios, en virtud de lo establecido en la Ley N°20.818, que fortalece la prevención de lavados de activos y financiamiento terrorismo.</w:t>
      </w:r>
    </w:p>
    <w:p>
      <w:pPr>
        <w:rPr>
          <w:rFonts w:eastAsia="Times New Roman"/>
          <w:b w:val="0"/>
          <w:lang w:val="es-ES_tradnl" w:eastAsia="es-ES"/>
        </w:rPr>
      </w:pPr>
    </w:p>
    <w:p>
      <w:pPr>
        <w:rPr>
          <w:rFonts w:eastAsia="Times New Roman"/>
          <w:b w:val="0"/>
          <w:lang w:val="es-ES_tradnl" w:eastAsia="es-ES"/>
        </w:rPr>
      </w:pPr>
      <w:r>
        <w:rPr>
          <w:rFonts w:eastAsia="Times New Roman"/>
          <w:b w:val="0"/>
          <w:lang w:val="es-ES_tradnl" w:eastAsia="es-ES"/>
        </w:rPr>
        <w:tab/>
        <w:t>En seguida, resumió por áreas, por ley y por programas, los incrementos de dotación de funcionarios antes descritos a través de la siguiente lámina.</w:t>
      </w:r>
    </w:p>
    <w:p>
      <w:pPr>
        <w:rPr>
          <w:rFonts w:eastAsia="Times New Roman"/>
          <w:b w:val="0"/>
          <w:lang w:val="es-ES_tradnl" w:eastAsia="es-ES"/>
        </w:rPr>
      </w:pPr>
    </w:p>
    <w:p>
      <w:pPr>
        <w:jc w:val="center"/>
        <w:rPr>
          <w:rFonts w:eastAsia="Times New Roman"/>
          <w:bCs/>
          <w:lang w:val="es-ES_tradnl" w:eastAsia="es-ES"/>
        </w:rPr>
      </w:pPr>
      <w:r>
        <w:rPr>
          <w:rFonts w:eastAsia="Times New Roman"/>
          <w:bCs/>
          <w:lang w:val="es-ES_tradnl" w:eastAsia="es-ES"/>
        </w:rPr>
        <w:t>MINISTERIO DE HACIENDA</w:t>
      </w:r>
    </w:p>
    <w:p>
      <w:pPr>
        <w:jc w:val="center"/>
        <w:rPr>
          <w:rFonts w:eastAsia="Times New Roman"/>
          <w:bCs/>
          <w:lang w:val="es-ES_tradnl" w:eastAsia="es-ES"/>
        </w:rPr>
      </w:pPr>
      <w:r>
        <w:rPr>
          <w:rFonts w:eastAsia="Times New Roman"/>
          <w:bCs/>
          <w:lang w:val="es-ES_tradnl" w:eastAsia="es-ES"/>
        </w:rPr>
        <w:t>Proyecto Presupuesto 2017- Dotación</w:t>
      </w:r>
    </w:p>
    <w:tbl>
      <w:tblPr>
        <w:tblW w:w="8271" w:type="dxa"/>
        <w:jc w:val="center"/>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4457"/>
        <w:gridCol w:w="978"/>
        <w:gridCol w:w="860"/>
        <w:gridCol w:w="488"/>
        <w:gridCol w:w="811"/>
        <w:gridCol w:w="677"/>
      </w:tblGrid>
      <w:tr>
        <w:tblPrEx>
          <w:tblCellMar>
            <w:top w:w="0" w:type="dxa"/>
            <w:left w:w="0" w:type="dxa"/>
            <w:bottom w:w="0" w:type="dxa"/>
            <w:right w:w="0" w:type="dxa"/>
          </w:tblCellMar>
        </w:tblPrEx>
        <w:trPr>
          <w:trHeight w:val="20"/>
          <w:jc w:val="center"/>
        </w:trPr>
        <w:tc>
          <w:tcPr>
            <w:tcW w:w="4455" w:type="dxa"/>
            <w:vMerge w:val="restart"/>
            <w:tcBorders>
              <w:top w:val="single" w:sz="8" w:space="0" w:color="000000"/>
              <w:left w:val="single" w:sz="8" w:space="0" w:color="000000"/>
              <w:bottom w:val="single" w:sz="8" w:space="0" w:color="000000"/>
              <w:right w:val="single" w:sz="8" w:space="0" w:color="000000"/>
            </w:tcBorders>
            <w:shd w:val="clear" w:color="auto" w:fill="B9CDE5"/>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Cs/>
                <w:sz w:val="18"/>
                <w:szCs w:val="18"/>
                <w:lang w:val="es-ES_tradnl" w:eastAsia="es-ES"/>
              </w:rPr>
              <w:t>MINISTERIO DE HACIENDA</w:t>
            </w:r>
          </w:p>
        </w:tc>
        <w:tc>
          <w:tcPr>
            <w:tcW w:w="1838" w:type="dxa"/>
            <w:gridSpan w:val="2"/>
            <w:tcBorders>
              <w:top w:val="single" w:sz="8" w:space="0" w:color="000000"/>
              <w:left w:val="single" w:sz="8" w:space="0" w:color="000000"/>
              <w:bottom w:val="single" w:sz="8" w:space="0" w:color="000000"/>
              <w:right w:val="single" w:sz="8" w:space="0" w:color="000000"/>
            </w:tcBorders>
            <w:shd w:val="clear" w:color="auto" w:fill="B9CDE5"/>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Cs/>
                <w:sz w:val="18"/>
                <w:szCs w:val="18"/>
                <w:lang w:val="es-ES_tradnl" w:eastAsia="es-ES"/>
              </w:rPr>
              <w:t>Dotación máxima autorizada por Ley de Presupuesto</w:t>
            </w:r>
          </w:p>
        </w:tc>
        <w:tc>
          <w:tcPr>
            <w:tcW w:w="1976" w:type="dxa"/>
            <w:gridSpan w:val="3"/>
            <w:tcBorders>
              <w:top w:val="single" w:sz="8" w:space="0" w:color="000000"/>
              <w:left w:val="single" w:sz="8" w:space="0" w:color="000000"/>
              <w:bottom w:val="single" w:sz="8" w:space="0" w:color="000000"/>
              <w:right w:val="single" w:sz="8" w:space="0" w:color="000000"/>
            </w:tcBorders>
            <w:shd w:val="clear" w:color="auto" w:fill="B9CDE5"/>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Cs/>
                <w:sz w:val="18"/>
                <w:szCs w:val="18"/>
                <w:lang w:val="es-ES_tradnl" w:eastAsia="es-ES"/>
              </w:rPr>
              <w:t>Aumento de dotación</w:t>
            </w:r>
          </w:p>
        </w:tc>
      </w:tr>
      <w:tr>
        <w:tblPrEx>
          <w:tblCellMar>
            <w:top w:w="0" w:type="dxa"/>
            <w:left w:w="0" w:type="dxa"/>
            <w:bottom w:w="0" w:type="dxa"/>
            <w:right w:w="0" w:type="dxa"/>
          </w:tblCellMar>
        </w:tblPrEx>
        <w:trPr>
          <w:trHeight w:val="20"/>
          <w:jc w:val="center"/>
        </w:trPr>
        <w:tc>
          <w:tcPr>
            <w:tcW w:w="4455" w:type="dxa"/>
            <w:vMerge/>
            <w:tcBorders>
              <w:top w:val="single" w:sz="8" w:space="0" w:color="000000"/>
              <w:left w:val="single" w:sz="8" w:space="0" w:color="000000"/>
              <w:bottom w:val="single" w:sz="8" w:space="0" w:color="000000"/>
              <w:right w:val="single" w:sz="8" w:space="0" w:color="000000"/>
            </w:tcBorders>
            <w:shd w:val="clear" w:color="auto" w:fill="B9CDE5"/>
          </w:tcPr>
          <w:p>
            <w:pPr>
              <w:rPr>
                <w:rFonts w:eastAsia="Times New Roman"/>
                <w:b w:val="0"/>
                <w:sz w:val="18"/>
                <w:szCs w:val="18"/>
                <w:lang w:val="es-ES_tradnl" w:eastAsia="es-ES"/>
              </w:rPr>
            </w:pPr>
          </w:p>
        </w:tc>
        <w:tc>
          <w:tcPr>
            <w:tcW w:w="978" w:type="dxa"/>
            <w:tcBorders>
              <w:top w:val="single" w:sz="8" w:space="0" w:color="000000"/>
              <w:left w:val="single" w:sz="8" w:space="0" w:color="000000"/>
              <w:bottom w:val="single" w:sz="8" w:space="0" w:color="000000"/>
              <w:right w:val="single" w:sz="8" w:space="0" w:color="000000"/>
            </w:tcBorders>
            <w:shd w:val="clear" w:color="auto" w:fill="B9CDE5"/>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Cs/>
                <w:sz w:val="18"/>
                <w:szCs w:val="18"/>
                <w:lang w:val="es-ES_tradnl" w:eastAsia="es-ES"/>
              </w:rPr>
              <w:t>Año 2016</w:t>
            </w:r>
          </w:p>
        </w:tc>
        <w:tc>
          <w:tcPr>
            <w:tcW w:w="860" w:type="dxa"/>
            <w:tcBorders>
              <w:top w:val="single" w:sz="8" w:space="0" w:color="000000"/>
              <w:left w:val="single" w:sz="8" w:space="0" w:color="000000"/>
              <w:bottom w:val="single" w:sz="8" w:space="0" w:color="000000"/>
              <w:right w:val="single" w:sz="8" w:space="0" w:color="000000"/>
            </w:tcBorders>
            <w:shd w:val="clear" w:color="auto" w:fill="B9CDE5"/>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Cs/>
                <w:sz w:val="18"/>
                <w:szCs w:val="18"/>
                <w:lang w:val="es-ES_tradnl" w:eastAsia="es-ES"/>
              </w:rPr>
              <w:t>Año 2017</w:t>
            </w:r>
          </w:p>
        </w:tc>
        <w:tc>
          <w:tcPr>
            <w:tcW w:w="488" w:type="dxa"/>
            <w:tcBorders>
              <w:top w:val="single" w:sz="8" w:space="0" w:color="000000"/>
              <w:left w:val="single" w:sz="8" w:space="0" w:color="000000"/>
              <w:bottom w:val="single" w:sz="8" w:space="0" w:color="000000"/>
              <w:right w:val="single" w:sz="8" w:space="0" w:color="000000"/>
            </w:tcBorders>
            <w:shd w:val="clear" w:color="auto" w:fill="B9CDE5"/>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Cs/>
                <w:sz w:val="18"/>
                <w:szCs w:val="18"/>
                <w:lang w:val="es-ES_tradnl" w:eastAsia="es-ES"/>
              </w:rPr>
              <w:t>Ley</w:t>
            </w:r>
          </w:p>
        </w:tc>
        <w:tc>
          <w:tcPr>
            <w:tcW w:w="811" w:type="dxa"/>
            <w:tcBorders>
              <w:top w:val="single" w:sz="8" w:space="0" w:color="000000"/>
              <w:left w:val="single" w:sz="8" w:space="0" w:color="000000"/>
              <w:bottom w:val="single" w:sz="8" w:space="0" w:color="000000"/>
              <w:right w:val="single" w:sz="8" w:space="0" w:color="000000"/>
            </w:tcBorders>
            <w:shd w:val="clear" w:color="auto" w:fill="B9CDE5"/>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Cs/>
                <w:sz w:val="18"/>
                <w:szCs w:val="18"/>
                <w:lang w:val="es-ES_tradnl" w:eastAsia="es-ES"/>
              </w:rPr>
              <w:t>Programa</w:t>
            </w:r>
          </w:p>
        </w:tc>
        <w:tc>
          <w:tcPr>
            <w:tcW w:w="675" w:type="dxa"/>
            <w:tcBorders>
              <w:top w:val="single" w:sz="8" w:space="0" w:color="000000"/>
              <w:left w:val="single" w:sz="8" w:space="0" w:color="000000"/>
              <w:bottom w:val="single" w:sz="8" w:space="0" w:color="000000"/>
              <w:right w:val="single" w:sz="8" w:space="0" w:color="000000"/>
            </w:tcBorders>
            <w:shd w:val="clear" w:color="auto" w:fill="B9CDE5"/>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Cs/>
                <w:sz w:val="18"/>
                <w:szCs w:val="18"/>
                <w:lang w:val="es-ES_tradnl" w:eastAsia="es-ES"/>
              </w:rPr>
              <w:t>Total</w:t>
            </w:r>
          </w:p>
        </w:tc>
      </w:tr>
      <w:tr>
        <w:tblPrEx>
          <w:tblCellMar>
            <w:top w:w="0" w:type="dxa"/>
            <w:left w:w="0" w:type="dxa"/>
            <w:bottom w:w="0" w:type="dxa"/>
            <w:right w:w="0" w:type="dxa"/>
          </w:tblCellMar>
        </w:tblPrEx>
        <w:trPr>
          <w:trHeight w:val="20"/>
          <w:jc w:val="center"/>
        </w:trPr>
        <w:tc>
          <w:tcPr>
            <w:tcW w:w="4455"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SUBSECRETARÍA DE HACIENDA</w:t>
            </w:r>
          </w:p>
        </w:tc>
        <w:tc>
          <w:tcPr>
            <w:tcW w:w="978"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185</w:t>
            </w:r>
          </w:p>
        </w:tc>
        <w:tc>
          <w:tcPr>
            <w:tcW w:w="860"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185</w:t>
            </w:r>
          </w:p>
        </w:tc>
        <w:tc>
          <w:tcPr>
            <w:tcW w:w="488"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 </w:t>
            </w:r>
          </w:p>
        </w:tc>
        <w:tc>
          <w:tcPr>
            <w:tcW w:w="811"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 </w:t>
            </w:r>
          </w:p>
        </w:tc>
        <w:tc>
          <w:tcPr>
            <w:tcW w:w="675"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p>
        </w:tc>
      </w:tr>
      <w:tr>
        <w:tblPrEx>
          <w:tblCellMar>
            <w:top w:w="0" w:type="dxa"/>
            <w:left w:w="0" w:type="dxa"/>
            <w:bottom w:w="0" w:type="dxa"/>
            <w:right w:w="0" w:type="dxa"/>
          </w:tblCellMar>
        </w:tblPrEx>
        <w:trPr>
          <w:trHeight w:val="20"/>
          <w:jc w:val="center"/>
        </w:trPr>
        <w:tc>
          <w:tcPr>
            <w:tcW w:w="4455"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ADM. DE LOS TRIBUNALES TRIBUTARIOS Y ADUANEROS</w:t>
            </w:r>
          </w:p>
        </w:tc>
        <w:tc>
          <w:tcPr>
            <w:tcW w:w="978"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40</w:t>
            </w:r>
          </w:p>
        </w:tc>
        <w:tc>
          <w:tcPr>
            <w:tcW w:w="860"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40</w:t>
            </w:r>
          </w:p>
        </w:tc>
        <w:tc>
          <w:tcPr>
            <w:tcW w:w="488"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 </w:t>
            </w:r>
          </w:p>
        </w:tc>
        <w:tc>
          <w:tcPr>
            <w:tcW w:w="811"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 </w:t>
            </w:r>
          </w:p>
        </w:tc>
        <w:tc>
          <w:tcPr>
            <w:tcW w:w="675"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p>
        </w:tc>
      </w:tr>
      <w:tr>
        <w:tblPrEx>
          <w:tblCellMar>
            <w:top w:w="0" w:type="dxa"/>
            <w:left w:w="0" w:type="dxa"/>
            <w:bottom w:w="0" w:type="dxa"/>
            <w:right w:w="0" w:type="dxa"/>
          </w:tblCellMar>
        </w:tblPrEx>
        <w:trPr>
          <w:trHeight w:val="20"/>
          <w:jc w:val="center"/>
        </w:trPr>
        <w:tc>
          <w:tcPr>
            <w:tcW w:w="4455"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SISTEMA INTEGRADO DE COMERCIO EXTERIOR (SICEX)</w:t>
            </w:r>
          </w:p>
        </w:tc>
        <w:tc>
          <w:tcPr>
            <w:tcW w:w="978"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0</w:t>
            </w:r>
          </w:p>
        </w:tc>
        <w:tc>
          <w:tcPr>
            <w:tcW w:w="860"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0</w:t>
            </w:r>
          </w:p>
        </w:tc>
        <w:tc>
          <w:tcPr>
            <w:tcW w:w="488"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 </w:t>
            </w:r>
          </w:p>
        </w:tc>
        <w:tc>
          <w:tcPr>
            <w:tcW w:w="811"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 </w:t>
            </w:r>
          </w:p>
        </w:tc>
        <w:tc>
          <w:tcPr>
            <w:tcW w:w="675"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p>
        </w:tc>
      </w:tr>
      <w:tr>
        <w:tblPrEx>
          <w:tblCellMar>
            <w:top w:w="0" w:type="dxa"/>
            <w:left w:w="0" w:type="dxa"/>
            <w:bottom w:w="0" w:type="dxa"/>
            <w:right w:w="0" w:type="dxa"/>
          </w:tblCellMar>
        </w:tblPrEx>
        <w:trPr>
          <w:trHeight w:val="20"/>
          <w:jc w:val="center"/>
        </w:trPr>
        <w:tc>
          <w:tcPr>
            <w:tcW w:w="4455"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PROGRAMA DE MODERNIZACIÓN SECTOR PÚBLICO</w:t>
            </w:r>
          </w:p>
        </w:tc>
        <w:tc>
          <w:tcPr>
            <w:tcW w:w="978"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0</w:t>
            </w:r>
          </w:p>
        </w:tc>
        <w:tc>
          <w:tcPr>
            <w:tcW w:w="860"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0</w:t>
            </w:r>
          </w:p>
        </w:tc>
        <w:tc>
          <w:tcPr>
            <w:tcW w:w="488"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 </w:t>
            </w:r>
          </w:p>
        </w:tc>
        <w:tc>
          <w:tcPr>
            <w:tcW w:w="811"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 </w:t>
            </w:r>
          </w:p>
        </w:tc>
        <w:tc>
          <w:tcPr>
            <w:tcW w:w="675"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p>
        </w:tc>
      </w:tr>
      <w:tr>
        <w:tblPrEx>
          <w:tblCellMar>
            <w:top w:w="0" w:type="dxa"/>
            <w:left w:w="0" w:type="dxa"/>
            <w:bottom w:w="0" w:type="dxa"/>
            <w:right w:w="0" w:type="dxa"/>
          </w:tblCellMar>
        </w:tblPrEx>
        <w:trPr>
          <w:trHeight w:val="20"/>
          <w:jc w:val="center"/>
        </w:trPr>
        <w:tc>
          <w:tcPr>
            <w:tcW w:w="4455"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DIRECCIÓN DE PRESUPUESTOS</w:t>
            </w:r>
          </w:p>
        </w:tc>
        <w:tc>
          <w:tcPr>
            <w:tcW w:w="978"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369</w:t>
            </w:r>
          </w:p>
        </w:tc>
        <w:tc>
          <w:tcPr>
            <w:tcW w:w="860"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369</w:t>
            </w:r>
          </w:p>
        </w:tc>
        <w:tc>
          <w:tcPr>
            <w:tcW w:w="488"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 </w:t>
            </w:r>
          </w:p>
        </w:tc>
        <w:tc>
          <w:tcPr>
            <w:tcW w:w="811"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 </w:t>
            </w:r>
          </w:p>
        </w:tc>
        <w:tc>
          <w:tcPr>
            <w:tcW w:w="675"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p>
        </w:tc>
      </w:tr>
      <w:tr>
        <w:tblPrEx>
          <w:tblCellMar>
            <w:top w:w="0" w:type="dxa"/>
            <w:left w:w="0" w:type="dxa"/>
            <w:bottom w:w="0" w:type="dxa"/>
            <w:right w:w="0" w:type="dxa"/>
          </w:tblCellMar>
        </w:tblPrEx>
        <w:trPr>
          <w:trHeight w:val="20"/>
          <w:jc w:val="center"/>
        </w:trPr>
        <w:tc>
          <w:tcPr>
            <w:tcW w:w="4455"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SERVICIO DE IMPUESTOS INTERNOS</w:t>
            </w:r>
          </w:p>
        </w:tc>
        <w:tc>
          <w:tcPr>
            <w:tcW w:w="978"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5.055</w:t>
            </w:r>
          </w:p>
        </w:tc>
        <w:tc>
          <w:tcPr>
            <w:tcW w:w="860"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5.055</w:t>
            </w:r>
          </w:p>
        </w:tc>
        <w:tc>
          <w:tcPr>
            <w:tcW w:w="488"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 </w:t>
            </w:r>
          </w:p>
        </w:tc>
        <w:tc>
          <w:tcPr>
            <w:tcW w:w="811"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 </w:t>
            </w:r>
          </w:p>
        </w:tc>
        <w:tc>
          <w:tcPr>
            <w:tcW w:w="675"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p>
        </w:tc>
      </w:tr>
      <w:tr>
        <w:tblPrEx>
          <w:tblCellMar>
            <w:top w:w="0" w:type="dxa"/>
            <w:left w:w="0" w:type="dxa"/>
            <w:bottom w:w="0" w:type="dxa"/>
            <w:right w:w="0" w:type="dxa"/>
          </w:tblCellMar>
        </w:tblPrEx>
        <w:trPr>
          <w:trHeight w:val="20"/>
          <w:jc w:val="center"/>
        </w:trPr>
        <w:tc>
          <w:tcPr>
            <w:tcW w:w="4455"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SERVICIO NACIONAL DE ADUANAS</w:t>
            </w:r>
          </w:p>
        </w:tc>
        <w:tc>
          <w:tcPr>
            <w:tcW w:w="978"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2.092</w:t>
            </w:r>
          </w:p>
        </w:tc>
        <w:tc>
          <w:tcPr>
            <w:tcW w:w="860"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2.182</w:t>
            </w:r>
          </w:p>
        </w:tc>
        <w:tc>
          <w:tcPr>
            <w:tcW w:w="488"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40</w:t>
            </w:r>
          </w:p>
        </w:tc>
        <w:tc>
          <w:tcPr>
            <w:tcW w:w="811"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50</w:t>
            </w:r>
          </w:p>
        </w:tc>
        <w:tc>
          <w:tcPr>
            <w:tcW w:w="675"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90</w:t>
            </w:r>
          </w:p>
        </w:tc>
      </w:tr>
      <w:tr>
        <w:tblPrEx>
          <w:tblCellMar>
            <w:top w:w="0" w:type="dxa"/>
            <w:left w:w="0" w:type="dxa"/>
            <w:bottom w:w="0" w:type="dxa"/>
            <w:right w:w="0" w:type="dxa"/>
          </w:tblCellMar>
        </w:tblPrEx>
        <w:trPr>
          <w:trHeight w:val="20"/>
          <w:jc w:val="center"/>
        </w:trPr>
        <w:tc>
          <w:tcPr>
            <w:tcW w:w="4455"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SERVICIO DE TESORERÍAS</w:t>
            </w:r>
          </w:p>
        </w:tc>
        <w:tc>
          <w:tcPr>
            <w:tcW w:w="978"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1.952</w:t>
            </w:r>
          </w:p>
        </w:tc>
        <w:tc>
          <w:tcPr>
            <w:tcW w:w="860"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1.997</w:t>
            </w:r>
          </w:p>
        </w:tc>
        <w:tc>
          <w:tcPr>
            <w:tcW w:w="488"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p>
        </w:tc>
        <w:tc>
          <w:tcPr>
            <w:tcW w:w="811"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45</w:t>
            </w:r>
          </w:p>
        </w:tc>
        <w:tc>
          <w:tcPr>
            <w:tcW w:w="675"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45</w:t>
            </w:r>
          </w:p>
        </w:tc>
      </w:tr>
      <w:tr>
        <w:tblPrEx>
          <w:tblCellMar>
            <w:top w:w="0" w:type="dxa"/>
            <w:left w:w="0" w:type="dxa"/>
            <w:bottom w:w="0" w:type="dxa"/>
            <w:right w:w="0" w:type="dxa"/>
          </w:tblCellMar>
        </w:tblPrEx>
        <w:trPr>
          <w:trHeight w:val="20"/>
          <w:jc w:val="center"/>
        </w:trPr>
        <w:tc>
          <w:tcPr>
            <w:tcW w:w="4455"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DIRECCIÓN DE COMPRAS Y CONTRATACIONES PÚBLICAS</w:t>
            </w:r>
          </w:p>
        </w:tc>
        <w:tc>
          <w:tcPr>
            <w:tcW w:w="978"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127</w:t>
            </w:r>
          </w:p>
        </w:tc>
        <w:tc>
          <w:tcPr>
            <w:tcW w:w="860"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129</w:t>
            </w:r>
          </w:p>
        </w:tc>
        <w:tc>
          <w:tcPr>
            <w:tcW w:w="488"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 </w:t>
            </w:r>
          </w:p>
        </w:tc>
        <w:tc>
          <w:tcPr>
            <w:tcW w:w="811"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 2</w:t>
            </w:r>
          </w:p>
        </w:tc>
        <w:tc>
          <w:tcPr>
            <w:tcW w:w="675"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2</w:t>
            </w:r>
          </w:p>
        </w:tc>
      </w:tr>
      <w:tr>
        <w:tblPrEx>
          <w:tblCellMar>
            <w:top w:w="0" w:type="dxa"/>
            <w:left w:w="0" w:type="dxa"/>
            <w:bottom w:w="0" w:type="dxa"/>
            <w:right w:w="0" w:type="dxa"/>
          </w:tblCellMar>
        </w:tblPrEx>
        <w:trPr>
          <w:trHeight w:val="20"/>
          <w:jc w:val="center"/>
        </w:trPr>
        <w:tc>
          <w:tcPr>
            <w:tcW w:w="4455"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SUPERINTENDENCIA DE VALORES Y SEGUROS</w:t>
            </w:r>
          </w:p>
        </w:tc>
        <w:tc>
          <w:tcPr>
            <w:tcW w:w="978"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341</w:t>
            </w:r>
          </w:p>
        </w:tc>
        <w:tc>
          <w:tcPr>
            <w:tcW w:w="860"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345</w:t>
            </w:r>
          </w:p>
        </w:tc>
        <w:tc>
          <w:tcPr>
            <w:tcW w:w="488"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4</w:t>
            </w:r>
          </w:p>
        </w:tc>
        <w:tc>
          <w:tcPr>
            <w:tcW w:w="811"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 </w:t>
            </w:r>
          </w:p>
        </w:tc>
        <w:tc>
          <w:tcPr>
            <w:tcW w:w="675"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4</w:t>
            </w:r>
          </w:p>
        </w:tc>
      </w:tr>
      <w:tr>
        <w:tblPrEx>
          <w:tblCellMar>
            <w:top w:w="0" w:type="dxa"/>
            <w:left w:w="0" w:type="dxa"/>
            <w:bottom w:w="0" w:type="dxa"/>
            <w:right w:w="0" w:type="dxa"/>
          </w:tblCellMar>
        </w:tblPrEx>
        <w:trPr>
          <w:trHeight w:val="20"/>
          <w:jc w:val="center"/>
        </w:trPr>
        <w:tc>
          <w:tcPr>
            <w:tcW w:w="4455"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SUPERINTENDENCIA DE BANCOS E INSTITUCIONES FINANCIERAS</w:t>
            </w:r>
          </w:p>
        </w:tc>
        <w:tc>
          <w:tcPr>
            <w:tcW w:w="978"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257</w:t>
            </w:r>
          </w:p>
        </w:tc>
        <w:tc>
          <w:tcPr>
            <w:tcW w:w="860"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265</w:t>
            </w:r>
          </w:p>
        </w:tc>
        <w:tc>
          <w:tcPr>
            <w:tcW w:w="488"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8</w:t>
            </w:r>
          </w:p>
        </w:tc>
        <w:tc>
          <w:tcPr>
            <w:tcW w:w="811"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 </w:t>
            </w:r>
          </w:p>
        </w:tc>
        <w:tc>
          <w:tcPr>
            <w:tcW w:w="675"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4</w:t>
            </w:r>
          </w:p>
        </w:tc>
      </w:tr>
      <w:tr>
        <w:tblPrEx>
          <w:tblCellMar>
            <w:top w:w="0" w:type="dxa"/>
            <w:left w:w="0" w:type="dxa"/>
            <w:bottom w:w="0" w:type="dxa"/>
            <w:right w:w="0" w:type="dxa"/>
          </w:tblCellMar>
        </w:tblPrEx>
        <w:trPr>
          <w:trHeight w:val="20"/>
          <w:jc w:val="center"/>
        </w:trPr>
        <w:tc>
          <w:tcPr>
            <w:tcW w:w="4455"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DIRECCIÓN NACIONAL DEL SERVICIO CIVIL</w:t>
            </w:r>
          </w:p>
        </w:tc>
        <w:tc>
          <w:tcPr>
            <w:tcW w:w="978"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136</w:t>
            </w:r>
          </w:p>
        </w:tc>
        <w:tc>
          <w:tcPr>
            <w:tcW w:w="860"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148</w:t>
            </w:r>
          </w:p>
        </w:tc>
        <w:tc>
          <w:tcPr>
            <w:tcW w:w="488"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12</w:t>
            </w:r>
          </w:p>
        </w:tc>
        <w:tc>
          <w:tcPr>
            <w:tcW w:w="811"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 </w:t>
            </w:r>
          </w:p>
        </w:tc>
        <w:tc>
          <w:tcPr>
            <w:tcW w:w="675"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12</w:t>
            </w:r>
          </w:p>
        </w:tc>
      </w:tr>
      <w:tr>
        <w:tblPrEx>
          <w:tblCellMar>
            <w:top w:w="0" w:type="dxa"/>
            <w:left w:w="0" w:type="dxa"/>
            <w:bottom w:w="0" w:type="dxa"/>
            <w:right w:w="0" w:type="dxa"/>
          </w:tblCellMar>
        </w:tblPrEx>
        <w:trPr>
          <w:trHeight w:val="20"/>
          <w:jc w:val="center"/>
        </w:trPr>
        <w:tc>
          <w:tcPr>
            <w:tcW w:w="4455"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UNIDAD DE ANÁLISIS FINANCIERO</w:t>
            </w:r>
          </w:p>
        </w:tc>
        <w:tc>
          <w:tcPr>
            <w:tcW w:w="978"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60</w:t>
            </w:r>
          </w:p>
        </w:tc>
        <w:tc>
          <w:tcPr>
            <w:tcW w:w="860"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67</w:t>
            </w:r>
          </w:p>
        </w:tc>
        <w:tc>
          <w:tcPr>
            <w:tcW w:w="488"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7</w:t>
            </w:r>
          </w:p>
        </w:tc>
        <w:tc>
          <w:tcPr>
            <w:tcW w:w="811"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 </w:t>
            </w:r>
          </w:p>
        </w:tc>
        <w:tc>
          <w:tcPr>
            <w:tcW w:w="675"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7</w:t>
            </w:r>
          </w:p>
        </w:tc>
      </w:tr>
      <w:tr>
        <w:tblPrEx>
          <w:tblCellMar>
            <w:top w:w="0" w:type="dxa"/>
            <w:left w:w="0" w:type="dxa"/>
            <w:bottom w:w="0" w:type="dxa"/>
            <w:right w:w="0" w:type="dxa"/>
          </w:tblCellMar>
        </w:tblPrEx>
        <w:trPr>
          <w:trHeight w:val="20"/>
          <w:jc w:val="center"/>
        </w:trPr>
        <w:tc>
          <w:tcPr>
            <w:tcW w:w="4455"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SUPERINTENDENCIA DE CASINOS DE JUEGO</w:t>
            </w:r>
          </w:p>
        </w:tc>
        <w:tc>
          <w:tcPr>
            <w:tcW w:w="978"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59</w:t>
            </w:r>
          </w:p>
        </w:tc>
        <w:tc>
          <w:tcPr>
            <w:tcW w:w="860"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59</w:t>
            </w:r>
          </w:p>
        </w:tc>
        <w:tc>
          <w:tcPr>
            <w:tcW w:w="488"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 </w:t>
            </w:r>
          </w:p>
        </w:tc>
        <w:tc>
          <w:tcPr>
            <w:tcW w:w="811"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 </w:t>
            </w:r>
          </w:p>
        </w:tc>
        <w:tc>
          <w:tcPr>
            <w:tcW w:w="675"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p>
        </w:tc>
      </w:tr>
      <w:tr>
        <w:tblPrEx>
          <w:tblCellMar>
            <w:top w:w="0" w:type="dxa"/>
            <w:left w:w="0" w:type="dxa"/>
            <w:bottom w:w="0" w:type="dxa"/>
            <w:right w:w="0" w:type="dxa"/>
          </w:tblCellMar>
        </w:tblPrEx>
        <w:trPr>
          <w:trHeight w:val="20"/>
          <w:jc w:val="center"/>
        </w:trPr>
        <w:tc>
          <w:tcPr>
            <w:tcW w:w="4455"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CONSEJO DE DEFENSA DEL ESTADO</w:t>
            </w:r>
          </w:p>
        </w:tc>
        <w:tc>
          <w:tcPr>
            <w:tcW w:w="978"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573</w:t>
            </w:r>
          </w:p>
        </w:tc>
        <w:tc>
          <w:tcPr>
            <w:tcW w:w="860"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573</w:t>
            </w:r>
          </w:p>
        </w:tc>
        <w:tc>
          <w:tcPr>
            <w:tcW w:w="488"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 </w:t>
            </w:r>
          </w:p>
        </w:tc>
        <w:tc>
          <w:tcPr>
            <w:tcW w:w="811"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 w:val="0"/>
                <w:sz w:val="18"/>
                <w:szCs w:val="18"/>
                <w:lang w:val="es-ES_tradnl" w:eastAsia="es-ES"/>
              </w:rPr>
              <w:t> </w:t>
            </w:r>
          </w:p>
        </w:tc>
        <w:tc>
          <w:tcPr>
            <w:tcW w:w="675" w:type="dxa"/>
            <w:tcBorders>
              <w:top w:val="single" w:sz="8" w:space="0" w:color="000000"/>
              <w:left w:val="single" w:sz="8" w:space="0" w:color="000000"/>
              <w:bottom w:val="single" w:sz="8" w:space="0" w:color="000000"/>
              <w:right w:val="single" w:sz="8" w:space="0" w:color="000000"/>
            </w:tcBorders>
            <w:shd w:val="clear" w:color="auto" w:fill="E9EDF4"/>
            <w:tcMar>
              <w:top w:w="80" w:type="dxa"/>
              <w:left w:w="80" w:type="dxa"/>
              <w:bottom w:w="80" w:type="dxa"/>
              <w:right w:w="80" w:type="dxa"/>
            </w:tcMar>
            <w:vAlign w:val="center"/>
          </w:tcPr>
          <w:p>
            <w:pPr>
              <w:rPr>
                <w:rFonts w:eastAsia="Times New Roman"/>
                <w:b w:val="0"/>
                <w:sz w:val="18"/>
                <w:szCs w:val="18"/>
                <w:lang w:val="es-ES_tradnl" w:eastAsia="es-ES"/>
              </w:rPr>
            </w:pPr>
          </w:p>
        </w:tc>
      </w:tr>
      <w:tr>
        <w:tblPrEx>
          <w:tblCellMar>
            <w:top w:w="0" w:type="dxa"/>
            <w:left w:w="0" w:type="dxa"/>
            <w:bottom w:w="0" w:type="dxa"/>
            <w:right w:w="0" w:type="dxa"/>
          </w:tblCellMar>
        </w:tblPrEx>
        <w:trPr>
          <w:trHeight w:val="20"/>
          <w:jc w:val="center"/>
        </w:trPr>
        <w:tc>
          <w:tcPr>
            <w:tcW w:w="4455" w:type="dxa"/>
            <w:tcBorders>
              <w:top w:val="single" w:sz="8" w:space="0" w:color="000000"/>
              <w:left w:val="single" w:sz="8" w:space="0" w:color="000000"/>
              <w:bottom w:val="single" w:sz="8" w:space="0" w:color="000000"/>
              <w:right w:val="single" w:sz="8" w:space="0" w:color="000000"/>
            </w:tcBorders>
            <w:shd w:val="clear" w:color="auto" w:fill="B9CDE5"/>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Cs/>
                <w:sz w:val="18"/>
                <w:szCs w:val="18"/>
                <w:lang w:val="es-ES_tradnl" w:eastAsia="es-ES"/>
              </w:rPr>
              <w:t>TOTAL</w:t>
            </w:r>
          </w:p>
        </w:tc>
        <w:tc>
          <w:tcPr>
            <w:tcW w:w="978" w:type="dxa"/>
            <w:tcBorders>
              <w:top w:val="single" w:sz="8" w:space="0" w:color="000000"/>
              <w:left w:val="single" w:sz="8" w:space="0" w:color="000000"/>
              <w:bottom w:val="single" w:sz="8" w:space="0" w:color="000000"/>
              <w:right w:val="single" w:sz="8" w:space="0" w:color="000000"/>
            </w:tcBorders>
            <w:shd w:val="clear" w:color="auto" w:fill="B9CDE5"/>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Cs/>
                <w:sz w:val="18"/>
                <w:szCs w:val="18"/>
                <w:lang w:val="es-ES_tradnl" w:eastAsia="es-ES"/>
              </w:rPr>
              <w:t>11.246</w:t>
            </w:r>
          </w:p>
        </w:tc>
        <w:tc>
          <w:tcPr>
            <w:tcW w:w="860" w:type="dxa"/>
            <w:tcBorders>
              <w:top w:val="single" w:sz="8" w:space="0" w:color="000000"/>
              <w:left w:val="single" w:sz="8" w:space="0" w:color="000000"/>
              <w:bottom w:val="single" w:sz="8" w:space="0" w:color="000000"/>
              <w:right w:val="single" w:sz="8" w:space="0" w:color="000000"/>
            </w:tcBorders>
            <w:shd w:val="clear" w:color="auto" w:fill="B9CDE5"/>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Cs/>
                <w:sz w:val="18"/>
                <w:szCs w:val="18"/>
                <w:lang w:val="es-ES_tradnl" w:eastAsia="es-ES"/>
              </w:rPr>
              <w:t>11.414</w:t>
            </w:r>
          </w:p>
        </w:tc>
        <w:tc>
          <w:tcPr>
            <w:tcW w:w="488" w:type="dxa"/>
            <w:tcBorders>
              <w:top w:val="single" w:sz="8" w:space="0" w:color="000000"/>
              <w:left w:val="single" w:sz="8" w:space="0" w:color="000000"/>
              <w:bottom w:val="single" w:sz="8" w:space="0" w:color="000000"/>
              <w:right w:val="single" w:sz="8" w:space="0" w:color="000000"/>
            </w:tcBorders>
            <w:shd w:val="clear" w:color="auto" w:fill="B9CDE5"/>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Cs/>
                <w:sz w:val="18"/>
                <w:szCs w:val="18"/>
                <w:lang w:val="es-ES_tradnl" w:eastAsia="es-ES"/>
              </w:rPr>
              <w:t>71</w:t>
            </w:r>
          </w:p>
        </w:tc>
        <w:tc>
          <w:tcPr>
            <w:tcW w:w="811" w:type="dxa"/>
            <w:tcBorders>
              <w:top w:val="single" w:sz="8" w:space="0" w:color="000000"/>
              <w:left w:val="single" w:sz="8" w:space="0" w:color="000000"/>
              <w:bottom w:val="single" w:sz="8" w:space="0" w:color="000000"/>
              <w:right w:val="single" w:sz="8" w:space="0" w:color="000000"/>
            </w:tcBorders>
            <w:shd w:val="clear" w:color="auto" w:fill="B9CDE5"/>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Cs/>
                <w:sz w:val="18"/>
                <w:szCs w:val="18"/>
                <w:lang w:val="es-ES_tradnl" w:eastAsia="es-ES"/>
              </w:rPr>
              <w:t>97</w:t>
            </w:r>
          </w:p>
        </w:tc>
        <w:tc>
          <w:tcPr>
            <w:tcW w:w="675" w:type="dxa"/>
            <w:tcBorders>
              <w:top w:val="single" w:sz="8" w:space="0" w:color="000000"/>
              <w:left w:val="single" w:sz="8" w:space="0" w:color="000000"/>
              <w:bottom w:val="single" w:sz="8" w:space="0" w:color="000000"/>
              <w:right w:val="single" w:sz="8" w:space="0" w:color="000000"/>
            </w:tcBorders>
            <w:shd w:val="clear" w:color="auto" w:fill="B9CDE5"/>
            <w:tcMar>
              <w:top w:w="80" w:type="dxa"/>
              <w:left w:w="80" w:type="dxa"/>
              <w:bottom w:w="80" w:type="dxa"/>
              <w:right w:w="80" w:type="dxa"/>
            </w:tcMar>
            <w:vAlign w:val="center"/>
          </w:tcPr>
          <w:p>
            <w:pPr>
              <w:rPr>
                <w:rFonts w:eastAsia="Times New Roman"/>
                <w:b w:val="0"/>
                <w:sz w:val="18"/>
                <w:szCs w:val="18"/>
                <w:lang w:val="es-ES_tradnl" w:eastAsia="es-ES"/>
              </w:rPr>
            </w:pPr>
            <w:r>
              <w:rPr>
                <w:rFonts w:eastAsia="Times New Roman"/>
                <w:bCs/>
                <w:sz w:val="18"/>
                <w:szCs w:val="18"/>
                <w:lang w:val="es-ES_tradnl" w:eastAsia="es-ES"/>
              </w:rPr>
              <w:t>168</w:t>
            </w:r>
          </w:p>
        </w:tc>
      </w:tr>
    </w:tbl>
    <w:p>
      <w:pPr>
        <w:rPr>
          <w:rFonts w:eastAsia="Times New Roman"/>
          <w:bCs/>
          <w:lang w:val="es-ES_tradnl" w:eastAsia="es-ES"/>
        </w:rPr>
      </w:pPr>
    </w:p>
    <w:p>
      <w:pPr>
        <w:rPr>
          <w:rFonts w:eastAsia="Times New Roman"/>
          <w:bCs/>
          <w:lang w:val="es-ES_tradnl" w:eastAsia="es-ES"/>
        </w:rPr>
      </w:pPr>
    </w:p>
    <w:p>
      <w:pPr>
        <w:rPr>
          <w:rFonts w:eastAsia="Times New Roman"/>
          <w:bCs/>
          <w:lang w:val="es-ES_tradnl" w:eastAsia="es-ES"/>
        </w:rPr>
      </w:pPr>
      <w:r>
        <w:rPr>
          <w:rFonts w:eastAsia="Times New Roman"/>
          <w:bCs/>
          <w:lang w:val="es-ES_tradnl" w:eastAsia="es-ES"/>
        </w:rPr>
        <w:tab/>
        <w:t>Con posterioridad a la exposición del señor Subsecretario de Hacienda, los señores Parlamentarios miembros de la Subcomisión, formularon las siguientes observaciones:</w:t>
      </w:r>
    </w:p>
    <w:p>
      <w:pPr>
        <w:rPr>
          <w:rFonts w:eastAsia="Times New Roman"/>
          <w:bCs/>
          <w:lang w:val="es-ES_tradnl" w:eastAsia="es-ES"/>
        </w:rPr>
      </w:pPr>
    </w:p>
    <w:p>
      <w:pPr>
        <w:rPr>
          <w:rFonts w:eastAsia="Times New Roman"/>
          <w:b w:val="0"/>
          <w:lang w:val="es-ES_tradnl" w:eastAsia="es-ES"/>
        </w:rPr>
      </w:pPr>
      <w:r>
        <w:rPr>
          <w:rFonts w:eastAsia="Times New Roman"/>
          <w:b w:val="0"/>
          <w:lang w:val="es-ES_tradnl" w:eastAsia="es-ES"/>
        </w:rPr>
        <w:tab/>
      </w:r>
      <w:r>
        <w:rPr>
          <w:rFonts w:eastAsia="Times New Roman"/>
          <w:bCs/>
          <w:lang w:val="es-ES_tradnl" w:eastAsia="es-ES"/>
        </w:rPr>
        <w:t>El Honorable Diputado señor Silva</w:t>
      </w:r>
      <w:r>
        <w:rPr>
          <w:rFonts w:eastAsia="Times New Roman"/>
          <w:b w:val="0"/>
          <w:lang w:val="es-ES_tradnl" w:eastAsia="es-ES"/>
        </w:rPr>
        <w:t>, señaló que durante la discusión de la Ley de Perfeccionamiento del sistema de Alta Dirección Pública se analizó un nuevo mecanismo de selección para los jefes de programas, por lo que solicitó informar acerca de qué modo ello está recogido en la proyecto de Ley de Presupuestos.</w:t>
      </w:r>
    </w:p>
    <w:p>
      <w:pPr>
        <w:rPr>
          <w:rFonts w:eastAsia="Times New Roman"/>
          <w:b w:val="0"/>
          <w:lang w:val="es-ES_tradnl" w:eastAsia="es-ES"/>
        </w:rPr>
      </w:pPr>
    </w:p>
    <w:p>
      <w:pPr>
        <w:rPr>
          <w:rFonts w:eastAsia="Times New Roman"/>
          <w:b w:val="0"/>
          <w:lang w:val="es-ES_tradnl" w:eastAsia="es-ES"/>
        </w:rPr>
      </w:pPr>
      <w:r>
        <w:rPr>
          <w:rFonts w:eastAsia="Times New Roman"/>
          <w:b w:val="0"/>
          <w:lang w:val="es-ES_tradnl" w:eastAsia="es-ES"/>
        </w:rPr>
        <w:tab/>
      </w:r>
      <w:r>
        <w:rPr>
          <w:rFonts w:eastAsia="Times New Roman"/>
          <w:bCs/>
          <w:lang w:val="es-ES_tradnl" w:eastAsia="es-ES"/>
        </w:rPr>
        <w:t>El Presidente de la Subcomisión, Honorable Diputado señor De Mussy</w:t>
      </w:r>
      <w:r>
        <w:rPr>
          <w:rFonts w:eastAsia="Times New Roman"/>
          <w:b w:val="0"/>
          <w:lang w:val="es-ES_tradnl" w:eastAsia="es-ES"/>
        </w:rPr>
        <w:t>, solicitó un informe que dé cuenta de los cupos que se contemplan para la implementación de la Reforma Tributaria, indicando sus respectivos costos involucrados.</w:t>
      </w:r>
    </w:p>
    <w:p>
      <w:pPr>
        <w:rPr>
          <w:b w:val="0"/>
          <w:lang w:val="es-ES_tradnl"/>
        </w:rPr>
      </w:pPr>
    </w:p>
    <w:p>
      <w:pPr>
        <w:rPr>
          <w:rFonts w:eastAsia="Times New Roman"/>
          <w:b w:val="0"/>
          <w:lang w:eastAsia="es-ES"/>
        </w:rPr>
      </w:pPr>
    </w:p>
    <w:p>
      <w:pPr>
        <w:rPr>
          <w:rFonts w:eastAsia="Times New Roman"/>
          <w:b w:val="0"/>
          <w:lang w:eastAsia="es-ES"/>
        </w:rPr>
      </w:pPr>
      <w:r>
        <w:rPr>
          <w:rFonts w:eastAsia="Times New Roman"/>
          <w:b w:val="0"/>
          <w:lang w:eastAsia="es-ES"/>
        </w:rPr>
        <w:tab/>
      </w:r>
      <w:r>
        <w:rPr>
          <w:rFonts w:eastAsia="Times New Roman"/>
          <w:lang w:eastAsia="es-ES"/>
        </w:rPr>
        <w:t>El Subsecretario de Hacienda, señor Alejandro Micco</w:t>
      </w:r>
      <w:r>
        <w:rPr>
          <w:rFonts w:eastAsia="Times New Roman"/>
          <w:b w:val="0"/>
          <w:lang w:eastAsia="es-ES"/>
        </w:rPr>
        <w:t>, respecto de la primera consulta señaló que ella será respondida en la presentación que realice el Director del Servicio Civil, señor Rodrigo Egaña, y respecto de la segunda, señaló que la información solicitada será entregada en el curso de la tarde.</w:t>
      </w:r>
    </w:p>
    <w:p>
      <w:pPr>
        <w:rPr>
          <w:rFonts w:eastAsia="Times New Roman"/>
          <w:b w:val="0"/>
          <w:lang w:eastAsia="es-ES"/>
        </w:rPr>
      </w:pPr>
    </w:p>
    <w:p>
      <w:pPr>
        <w:rPr>
          <w:rFonts w:eastAsia="Times New Roman"/>
          <w:b w:val="0"/>
          <w:lang w:eastAsia="es-ES"/>
        </w:rPr>
      </w:pPr>
    </w:p>
    <w:p>
      <w:pPr>
        <w:jc w:val="center"/>
      </w:pPr>
      <w:r>
        <w:t>CAPÍTULO 01</w:t>
      </w:r>
    </w:p>
    <w:p>
      <w:pPr>
        <w:jc w:val="center"/>
      </w:pPr>
    </w:p>
    <w:p>
      <w:pPr>
        <w:jc w:val="center"/>
      </w:pPr>
      <w:r>
        <w:t>Programa 01</w:t>
      </w:r>
    </w:p>
    <w:p>
      <w:pPr>
        <w:jc w:val="center"/>
      </w:pPr>
      <w:r>
        <w:t>Secretaría y Administración General</w:t>
      </w:r>
    </w:p>
    <w:p>
      <w:pPr>
        <w:rPr>
          <w:b w:val="0"/>
        </w:rPr>
      </w:pPr>
    </w:p>
    <w:p>
      <w:r>
        <w:tab/>
        <w:t>Considera ingresos y gastos por $ 10.585.094 miles.</w:t>
      </w:r>
    </w:p>
    <w:p>
      <w:pPr>
        <w:rPr>
          <w:b w:val="0"/>
        </w:rPr>
      </w:pPr>
    </w:p>
    <w:p>
      <w:pPr>
        <w:rPr>
          <w:b w:val="0"/>
        </w:rPr>
      </w:pPr>
      <w:r>
        <w:rPr>
          <w:b w:val="0"/>
        </w:rPr>
        <w:tab/>
        <w:t xml:space="preserve">El presupuesto de la Secretaría y Administración General registra una variación de sus ingresos de $ 12.613.152 a </w:t>
      </w:r>
      <w:r>
        <w:rPr>
          <w:b w:val="0"/>
        </w:rPr>
        <w:br/>
        <w:t>$ 10.585.094 miles, es decir, de un -16,1%, respecto del año anterior.</w:t>
      </w:r>
    </w:p>
    <w:p>
      <w:pPr>
        <w:rPr>
          <w:b w:val="0"/>
        </w:rPr>
      </w:pPr>
    </w:p>
    <w:p>
      <w:pPr>
        <w:rPr>
          <w:rFonts w:eastAsia="Arial Unicode MS" w:cs="Arial Unicode MS"/>
          <w:b w:val="0"/>
          <w:color w:val="000000"/>
          <w:u w:color="000000"/>
          <w:bdr w:val="nil"/>
          <w:lang w:val="es-ES_tradnl" w:eastAsia="es-CL"/>
        </w:rPr>
      </w:pPr>
      <w:r>
        <w:rPr>
          <w:b w:val="0"/>
        </w:rPr>
        <w:tab/>
      </w:r>
      <w:r>
        <w:tab/>
      </w:r>
      <w:r>
        <w:rPr>
          <w:rFonts w:eastAsia="Arial Unicode MS" w:cs="Arial Unicode MS"/>
          <w:b w:val="0"/>
          <w:color w:val="000000"/>
          <w:u w:color="000000"/>
          <w:bdr w:val="nil"/>
          <w:lang w:val="es-ES_tradnl" w:eastAsia="es-CL"/>
        </w:rPr>
        <w:t xml:space="preserve">En este punto, el </w:t>
      </w:r>
      <w:r>
        <w:rPr>
          <w:rFonts w:eastAsia="Arial Unicode MS" w:cs="Arial Unicode MS"/>
          <w:bCs/>
          <w:color w:val="000000"/>
          <w:u w:color="000000"/>
          <w:bdr w:val="nil"/>
          <w:lang w:val="es-ES_tradnl" w:eastAsia="es-CL"/>
        </w:rPr>
        <w:t>Subsecretario de Hacienda, señor Alejandro Micco</w:t>
      </w:r>
      <w:r>
        <w:rPr>
          <w:rFonts w:eastAsia="Arial Unicode MS" w:cs="Arial Unicode MS"/>
          <w:b w:val="0"/>
          <w:color w:val="000000"/>
          <w:u w:color="000000"/>
          <w:bdr w:val="nil"/>
          <w:lang w:val="es-ES_tradnl" w:eastAsia="es-CL"/>
        </w:rPr>
        <w:t>, expresó la misión y los lineamientos estratégicos del presente Servicio a través de la lámina que a continuación se indica.</w:t>
      </w:r>
    </w:p>
    <w:p>
      <w:pP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w:b w:val="0"/>
          <w:noProof/>
          <w:color w:val="000000"/>
          <w:u w:color="000000"/>
          <w:bdr w:val="nil"/>
          <w:lang w:eastAsia="es-CL"/>
        </w:rPr>
        <w:pict>
          <v:shape id="_x0000_i1027" type="#_x0000_t75" style="width:413.15pt;height:244.8pt;visibility:visible">
            <v:imagedata r:id="rId10" o:title=""/>
          </v:shape>
        </w:pic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w:b w:val="0"/>
          <w:color w:val="000000"/>
          <w:u w:color="000000"/>
          <w:bdr w:val="nil"/>
          <w:lang w:val="es-ES_tradnl" w:eastAsia="es-CL"/>
        </w:rPr>
        <w:tab/>
        <w:t>A continuación, presentó un cuadro con cifras comparadas, por programa, entre el presupuesto del año 2016 y el del año 2017:</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jc w:val="center"/>
        <w:rPr>
          <w:rFonts w:eastAsia="Arial"/>
          <w:bCs/>
          <w:color w:val="000000"/>
          <w:u w:color="000000"/>
          <w:bdr w:val="nil"/>
          <w:lang w:val="es-ES_tradnl" w:eastAsia="es-CL"/>
        </w:rPr>
      </w:pPr>
      <w:r>
        <w:rPr>
          <w:rFonts w:eastAsia="Arial"/>
          <w:bCs/>
          <w:color w:val="000000"/>
          <w:u w:color="000000"/>
          <w:bdr w:val="nil"/>
          <w:lang w:val="es-ES_tradnl" w:eastAsia="es-CL"/>
        </w:rPr>
        <w:t>Capítulo 01</w:t>
      </w:r>
    </w:p>
    <w:p>
      <w:pPr>
        <w:pBdr>
          <w:top w:val="nil"/>
          <w:left w:val="nil"/>
          <w:bottom w:val="nil"/>
          <w:right w:val="nil"/>
          <w:between w:val="nil"/>
          <w:bar w:val="nil"/>
        </w:pBdr>
        <w:jc w:val="center"/>
        <w:rPr>
          <w:rFonts w:eastAsia="Arial"/>
          <w:bCs/>
          <w:color w:val="000000"/>
          <w:u w:color="000000"/>
          <w:bdr w:val="nil"/>
          <w:lang w:val="es-ES_tradnl" w:eastAsia="es-CL"/>
        </w:rPr>
      </w:pPr>
      <w:r>
        <w:rPr>
          <w:rFonts w:eastAsia="Arial"/>
          <w:bCs/>
          <w:color w:val="000000"/>
          <w:u w:color="000000"/>
          <w:bdr w:val="nil"/>
          <w:lang w:val="es-ES_tradnl" w:eastAsia="es-CL"/>
        </w:rPr>
        <w:t>Proyecto Presupuesto 2017 – Cifras comparadas 2016/2017 por Programa</w:t>
      </w:r>
    </w:p>
    <w:tbl>
      <w:tblPr>
        <w:tblW w:w="8592" w:type="dxa"/>
        <w:jc w:val="center"/>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3854"/>
        <w:gridCol w:w="1207"/>
        <w:gridCol w:w="1221"/>
        <w:gridCol w:w="180"/>
        <w:gridCol w:w="1275"/>
        <w:gridCol w:w="855"/>
      </w:tblGrid>
      <w:tr>
        <w:tblPrEx>
          <w:tblCellMar>
            <w:top w:w="0" w:type="dxa"/>
            <w:left w:w="0" w:type="dxa"/>
            <w:bottom w:w="0" w:type="dxa"/>
            <w:right w:w="0" w:type="dxa"/>
          </w:tblCellMar>
        </w:tblPrEx>
        <w:trPr>
          <w:trHeight w:val="443"/>
          <w:jc w:val="center"/>
        </w:trPr>
        <w:tc>
          <w:tcPr>
            <w:tcW w:w="3854" w:type="dxa"/>
            <w:tcBorders>
              <w:top w:val="nil"/>
              <w:left w:val="nil"/>
              <w:bottom w:val="nil"/>
              <w:right w:val="single" w:sz="8" w:space="0" w:color="FFFFFF"/>
            </w:tcBorders>
            <w:shd w:val="clear" w:color="auto" w:fill="B9CDE5"/>
            <w:tcMar>
              <w:top w:w="80" w:type="dxa"/>
              <w:left w:w="80" w:type="dxa"/>
              <w:bottom w:w="80" w:type="dxa"/>
              <w:right w:w="80" w:type="dxa"/>
            </w:tcMar>
            <w:vAlign w:val="center"/>
          </w:tcPr>
          <w:p>
            <w:pPr>
              <w:pBdr>
                <w:top w:val="nil"/>
                <w:left w:val="nil"/>
                <w:bottom w:val="nil"/>
                <w:right w:val="nil"/>
                <w:between w:val="nil"/>
                <w:bar w:val="nil"/>
              </w:pBdr>
              <w:tabs>
                <w:tab w:val="clear" w:pos="2835"/>
              </w:tabs>
              <w:jc w:val="left"/>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CAPÍTULO 01</w:t>
            </w:r>
          </w:p>
        </w:tc>
        <w:tc>
          <w:tcPr>
            <w:tcW w:w="2428" w:type="dxa"/>
            <w:gridSpan w:val="2"/>
            <w:tcBorders>
              <w:top w:val="single" w:sz="8" w:space="0" w:color="FFFFFF"/>
              <w:left w:val="single" w:sz="8" w:space="0" w:color="FFFFFF"/>
              <w:bottom w:val="single" w:sz="8" w:space="0" w:color="FFFFFF"/>
              <w:right w:val="single" w:sz="8" w:space="0" w:color="FFFFFF"/>
            </w:tcBorders>
            <w:shd w:val="clear" w:color="auto" w:fill="B9CDE5"/>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Ley de Presupuesto</w:t>
            </w:r>
          </w:p>
        </w:tc>
        <w:tc>
          <w:tcPr>
            <w:tcW w:w="180"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 </w:t>
            </w:r>
          </w:p>
        </w:tc>
        <w:tc>
          <w:tcPr>
            <w:tcW w:w="2130" w:type="dxa"/>
            <w:gridSpan w:val="2"/>
            <w:tcBorders>
              <w:top w:val="single" w:sz="8" w:space="0" w:color="FFFFFF"/>
              <w:left w:val="single" w:sz="8" w:space="0" w:color="FFFFFF"/>
              <w:bottom w:val="single" w:sz="8" w:space="0" w:color="FFFFFF"/>
              <w:right w:val="single" w:sz="8" w:space="0" w:color="FFFFFF"/>
            </w:tcBorders>
            <w:shd w:val="clear" w:color="auto" w:fill="B9CDE5"/>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Variación</w:t>
            </w:r>
          </w:p>
        </w:tc>
      </w:tr>
      <w:tr>
        <w:tblPrEx>
          <w:tblCellMar>
            <w:top w:w="0" w:type="dxa"/>
            <w:left w:w="0" w:type="dxa"/>
            <w:bottom w:w="0" w:type="dxa"/>
            <w:right w:w="0" w:type="dxa"/>
          </w:tblCellMar>
        </w:tblPrEx>
        <w:trPr>
          <w:trHeight w:val="500"/>
          <w:jc w:val="center"/>
        </w:trPr>
        <w:tc>
          <w:tcPr>
            <w:tcW w:w="3854" w:type="dxa"/>
            <w:vMerge w:val="restart"/>
            <w:tcBorders>
              <w:top w:val="nil"/>
              <w:left w:val="nil"/>
              <w:bottom w:val="single" w:sz="8" w:space="0" w:color="FFFFFF"/>
              <w:right w:val="single" w:sz="8" w:space="0" w:color="FFFFFF"/>
            </w:tcBorders>
            <w:shd w:val="clear" w:color="auto" w:fill="B9CDE5"/>
            <w:tcMar>
              <w:top w:w="80" w:type="dxa"/>
              <w:left w:w="80" w:type="dxa"/>
              <w:bottom w:w="80" w:type="dxa"/>
              <w:right w:w="80" w:type="dxa"/>
            </w:tcMar>
            <w:vAlign w:val="center"/>
          </w:tcPr>
          <w:p>
            <w:pPr>
              <w:pBdr>
                <w:top w:val="nil"/>
                <w:left w:val="nil"/>
                <w:bottom w:val="nil"/>
                <w:right w:val="nil"/>
                <w:between w:val="nil"/>
                <w:bar w:val="nil"/>
              </w:pBdr>
              <w:tabs>
                <w:tab w:val="clear" w:pos="2835"/>
              </w:tabs>
              <w:jc w:val="left"/>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SECRETARÍA Y ADMINISTRACIÓN GENERAL DE HACIENDA</w:t>
            </w:r>
          </w:p>
        </w:tc>
        <w:tc>
          <w:tcPr>
            <w:tcW w:w="1207" w:type="dxa"/>
            <w:tcBorders>
              <w:top w:val="single" w:sz="8" w:space="0" w:color="FFFFFF"/>
              <w:left w:val="single" w:sz="8" w:space="0" w:color="FFFFFF"/>
              <w:bottom w:val="nil"/>
              <w:right w:val="single" w:sz="8" w:space="0" w:color="FFFFFF"/>
            </w:tcBorders>
            <w:shd w:val="clear" w:color="auto" w:fill="B9CDE5"/>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Año 2016</w:t>
            </w:r>
          </w:p>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ajustada</w:t>
            </w:r>
          </w:p>
        </w:tc>
        <w:tc>
          <w:tcPr>
            <w:tcW w:w="1221" w:type="dxa"/>
            <w:tcBorders>
              <w:top w:val="single" w:sz="8" w:space="0" w:color="FFFFFF"/>
              <w:left w:val="single" w:sz="8" w:space="0" w:color="FFFFFF"/>
              <w:bottom w:val="nil"/>
              <w:right w:val="single" w:sz="8" w:space="0" w:color="FFFFFF"/>
            </w:tcBorders>
            <w:shd w:val="clear" w:color="auto" w:fill="B9CDE5"/>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Año 2017</w:t>
            </w:r>
          </w:p>
        </w:tc>
        <w:tc>
          <w:tcPr>
            <w:tcW w:w="180"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pPr>
              <w:pBdr>
                <w:top w:val="nil"/>
                <w:left w:val="nil"/>
                <w:bottom w:val="nil"/>
                <w:right w:val="nil"/>
                <w:between w:val="nil"/>
                <w:bar w:val="nil"/>
              </w:pBdr>
              <w:tabs>
                <w:tab w:val="clear" w:pos="2835"/>
              </w:tabs>
              <w:jc w:val="left"/>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 </w:t>
            </w:r>
          </w:p>
        </w:tc>
        <w:tc>
          <w:tcPr>
            <w:tcW w:w="1275" w:type="dxa"/>
            <w:vMerge w:val="restart"/>
            <w:tcBorders>
              <w:top w:val="single" w:sz="8" w:space="0" w:color="FFFFFF"/>
              <w:left w:val="single" w:sz="8" w:space="0" w:color="FFFFFF"/>
              <w:bottom w:val="single" w:sz="8" w:space="0" w:color="FFFFFF"/>
              <w:right w:val="single" w:sz="8" w:space="0" w:color="FFFFFF"/>
            </w:tcBorders>
            <w:shd w:val="clear" w:color="auto" w:fill="B9CDE5"/>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M$</w:t>
            </w:r>
          </w:p>
        </w:tc>
        <w:tc>
          <w:tcPr>
            <w:tcW w:w="855" w:type="dxa"/>
            <w:vMerge w:val="restart"/>
            <w:tcBorders>
              <w:top w:val="single" w:sz="8" w:space="0" w:color="FFFFFF"/>
              <w:left w:val="single" w:sz="8" w:space="0" w:color="FFFFFF"/>
              <w:bottom w:val="single" w:sz="8" w:space="0" w:color="FFFFFF"/>
              <w:right w:val="single" w:sz="8" w:space="0" w:color="FFFFFF"/>
            </w:tcBorders>
            <w:shd w:val="clear" w:color="auto" w:fill="B9CDE5"/>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w:t>
            </w:r>
          </w:p>
        </w:tc>
      </w:tr>
      <w:tr>
        <w:tblPrEx>
          <w:tblCellMar>
            <w:top w:w="0" w:type="dxa"/>
            <w:left w:w="0" w:type="dxa"/>
            <w:bottom w:w="0" w:type="dxa"/>
            <w:right w:w="0" w:type="dxa"/>
          </w:tblCellMar>
        </w:tblPrEx>
        <w:trPr>
          <w:trHeight w:val="500"/>
          <w:jc w:val="center"/>
        </w:trPr>
        <w:tc>
          <w:tcPr>
            <w:tcW w:w="3854" w:type="dxa"/>
            <w:vMerge/>
            <w:tcBorders>
              <w:top w:val="nil"/>
              <w:left w:val="nil"/>
              <w:bottom w:val="single" w:sz="8" w:space="0" w:color="FFFFFF"/>
              <w:right w:val="single" w:sz="8" w:space="0" w:color="FFFFFF"/>
            </w:tcBorders>
            <w:shd w:val="clear" w:color="auto" w:fill="B9CDE5"/>
          </w:tcPr>
          <w:p>
            <w:pPr>
              <w:pBdr>
                <w:top w:val="nil"/>
                <w:left w:val="nil"/>
                <w:bottom w:val="nil"/>
                <w:right w:val="nil"/>
                <w:between w:val="nil"/>
                <w:bar w:val="nil"/>
              </w:pBdr>
              <w:rPr>
                <w:rFonts w:eastAsia="Arial"/>
                <w:b w:val="0"/>
                <w:color w:val="000000"/>
                <w:sz w:val="18"/>
                <w:szCs w:val="18"/>
                <w:u w:color="000000"/>
                <w:bdr w:val="nil"/>
                <w:lang w:val="es-ES_tradnl" w:eastAsia="es-CL"/>
              </w:rPr>
            </w:pPr>
          </w:p>
        </w:tc>
        <w:tc>
          <w:tcPr>
            <w:tcW w:w="1207" w:type="dxa"/>
            <w:tcBorders>
              <w:top w:val="nil"/>
              <w:left w:val="single" w:sz="8" w:space="0" w:color="FFFFFF"/>
              <w:bottom w:val="single" w:sz="8" w:space="0" w:color="FFFFFF"/>
              <w:right w:val="single" w:sz="8" w:space="0" w:color="FFFFFF"/>
            </w:tcBorders>
            <w:shd w:val="clear" w:color="auto" w:fill="B9CDE5"/>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(M$ 2017)</w:t>
            </w:r>
          </w:p>
        </w:tc>
        <w:tc>
          <w:tcPr>
            <w:tcW w:w="1221" w:type="dxa"/>
            <w:tcBorders>
              <w:top w:val="nil"/>
              <w:left w:val="single" w:sz="8" w:space="0" w:color="FFFFFF"/>
              <w:bottom w:val="single" w:sz="8" w:space="0" w:color="FFFFFF"/>
              <w:right w:val="single" w:sz="8" w:space="0" w:color="FFFFFF"/>
            </w:tcBorders>
            <w:shd w:val="clear" w:color="auto" w:fill="B9CDE5"/>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(M$ 2017)</w:t>
            </w:r>
          </w:p>
        </w:tc>
        <w:tc>
          <w:tcPr>
            <w:tcW w:w="180"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pPr>
              <w:pBdr>
                <w:top w:val="nil"/>
                <w:left w:val="nil"/>
                <w:bottom w:val="nil"/>
                <w:right w:val="nil"/>
                <w:between w:val="nil"/>
                <w:bar w:val="nil"/>
              </w:pBdr>
              <w:tabs>
                <w:tab w:val="clear" w:pos="2835"/>
              </w:tabs>
              <w:jc w:val="left"/>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 </w:t>
            </w:r>
          </w:p>
        </w:tc>
        <w:tc>
          <w:tcPr>
            <w:tcW w:w="1275" w:type="dxa"/>
            <w:vMerge/>
            <w:tcBorders>
              <w:top w:val="single" w:sz="8" w:space="0" w:color="FFFFFF"/>
              <w:left w:val="single" w:sz="8" w:space="0" w:color="FFFFFF"/>
              <w:bottom w:val="single" w:sz="8" w:space="0" w:color="FFFFFF"/>
              <w:right w:val="single" w:sz="8" w:space="0" w:color="FFFFFF"/>
            </w:tcBorders>
            <w:shd w:val="clear" w:color="auto" w:fill="B9CDE5"/>
          </w:tcPr>
          <w:p>
            <w:pPr>
              <w:pBdr>
                <w:top w:val="nil"/>
                <w:left w:val="nil"/>
                <w:bottom w:val="nil"/>
                <w:right w:val="nil"/>
                <w:between w:val="nil"/>
                <w:bar w:val="nil"/>
              </w:pBdr>
              <w:rPr>
                <w:rFonts w:eastAsia="Arial"/>
                <w:b w:val="0"/>
                <w:color w:val="000000"/>
                <w:sz w:val="18"/>
                <w:szCs w:val="18"/>
                <w:u w:color="000000"/>
                <w:bdr w:val="nil"/>
                <w:lang w:val="es-ES_tradnl" w:eastAsia="es-CL"/>
              </w:rPr>
            </w:pPr>
          </w:p>
        </w:tc>
        <w:tc>
          <w:tcPr>
            <w:tcW w:w="855" w:type="dxa"/>
            <w:vMerge/>
            <w:tcBorders>
              <w:top w:val="single" w:sz="8" w:space="0" w:color="FFFFFF"/>
              <w:left w:val="single" w:sz="8" w:space="0" w:color="FFFFFF"/>
              <w:bottom w:val="single" w:sz="8" w:space="0" w:color="FFFFFF"/>
              <w:right w:val="single" w:sz="8" w:space="0" w:color="FFFFFF"/>
            </w:tcBorders>
            <w:shd w:val="clear" w:color="auto" w:fill="B9CDE5"/>
          </w:tcPr>
          <w:p>
            <w:pPr>
              <w:pBdr>
                <w:top w:val="nil"/>
                <w:left w:val="nil"/>
                <w:bottom w:val="nil"/>
                <w:right w:val="nil"/>
                <w:between w:val="nil"/>
                <w:bar w:val="nil"/>
              </w:pBdr>
              <w:rPr>
                <w:rFonts w:eastAsia="Arial"/>
                <w:b w:val="0"/>
                <w:color w:val="000000"/>
                <w:sz w:val="18"/>
                <w:szCs w:val="18"/>
                <w:u w:color="000000"/>
                <w:bdr w:val="nil"/>
                <w:lang w:val="es-ES_tradnl" w:eastAsia="es-CL"/>
              </w:rPr>
            </w:pPr>
          </w:p>
        </w:tc>
      </w:tr>
      <w:tr>
        <w:tblPrEx>
          <w:tblCellMar>
            <w:top w:w="0" w:type="dxa"/>
            <w:left w:w="0" w:type="dxa"/>
            <w:bottom w:w="0" w:type="dxa"/>
            <w:right w:w="0" w:type="dxa"/>
          </w:tblCellMar>
        </w:tblPrEx>
        <w:trPr>
          <w:trHeight w:val="500"/>
          <w:jc w:val="center"/>
        </w:trPr>
        <w:tc>
          <w:tcPr>
            <w:tcW w:w="3854" w:type="dxa"/>
            <w:tcBorders>
              <w:top w:val="single" w:sz="8" w:space="0" w:color="FFFFFF"/>
              <w:left w:val="single" w:sz="8" w:space="0" w:color="FFFFFF"/>
              <w:bottom w:val="single" w:sz="8" w:space="0" w:color="FFFFFF"/>
              <w:right w:val="single" w:sz="8" w:space="0" w:color="FFFFFF"/>
            </w:tcBorders>
            <w:shd w:val="clear" w:color="auto" w:fill="C6D9F1"/>
            <w:tcMar>
              <w:top w:w="80" w:type="dxa"/>
              <w:left w:w="80" w:type="dxa"/>
              <w:bottom w:w="80" w:type="dxa"/>
              <w:right w:w="80" w:type="dxa"/>
            </w:tcMar>
            <w:vAlign w:val="center"/>
          </w:tcPr>
          <w:p>
            <w:pPr>
              <w:pBdr>
                <w:top w:val="nil"/>
                <w:left w:val="nil"/>
                <w:bottom w:val="nil"/>
                <w:right w:val="nil"/>
                <w:between w:val="nil"/>
                <w:bar w:val="nil"/>
              </w:pBdr>
              <w:tabs>
                <w:tab w:val="clear" w:pos="2835"/>
              </w:tabs>
              <w:jc w:val="left"/>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TOTAL</w:t>
            </w:r>
          </w:p>
        </w:tc>
        <w:tc>
          <w:tcPr>
            <w:tcW w:w="1207" w:type="dxa"/>
            <w:tcBorders>
              <w:top w:val="single" w:sz="8" w:space="0" w:color="FFFFFF"/>
              <w:left w:val="single" w:sz="8" w:space="0" w:color="FFFFFF"/>
              <w:bottom w:val="single" w:sz="8" w:space="0" w:color="FFFFFF"/>
              <w:right w:val="single" w:sz="8" w:space="0" w:color="FFFFFF"/>
            </w:tcBorders>
            <w:shd w:val="clear" w:color="auto" w:fill="C6D9F1"/>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29.919.170</w:t>
            </w:r>
          </w:p>
        </w:tc>
        <w:tc>
          <w:tcPr>
            <w:tcW w:w="1221" w:type="dxa"/>
            <w:tcBorders>
              <w:top w:val="single" w:sz="8" w:space="0" w:color="FFFFFF"/>
              <w:left w:val="single" w:sz="8" w:space="0" w:color="FFFFFF"/>
              <w:bottom w:val="single" w:sz="8" w:space="0" w:color="FFFFFF"/>
              <w:right w:val="single" w:sz="8" w:space="0" w:color="FFFFFF"/>
            </w:tcBorders>
            <w:shd w:val="clear" w:color="auto" w:fill="C6D9F1"/>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31.938.283</w:t>
            </w:r>
          </w:p>
        </w:tc>
        <w:tc>
          <w:tcPr>
            <w:tcW w:w="180"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 </w:t>
            </w:r>
          </w:p>
        </w:tc>
        <w:tc>
          <w:tcPr>
            <w:tcW w:w="1275" w:type="dxa"/>
            <w:tcBorders>
              <w:top w:val="single" w:sz="8" w:space="0" w:color="FFFFFF"/>
              <w:left w:val="single" w:sz="8" w:space="0" w:color="FFFFFF"/>
              <w:bottom w:val="single" w:sz="8" w:space="0" w:color="FFFFFF"/>
              <w:right w:val="single" w:sz="8" w:space="0" w:color="FFFFFF"/>
            </w:tcBorders>
            <w:shd w:val="clear" w:color="auto" w:fill="C6D9F1"/>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2.019.123</w:t>
            </w:r>
          </w:p>
        </w:tc>
        <w:tc>
          <w:tcPr>
            <w:tcW w:w="855" w:type="dxa"/>
            <w:tcBorders>
              <w:top w:val="single" w:sz="8" w:space="0" w:color="FFFFFF"/>
              <w:left w:val="single" w:sz="8" w:space="0" w:color="FFFFFF"/>
              <w:bottom w:val="single" w:sz="8" w:space="0" w:color="FFFFFF"/>
              <w:right w:val="single" w:sz="8" w:space="0" w:color="FFFFFF"/>
            </w:tcBorders>
            <w:shd w:val="clear" w:color="auto" w:fill="C6D9F1"/>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6,7%</w:t>
            </w:r>
          </w:p>
        </w:tc>
      </w:tr>
      <w:tr>
        <w:tblPrEx>
          <w:tblCellMar>
            <w:top w:w="0" w:type="dxa"/>
            <w:left w:w="0" w:type="dxa"/>
            <w:bottom w:w="0" w:type="dxa"/>
            <w:right w:w="0" w:type="dxa"/>
          </w:tblCellMar>
        </w:tblPrEx>
        <w:trPr>
          <w:trHeight w:val="500"/>
          <w:jc w:val="center"/>
        </w:trPr>
        <w:tc>
          <w:tcPr>
            <w:tcW w:w="3854" w:type="dxa"/>
            <w:tcBorders>
              <w:top w:val="single" w:sz="8" w:space="0" w:color="FFFFFF"/>
              <w:left w:val="single" w:sz="8" w:space="0" w:color="FFFFFF"/>
              <w:bottom w:val="single" w:sz="8" w:space="0" w:color="FFFFFF"/>
              <w:right w:val="single" w:sz="8" w:space="0" w:color="FFFFFF"/>
            </w:tcBorders>
            <w:shd w:val="clear" w:color="auto" w:fill="DCE6F1"/>
            <w:tcMar>
              <w:top w:w="80" w:type="dxa"/>
              <w:left w:w="80" w:type="dxa"/>
              <w:bottom w:w="80" w:type="dxa"/>
              <w:right w:w="80" w:type="dxa"/>
            </w:tcMar>
            <w:vAlign w:val="center"/>
          </w:tcPr>
          <w:p>
            <w:pPr>
              <w:pBdr>
                <w:top w:val="nil"/>
                <w:left w:val="nil"/>
                <w:bottom w:val="nil"/>
                <w:right w:val="nil"/>
                <w:between w:val="nil"/>
                <w:bar w:val="nil"/>
              </w:pBdr>
              <w:tabs>
                <w:tab w:val="clear" w:pos="2835"/>
              </w:tabs>
              <w:jc w:val="lef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SUBSECRETARÍA DE HACIENDA</w:t>
            </w:r>
          </w:p>
        </w:tc>
        <w:tc>
          <w:tcPr>
            <w:tcW w:w="1207" w:type="dxa"/>
            <w:tcBorders>
              <w:top w:val="single" w:sz="8" w:space="0" w:color="FFFFFF"/>
              <w:left w:val="single" w:sz="8" w:space="0" w:color="FFFFFF"/>
              <w:bottom w:val="single" w:sz="8" w:space="0" w:color="FFFFFF"/>
              <w:right w:val="single" w:sz="8" w:space="0" w:color="FFFFFF"/>
            </w:tcBorders>
            <w:shd w:val="clear" w:color="auto" w:fill="DCE6F1"/>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12.613.152</w:t>
            </w:r>
          </w:p>
        </w:tc>
        <w:tc>
          <w:tcPr>
            <w:tcW w:w="1221" w:type="dxa"/>
            <w:tcBorders>
              <w:top w:val="single" w:sz="8" w:space="0" w:color="FFFFFF"/>
              <w:left w:val="single" w:sz="8" w:space="0" w:color="FFFFFF"/>
              <w:bottom w:val="single" w:sz="8" w:space="0" w:color="FFFFFF"/>
              <w:right w:val="single" w:sz="8" w:space="0" w:color="FFFFFF"/>
            </w:tcBorders>
            <w:shd w:val="clear" w:color="auto" w:fill="DCE6F1"/>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10.585.094</w:t>
            </w:r>
          </w:p>
        </w:tc>
        <w:tc>
          <w:tcPr>
            <w:tcW w:w="180"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 </w:t>
            </w:r>
          </w:p>
        </w:tc>
        <w:tc>
          <w:tcPr>
            <w:tcW w:w="1275" w:type="dxa"/>
            <w:tcBorders>
              <w:top w:val="single" w:sz="8" w:space="0" w:color="FFFFFF"/>
              <w:left w:val="single" w:sz="8" w:space="0" w:color="FFFFFF"/>
              <w:bottom w:val="single" w:sz="8" w:space="0" w:color="FFFFFF"/>
              <w:right w:val="single" w:sz="8" w:space="0" w:color="FFFFFF"/>
            </w:tcBorders>
            <w:shd w:val="clear" w:color="auto" w:fill="DCE6F1"/>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-2.028.058</w:t>
            </w:r>
          </w:p>
        </w:tc>
        <w:tc>
          <w:tcPr>
            <w:tcW w:w="855" w:type="dxa"/>
            <w:tcBorders>
              <w:top w:val="single" w:sz="8" w:space="0" w:color="FFFFFF"/>
              <w:left w:val="single" w:sz="8" w:space="0" w:color="FFFFFF"/>
              <w:bottom w:val="single" w:sz="8" w:space="0" w:color="FFFFFF"/>
              <w:right w:val="single" w:sz="8" w:space="0" w:color="FFFFFF"/>
            </w:tcBorders>
            <w:shd w:val="clear" w:color="auto" w:fill="DCE6F1"/>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-16,1%</w:t>
            </w:r>
          </w:p>
        </w:tc>
      </w:tr>
      <w:tr>
        <w:tblPrEx>
          <w:tblCellMar>
            <w:top w:w="0" w:type="dxa"/>
            <w:left w:w="0" w:type="dxa"/>
            <w:bottom w:w="0" w:type="dxa"/>
            <w:right w:w="0" w:type="dxa"/>
          </w:tblCellMar>
        </w:tblPrEx>
        <w:trPr>
          <w:trHeight w:val="740"/>
          <w:jc w:val="center"/>
        </w:trPr>
        <w:tc>
          <w:tcPr>
            <w:tcW w:w="3854" w:type="dxa"/>
            <w:tcBorders>
              <w:top w:val="single" w:sz="8" w:space="0" w:color="FFFFFF"/>
              <w:left w:val="single" w:sz="8" w:space="0" w:color="FFFFFF"/>
              <w:bottom w:val="single" w:sz="8" w:space="0" w:color="FFFFFF"/>
              <w:right w:val="single" w:sz="8" w:space="0" w:color="FFFFFF"/>
            </w:tcBorders>
            <w:shd w:val="clear" w:color="auto" w:fill="DCE6F1"/>
            <w:tcMar>
              <w:top w:w="80" w:type="dxa"/>
              <w:left w:w="80" w:type="dxa"/>
              <w:bottom w:w="80" w:type="dxa"/>
              <w:right w:w="80" w:type="dxa"/>
            </w:tcMar>
            <w:vAlign w:val="center"/>
          </w:tcPr>
          <w:p>
            <w:pPr>
              <w:pBdr>
                <w:top w:val="nil"/>
                <w:left w:val="nil"/>
                <w:bottom w:val="nil"/>
                <w:right w:val="nil"/>
                <w:between w:val="nil"/>
                <w:bar w:val="nil"/>
              </w:pBdr>
              <w:tabs>
                <w:tab w:val="clear" w:pos="2835"/>
              </w:tabs>
              <w:jc w:val="lef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UNIDAD ADMINISTRADORA DE LOS TRIBUNALES TRIBUTARIOS Y ADUANEROS</w:t>
            </w:r>
          </w:p>
        </w:tc>
        <w:tc>
          <w:tcPr>
            <w:tcW w:w="1207" w:type="dxa"/>
            <w:tcBorders>
              <w:top w:val="single" w:sz="8" w:space="0" w:color="FFFFFF"/>
              <w:left w:val="single" w:sz="8" w:space="0" w:color="FFFFFF"/>
              <w:bottom w:val="single" w:sz="8" w:space="0" w:color="FFFFFF"/>
              <w:right w:val="single" w:sz="8" w:space="0" w:color="FFFFFF"/>
            </w:tcBorders>
            <w:shd w:val="clear" w:color="auto" w:fill="DCE6F1"/>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8.753.398</w:t>
            </w:r>
          </w:p>
        </w:tc>
        <w:tc>
          <w:tcPr>
            <w:tcW w:w="1221" w:type="dxa"/>
            <w:tcBorders>
              <w:top w:val="single" w:sz="8" w:space="0" w:color="FFFFFF"/>
              <w:left w:val="single" w:sz="8" w:space="0" w:color="FFFFFF"/>
              <w:bottom w:val="single" w:sz="8" w:space="0" w:color="FFFFFF"/>
              <w:right w:val="single" w:sz="8" w:space="0" w:color="FFFFFF"/>
            </w:tcBorders>
            <w:shd w:val="clear" w:color="auto" w:fill="DCE6F1"/>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8.747.790</w:t>
            </w:r>
          </w:p>
        </w:tc>
        <w:tc>
          <w:tcPr>
            <w:tcW w:w="180"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 </w:t>
            </w:r>
          </w:p>
        </w:tc>
        <w:tc>
          <w:tcPr>
            <w:tcW w:w="1275" w:type="dxa"/>
            <w:tcBorders>
              <w:top w:val="single" w:sz="8" w:space="0" w:color="FFFFFF"/>
              <w:left w:val="single" w:sz="8" w:space="0" w:color="FFFFFF"/>
              <w:bottom w:val="single" w:sz="8" w:space="0" w:color="FFFFFF"/>
              <w:right w:val="single" w:sz="8" w:space="0" w:color="FFFFFF"/>
            </w:tcBorders>
            <w:shd w:val="clear" w:color="auto" w:fill="DCE6F1"/>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-5.598</w:t>
            </w:r>
          </w:p>
        </w:tc>
        <w:tc>
          <w:tcPr>
            <w:tcW w:w="855" w:type="dxa"/>
            <w:tcBorders>
              <w:top w:val="single" w:sz="8" w:space="0" w:color="FFFFFF"/>
              <w:left w:val="single" w:sz="8" w:space="0" w:color="FFFFFF"/>
              <w:bottom w:val="single" w:sz="8" w:space="0" w:color="FFFFFF"/>
              <w:right w:val="single" w:sz="8" w:space="0" w:color="FFFFFF"/>
            </w:tcBorders>
            <w:shd w:val="clear" w:color="auto" w:fill="DCE6F1"/>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-0,1%</w:t>
            </w:r>
          </w:p>
        </w:tc>
      </w:tr>
      <w:tr>
        <w:tblPrEx>
          <w:tblCellMar>
            <w:top w:w="0" w:type="dxa"/>
            <w:left w:w="0" w:type="dxa"/>
            <w:bottom w:w="0" w:type="dxa"/>
            <w:right w:w="0" w:type="dxa"/>
          </w:tblCellMar>
        </w:tblPrEx>
        <w:trPr>
          <w:trHeight w:val="530"/>
          <w:jc w:val="center"/>
        </w:trPr>
        <w:tc>
          <w:tcPr>
            <w:tcW w:w="3854" w:type="dxa"/>
            <w:tcBorders>
              <w:top w:val="single" w:sz="8" w:space="0" w:color="FFFFFF"/>
              <w:left w:val="single" w:sz="8" w:space="0" w:color="FFFFFF"/>
              <w:bottom w:val="single" w:sz="8" w:space="0" w:color="FFFFFF"/>
              <w:right w:val="single" w:sz="8" w:space="0" w:color="FFFFFF"/>
            </w:tcBorders>
            <w:shd w:val="clear" w:color="auto" w:fill="DCE6F1"/>
            <w:tcMar>
              <w:top w:w="80" w:type="dxa"/>
              <w:left w:w="80" w:type="dxa"/>
              <w:bottom w:w="80" w:type="dxa"/>
              <w:right w:w="80" w:type="dxa"/>
            </w:tcMar>
            <w:vAlign w:val="center"/>
          </w:tcPr>
          <w:p>
            <w:pPr>
              <w:pBdr>
                <w:top w:val="nil"/>
                <w:left w:val="nil"/>
                <w:bottom w:val="nil"/>
                <w:right w:val="nil"/>
                <w:between w:val="nil"/>
                <w:bar w:val="nil"/>
              </w:pBdr>
              <w:tabs>
                <w:tab w:val="clear" w:pos="2835"/>
              </w:tabs>
              <w:jc w:val="lef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SISTEMA INTEGRADO DE COMERCIO EXTERIOR (SICEX)</w:t>
            </w:r>
          </w:p>
        </w:tc>
        <w:tc>
          <w:tcPr>
            <w:tcW w:w="1207" w:type="dxa"/>
            <w:tcBorders>
              <w:top w:val="single" w:sz="8" w:space="0" w:color="FFFFFF"/>
              <w:left w:val="single" w:sz="8" w:space="0" w:color="FFFFFF"/>
              <w:bottom w:val="single" w:sz="8" w:space="0" w:color="FFFFFF"/>
              <w:right w:val="single" w:sz="8" w:space="0" w:color="FFFFFF"/>
            </w:tcBorders>
            <w:shd w:val="clear" w:color="auto" w:fill="DCE6F1"/>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2.918.378</w:t>
            </w:r>
          </w:p>
        </w:tc>
        <w:tc>
          <w:tcPr>
            <w:tcW w:w="1221" w:type="dxa"/>
            <w:tcBorders>
              <w:top w:val="single" w:sz="8" w:space="0" w:color="FFFFFF"/>
              <w:left w:val="single" w:sz="8" w:space="0" w:color="FFFFFF"/>
              <w:bottom w:val="single" w:sz="8" w:space="0" w:color="FFFFFF"/>
              <w:right w:val="single" w:sz="8" w:space="0" w:color="FFFFFF"/>
            </w:tcBorders>
            <w:shd w:val="clear" w:color="auto" w:fill="DCE6F1"/>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4.161.145</w:t>
            </w:r>
          </w:p>
        </w:tc>
        <w:tc>
          <w:tcPr>
            <w:tcW w:w="180"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 </w:t>
            </w:r>
          </w:p>
        </w:tc>
        <w:tc>
          <w:tcPr>
            <w:tcW w:w="1275" w:type="dxa"/>
            <w:tcBorders>
              <w:top w:val="single" w:sz="8" w:space="0" w:color="FFFFFF"/>
              <w:left w:val="single" w:sz="8" w:space="0" w:color="FFFFFF"/>
              <w:bottom w:val="single" w:sz="8" w:space="0" w:color="FFFFFF"/>
              <w:right w:val="single" w:sz="8" w:space="0" w:color="FFFFFF"/>
            </w:tcBorders>
            <w:shd w:val="clear" w:color="auto" w:fill="DCE6F1"/>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1.242.767</w:t>
            </w:r>
          </w:p>
        </w:tc>
        <w:tc>
          <w:tcPr>
            <w:tcW w:w="855" w:type="dxa"/>
            <w:tcBorders>
              <w:top w:val="single" w:sz="8" w:space="0" w:color="FFFFFF"/>
              <w:left w:val="single" w:sz="8" w:space="0" w:color="FFFFFF"/>
              <w:bottom w:val="single" w:sz="8" w:space="0" w:color="FFFFFF"/>
              <w:right w:val="single" w:sz="8" w:space="0" w:color="FFFFFF"/>
            </w:tcBorders>
            <w:shd w:val="clear" w:color="auto" w:fill="DCE6F1"/>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42,6%</w:t>
            </w:r>
          </w:p>
        </w:tc>
      </w:tr>
      <w:tr>
        <w:tblPrEx>
          <w:tblCellMar>
            <w:top w:w="0" w:type="dxa"/>
            <w:left w:w="0" w:type="dxa"/>
            <w:bottom w:w="0" w:type="dxa"/>
            <w:right w:w="0" w:type="dxa"/>
          </w:tblCellMar>
        </w:tblPrEx>
        <w:trPr>
          <w:trHeight w:val="530"/>
          <w:jc w:val="center"/>
        </w:trPr>
        <w:tc>
          <w:tcPr>
            <w:tcW w:w="3854" w:type="dxa"/>
            <w:tcBorders>
              <w:top w:val="single" w:sz="8" w:space="0" w:color="FFFFFF"/>
              <w:left w:val="single" w:sz="8" w:space="0" w:color="FFFFFF"/>
              <w:bottom w:val="single" w:sz="8" w:space="0" w:color="FFFFFF"/>
              <w:right w:val="single" w:sz="8" w:space="0" w:color="FFFFFF"/>
            </w:tcBorders>
            <w:shd w:val="clear" w:color="auto" w:fill="DCE6F1"/>
            <w:tcMar>
              <w:top w:w="80" w:type="dxa"/>
              <w:left w:w="80" w:type="dxa"/>
              <w:bottom w:w="80" w:type="dxa"/>
              <w:right w:w="80" w:type="dxa"/>
            </w:tcMar>
            <w:vAlign w:val="center"/>
          </w:tcPr>
          <w:p>
            <w:pPr>
              <w:pBdr>
                <w:top w:val="nil"/>
                <w:left w:val="nil"/>
                <w:bottom w:val="nil"/>
                <w:right w:val="nil"/>
                <w:between w:val="nil"/>
                <w:bar w:val="nil"/>
              </w:pBdr>
              <w:tabs>
                <w:tab w:val="clear" w:pos="2835"/>
              </w:tabs>
              <w:jc w:val="lef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PROGRAMA DE MODERNIZACIÓN SECTOR PÚBLICO</w:t>
            </w:r>
          </w:p>
        </w:tc>
        <w:tc>
          <w:tcPr>
            <w:tcW w:w="1207" w:type="dxa"/>
            <w:tcBorders>
              <w:top w:val="single" w:sz="8" w:space="0" w:color="FFFFFF"/>
              <w:left w:val="single" w:sz="8" w:space="0" w:color="FFFFFF"/>
              <w:bottom w:val="single" w:sz="8" w:space="0" w:color="FFFFFF"/>
              <w:right w:val="single" w:sz="8" w:space="0" w:color="FFFFFF"/>
            </w:tcBorders>
            <w:shd w:val="clear" w:color="auto" w:fill="DCE6F1"/>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5.634.242</w:t>
            </w:r>
          </w:p>
        </w:tc>
        <w:tc>
          <w:tcPr>
            <w:tcW w:w="1221" w:type="dxa"/>
            <w:tcBorders>
              <w:top w:val="single" w:sz="8" w:space="0" w:color="FFFFFF"/>
              <w:left w:val="single" w:sz="8" w:space="0" w:color="FFFFFF"/>
              <w:bottom w:val="single" w:sz="8" w:space="0" w:color="FFFFFF"/>
              <w:right w:val="single" w:sz="8" w:space="0" w:color="FFFFFF"/>
            </w:tcBorders>
            <w:shd w:val="clear" w:color="auto" w:fill="DCE6F1"/>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8.444.254</w:t>
            </w:r>
          </w:p>
        </w:tc>
        <w:tc>
          <w:tcPr>
            <w:tcW w:w="180"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 </w:t>
            </w:r>
          </w:p>
        </w:tc>
        <w:tc>
          <w:tcPr>
            <w:tcW w:w="1275" w:type="dxa"/>
            <w:tcBorders>
              <w:top w:val="single" w:sz="8" w:space="0" w:color="FFFFFF"/>
              <w:left w:val="single" w:sz="8" w:space="0" w:color="FFFFFF"/>
              <w:bottom w:val="single" w:sz="8" w:space="0" w:color="FFFFFF"/>
              <w:right w:val="single" w:sz="8" w:space="0" w:color="FFFFFF"/>
            </w:tcBorders>
            <w:shd w:val="clear" w:color="auto" w:fill="DCE6F1"/>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2.810.012</w:t>
            </w:r>
          </w:p>
        </w:tc>
        <w:tc>
          <w:tcPr>
            <w:tcW w:w="855" w:type="dxa"/>
            <w:tcBorders>
              <w:top w:val="single" w:sz="8" w:space="0" w:color="FFFFFF"/>
              <w:left w:val="single" w:sz="8" w:space="0" w:color="FFFFFF"/>
              <w:bottom w:val="single" w:sz="8" w:space="0" w:color="FFFFFF"/>
              <w:right w:val="single" w:sz="8" w:space="0" w:color="FFFFFF"/>
            </w:tcBorders>
            <w:shd w:val="clear" w:color="auto" w:fill="DCE6F1"/>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49,9%</w:t>
            </w:r>
          </w:p>
        </w:tc>
      </w:tr>
    </w:tbl>
    <w:p>
      <w:pPr>
        <w:widowControl w:val="0"/>
        <w:pBdr>
          <w:top w:val="nil"/>
          <w:left w:val="nil"/>
          <w:bottom w:val="nil"/>
          <w:right w:val="nil"/>
          <w:between w:val="nil"/>
          <w:bar w:val="nil"/>
        </w:pBdr>
        <w:rPr>
          <w:rFonts w:eastAsia="Arial"/>
          <w:bCs/>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En este punto, expresó que el incremento presupuestario de un 6,7% viene dado principalmente por el aumento contemplado en el Programa de Modernización del Sector Público (49,9%).</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A su vez, indicó que la Subsecretaría de Hacienda experimenta una disminución de un 16,1%, debido al término de proyectos de inversión (remodelación de pisos 13 y 14 del Edifico del Ministerio de Hacienda) y de servicio a la deuda.</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En seguida, indicó que el Programa SICEX presenta un aumento de un 42,6%, en tanto comienza el proceso de amortización de la deuda por el pago del crédito del BID otorgado en 2011 para la ejecución de tal programa.</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Unicode MS" w:cs="Arial Unicode MS"/>
          <w:b w:val="0"/>
          <w:color w:val="000000"/>
          <w:u w:color="000000"/>
          <w:bdr w:val="nil"/>
          <w:lang w:val="es-ES_tradnl" w:eastAsia="es-CL"/>
        </w:rPr>
      </w:pPr>
      <w:r>
        <w:rPr>
          <w:rFonts w:eastAsia="Arial Unicode MS" w:cs="Arial Unicode MS"/>
          <w:b w:val="0"/>
          <w:color w:val="000000"/>
          <w:u w:color="000000"/>
          <w:bdr w:val="nil"/>
          <w:lang w:val="es-ES_tradnl" w:eastAsia="es-CL"/>
        </w:rPr>
        <w:tab/>
        <w:t>Por último, expresó que el Programa de Modernización del Estado considera un aumento de un 49,9% por financiamiento de nuevos proyectos, con ejecución planificada para 2017 en otros Servicios (fortalecimiento de la Dirección del Trabajo, Chile Atiende Digital y mejoramiento de los plazos de atención en la Superintendencia de Seguridad Social).</w:t>
      </w:r>
    </w:p>
    <w:p>
      <w:pPr>
        <w:pBdr>
          <w:top w:val="nil"/>
          <w:left w:val="nil"/>
          <w:bottom w:val="nil"/>
          <w:right w:val="nil"/>
          <w:between w:val="nil"/>
          <w:bar w:val="nil"/>
        </w:pBdr>
        <w:rPr>
          <w:rFonts w:eastAsia="Arial Unicode MS" w:cs="Arial Unicode MS"/>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 xml:space="preserve">En seguida, </w:t>
      </w:r>
      <w:r>
        <w:rPr>
          <w:rFonts w:eastAsia="Arial"/>
          <w:b w:val="0"/>
          <w:color w:val="000000"/>
          <w:u w:color="000000"/>
          <w:bdr w:val="nil"/>
          <w:lang w:val="es-ES_tradnl" w:eastAsia="es-CL"/>
        </w:rPr>
        <w:t>presentó un cuadro con cifras comparadas, por Subtítulo, entre el presupuesto del año 2016 y el del año 2017:</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jc w:val="center"/>
        <w:rPr>
          <w:rFonts w:eastAsia="Arial"/>
          <w:bCs/>
          <w:color w:val="000000"/>
          <w:u w:color="000000"/>
          <w:bdr w:val="nil"/>
          <w:lang w:val="es-ES_tradnl" w:eastAsia="es-CL"/>
        </w:rPr>
      </w:pPr>
      <w:r>
        <w:rPr>
          <w:rFonts w:eastAsia="Arial"/>
          <w:bCs/>
          <w:color w:val="000000"/>
          <w:u w:color="000000"/>
          <w:bdr w:val="nil"/>
          <w:lang w:val="es-ES_tradnl" w:eastAsia="es-CL"/>
        </w:rPr>
        <w:t>Proyecto Presupuesto 2017 – Cifras comparadas 2016/2017 por Subtítulo</w:t>
      </w:r>
    </w:p>
    <w:tbl>
      <w:tblPr>
        <w:tblW w:w="9039" w:type="dxa"/>
        <w:jc w:val="center"/>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4392"/>
        <w:gridCol w:w="1139"/>
        <w:gridCol w:w="1249"/>
        <w:gridCol w:w="180"/>
        <w:gridCol w:w="1029"/>
        <w:gridCol w:w="1050"/>
      </w:tblGrid>
      <w:tr>
        <w:tblPrEx>
          <w:tblCellMar>
            <w:top w:w="0" w:type="dxa"/>
            <w:left w:w="0" w:type="dxa"/>
            <w:bottom w:w="0" w:type="dxa"/>
            <w:right w:w="0" w:type="dxa"/>
          </w:tblCellMar>
        </w:tblPrEx>
        <w:trPr>
          <w:trHeight w:val="258"/>
          <w:jc w:val="center"/>
        </w:trPr>
        <w:tc>
          <w:tcPr>
            <w:tcW w:w="4392" w:type="dxa"/>
            <w:tcBorders>
              <w:top w:val="nil"/>
              <w:left w:val="nil"/>
              <w:bottom w:val="nil"/>
              <w:right w:val="single" w:sz="8" w:space="0" w:color="FFFFFF"/>
            </w:tcBorders>
            <w:shd w:val="clear" w:color="auto" w:fill="B9CDE5"/>
            <w:tcMar>
              <w:top w:w="80" w:type="dxa"/>
              <w:left w:w="80" w:type="dxa"/>
              <w:bottom w:w="80" w:type="dxa"/>
              <w:right w:w="80" w:type="dxa"/>
            </w:tcMar>
            <w:vAlign w:val="center"/>
          </w:tcPr>
          <w:p>
            <w:pPr>
              <w:pBdr>
                <w:top w:val="nil"/>
                <w:left w:val="nil"/>
                <w:bottom w:val="nil"/>
                <w:right w:val="nil"/>
                <w:between w:val="nil"/>
                <w:bar w:val="nil"/>
              </w:pBdr>
              <w:rPr>
                <w:rFonts w:eastAsia="Arial"/>
                <w:b w:val="0"/>
                <w:color w:val="000000"/>
                <w:sz w:val="18"/>
                <w:szCs w:val="18"/>
                <w:u w:color="000000"/>
                <w:bdr w:val="nil"/>
                <w:lang w:val="es-ES_tradnl" w:eastAsia="es-CL"/>
              </w:rPr>
            </w:pPr>
            <w:r>
              <w:rPr>
                <w:bCs/>
                <w:color w:val="000000"/>
                <w:sz w:val="18"/>
                <w:szCs w:val="18"/>
                <w:u w:color="000000"/>
                <w:bdr w:val="nil"/>
                <w:lang w:val="es-ES_tradnl" w:eastAsia="es-CL"/>
              </w:rPr>
              <w:t>CAPÍTULO 01</w:t>
            </w:r>
          </w:p>
        </w:tc>
        <w:tc>
          <w:tcPr>
            <w:tcW w:w="2388" w:type="dxa"/>
            <w:gridSpan w:val="2"/>
            <w:tcBorders>
              <w:top w:val="single" w:sz="8" w:space="0" w:color="FFFFFF"/>
              <w:left w:val="single" w:sz="8" w:space="0" w:color="FFFFFF"/>
              <w:bottom w:val="single" w:sz="8" w:space="0" w:color="FFFFFF"/>
              <w:right w:val="single" w:sz="8" w:space="0" w:color="FFFFFF"/>
            </w:tcBorders>
            <w:shd w:val="clear" w:color="auto" w:fill="B9CDE5"/>
            <w:tcMar>
              <w:top w:w="80" w:type="dxa"/>
              <w:left w:w="80" w:type="dxa"/>
              <w:bottom w:w="80" w:type="dxa"/>
              <w:right w:w="80" w:type="dxa"/>
            </w:tcMar>
            <w:vAlign w:val="center"/>
          </w:tcPr>
          <w:p>
            <w:pPr>
              <w:pBdr>
                <w:top w:val="nil"/>
                <w:left w:val="nil"/>
                <w:bottom w:val="nil"/>
                <w:right w:val="nil"/>
                <w:between w:val="nil"/>
                <w:bar w:val="nil"/>
              </w:pBdr>
              <w:rPr>
                <w:rFonts w:eastAsia="Arial"/>
                <w:b w:val="0"/>
                <w:color w:val="000000"/>
                <w:sz w:val="18"/>
                <w:szCs w:val="18"/>
                <w:u w:color="000000"/>
                <w:bdr w:val="nil"/>
                <w:lang w:val="es-ES_tradnl" w:eastAsia="es-CL"/>
              </w:rPr>
            </w:pPr>
            <w:r>
              <w:rPr>
                <w:bCs/>
                <w:color w:val="000000"/>
                <w:sz w:val="18"/>
                <w:szCs w:val="18"/>
                <w:u w:color="000000"/>
                <w:bdr w:val="nil"/>
                <w:lang w:val="es-ES_tradnl" w:eastAsia="es-CL"/>
              </w:rPr>
              <w:t>Ley de Presupuesto</w:t>
            </w:r>
          </w:p>
        </w:tc>
        <w:tc>
          <w:tcPr>
            <w:tcW w:w="180"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vAlign w:val="center"/>
          </w:tcPr>
          <w:p>
            <w:pPr>
              <w:pBdr>
                <w:top w:val="nil"/>
                <w:left w:val="nil"/>
                <w:bottom w:val="nil"/>
                <w:right w:val="nil"/>
                <w:between w:val="nil"/>
                <w:bar w:val="nil"/>
              </w:pBdr>
              <w:rPr>
                <w:rFonts w:eastAsia="Arial"/>
                <w:b w:val="0"/>
                <w:color w:val="000000"/>
                <w:sz w:val="18"/>
                <w:szCs w:val="18"/>
                <w:u w:color="000000"/>
                <w:bdr w:val="nil"/>
                <w:lang w:val="es-ES_tradnl" w:eastAsia="es-CL"/>
              </w:rPr>
            </w:pPr>
            <w:r>
              <w:rPr>
                <w:bCs/>
                <w:color w:val="000000"/>
                <w:sz w:val="18"/>
                <w:szCs w:val="18"/>
                <w:u w:color="000000"/>
                <w:bdr w:val="nil"/>
                <w:lang w:val="es-ES_tradnl" w:eastAsia="es-CL"/>
              </w:rPr>
              <w:t> </w:t>
            </w:r>
          </w:p>
        </w:tc>
        <w:tc>
          <w:tcPr>
            <w:tcW w:w="2079" w:type="dxa"/>
            <w:gridSpan w:val="2"/>
            <w:tcBorders>
              <w:top w:val="single" w:sz="8" w:space="0" w:color="FFFFFF"/>
              <w:left w:val="single" w:sz="8" w:space="0" w:color="FFFFFF"/>
              <w:bottom w:val="single" w:sz="8" w:space="0" w:color="FFFFFF"/>
              <w:right w:val="single" w:sz="8" w:space="0" w:color="FFFFFF"/>
            </w:tcBorders>
            <w:shd w:val="clear" w:color="auto" w:fill="B9CDE5"/>
            <w:tcMar>
              <w:top w:w="80" w:type="dxa"/>
              <w:left w:w="80" w:type="dxa"/>
              <w:bottom w:w="80" w:type="dxa"/>
              <w:right w:w="80" w:type="dxa"/>
            </w:tcMar>
            <w:vAlign w:val="center"/>
          </w:tcPr>
          <w:p>
            <w:pPr>
              <w:pBdr>
                <w:top w:val="nil"/>
                <w:left w:val="nil"/>
                <w:bottom w:val="nil"/>
                <w:right w:val="nil"/>
                <w:between w:val="nil"/>
                <w:bar w:val="nil"/>
              </w:pBdr>
              <w:rPr>
                <w:rFonts w:eastAsia="Arial"/>
                <w:b w:val="0"/>
                <w:color w:val="000000"/>
                <w:sz w:val="18"/>
                <w:szCs w:val="18"/>
                <w:u w:color="000000"/>
                <w:bdr w:val="nil"/>
                <w:lang w:val="es-ES_tradnl" w:eastAsia="es-CL"/>
              </w:rPr>
            </w:pPr>
            <w:r>
              <w:rPr>
                <w:bCs/>
                <w:color w:val="000000"/>
                <w:sz w:val="18"/>
                <w:szCs w:val="18"/>
                <w:u w:color="000000"/>
                <w:bdr w:val="nil"/>
                <w:lang w:val="es-ES_tradnl" w:eastAsia="es-CL"/>
              </w:rPr>
              <w:t>Variación</w:t>
            </w:r>
          </w:p>
        </w:tc>
      </w:tr>
      <w:tr>
        <w:tblPrEx>
          <w:tblCellMar>
            <w:top w:w="0" w:type="dxa"/>
            <w:left w:w="0" w:type="dxa"/>
            <w:bottom w:w="0" w:type="dxa"/>
            <w:right w:w="0" w:type="dxa"/>
          </w:tblCellMar>
        </w:tblPrEx>
        <w:trPr>
          <w:trHeight w:val="1352"/>
          <w:jc w:val="center"/>
        </w:trPr>
        <w:tc>
          <w:tcPr>
            <w:tcW w:w="4392" w:type="dxa"/>
            <w:vMerge w:val="restart"/>
            <w:tcBorders>
              <w:top w:val="nil"/>
              <w:left w:val="nil"/>
              <w:bottom w:val="single" w:sz="8" w:space="0" w:color="FFFFFF"/>
              <w:right w:val="single" w:sz="8" w:space="0" w:color="FFFFFF"/>
            </w:tcBorders>
            <w:shd w:val="clear" w:color="auto" w:fill="B9CDE5"/>
            <w:tcMar>
              <w:top w:w="80" w:type="dxa"/>
              <w:left w:w="80" w:type="dxa"/>
              <w:bottom w:w="80" w:type="dxa"/>
              <w:right w:w="80" w:type="dxa"/>
            </w:tcMar>
            <w:vAlign w:val="center"/>
          </w:tcPr>
          <w:p>
            <w:pPr>
              <w:pBdr>
                <w:top w:val="nil"/>
                <w:left w:val="nil"/>
                <w:bottom w:val="nil"/>
                <w:right w:val="nil"/>
                <w:between w:val="nil"/>
                <w:bar w:val="nil"/>
              </w:pBdr>
              <w:rPr>
                <w:rFonts w:eastAsia="Arial"/>
                <w:b w:val="0"/>
                <w:color w:val="000000"/>
                <w:sz w:val="18"/>
                <w:szCs w:val="18"/>
                <w:u w:color="000000"/>
                <w:bdr w:val="nil"/>
                <w:lang w:val="es-ES_tradnl" w:eastAsia="es-CL"/>
              </w:rPr>
            </w:pPr>
            <w:r>
              <w:rPr>
                <w:bCs/>
                <w:color w:val="000000"/>
                <w:sz w:val="18"/>
                <w:szCs w:val="18"/>
                <w:u w:color="000000"/>
                <w:bdr w:val="nil"/>
                <w:lang w:val="es-ES_tradnl" w:eastAsia="es-CL"/>
              </w:rPr>
              <w:t>SECRETARÍA Y ADMINISTRACIÓN GENERAL DE HACIENDA</w:t>
            </w:r>
          </w:p>
        </w:tc>
        <w:tc>
          <w:tcPr>
            <w:tcW w:w="1139" w:type="dxa"/>
            <w:tcBorders>
              <w:top w:val="single" w:sz="8" w:space="0" w:color="FFFFFF"/>
              <w:left w:val="single" w:sz="8" w:space="0" w:color="FFFFFF"/>
              <w:bottom w:val="nil"/>
              <w:right w:val="single" w:sz="8" w:space="0" w:color="FFFFFF"/>
            </w:tcBorders>
            <w:shd w:val="clear" w:color="auto" w:fill="B9CDE5"/>
            <w:tcMar>
              <w:top w:w="80" w:type="dxa"/>
              <w:left w:w="80" w:type="dxa"/>
              <w:bottom w:w="80" w:type="dxa"/>
              <w:right w:w="80" w:type="dxa"/>
            </w:tcMar>
            <w:vAlign w:val="center"/>
          </w:tcPr>
          <w:p>
            <w:pPr>
              <w:pBdr>
                <w:top w:val="nil"/>
                <w:left w:val="nil"/>
                <w:bottom w:val="nil"/>
                <w:right w:val="nil"/>
                <w:between w:val="nil"/>
                <w:bar w:val="nil"/>
              </w:pBdr>
              <w:rPr>
                <w:b w:val="0"/>
                <w:color w:val="000000"/>
                <w:sz w:val="18"/>
                <w:szCs w:val="18"/>
                <w:u w:color="000000"/>
                <w:bdr w:val="nil"/>
                <w:lang w:val="es-ES_tradnl" w:eastAsia="es-CL"/>
              </w:rPr>
            </w:pPr>
            <w:r>
              <w:rPr>
                <w:bCs/>
                <w:color w:val="000000"/>
                <w:sz w:val="18"/>
                <w:szCs w:val="18"/>
                <w:u w:color="000000"/>
                <w:bdr w:val="nil"/>
                <w:lang w:val="es-ES_tradnl" w:eastAsia="es-CL"/>
              </w:rPr>
              <w:t>Año 2016</w:t>
            </w:r>
          </w:p>
          <w:p>
            <w:pPr>
              <w:pBdr>
                <w:top w:val="nil"/>
                <w:left w:val="nil"/>
                <w:bottom w:val="nil"/>
                <w:right w:val="nil"/>
                <w:between w:val="nil"/>
                <w:bar w:val="nil"/>
              </w:pBdr>
              <w:rPr>
                <w:rFonts w:eastAsia="Arial"/>
                <w:b w:val="0"/>
                <w:color w:val="000000"/>
                <w:sz w:val="18"/>
                <w:szCs w:val="18"/>
                <w:u w:color="000000"/>
                <w:bdr w:val="nil"/>
                <w:lang w:val="es-ES_tradnl" w:eastAsia="es-CL"/>
              </w:rPr>
            </w:pPr>
            <w:r>
              <w:rPr>
                <w:bCs/>
                <w:color w:val="000000"/>
                <w:sz w:val="18"/>
                <w:szCs w:val="18"/>
                <w:u w:color="000000"/>
                <w:bdr w:val="nil"/>
                <w:lang w:val="es-ES_tradnl" w:eastAsia="es-CL"/>
              </w:rPr>
              <w:t>ajustada</w:t>
            </w:r>
          </w:p>
        </w:tc>
        <w:tc>
          <w:tcPr>
            <w:tcW w:w="1249" w:type="dxa"/>
            <w:tcBorders>
              <w:top w:val="single" w:sz="8" w:space="0" w:color="FFFFFF"/>
              <w:left w:val="single" w:sz="8" w:space="0" w:color="FFFFFF"/>
              <w:bottom w:val="nil"/>
              <w:right w:val="single" w:sz="8" w:space="0" w:color="FFFFFF"/>
            </w:tcBorders>
            <w:shd w:val="clear" w:color="auto" w:fill="B9CDE5"/>
            <w:tcMar>
              <w:top w:w="80" w:type="dxa"/>
              <w:left w:w="80" w:type="dxa"/>
              <w:bottom w:w="80" w:type="dxa"/>
              <w:right w:w="80" w:type="dxa"/>
            </w:tcMar>
            <w:vAlign w:val="center"/>
          </w:tcPr>
          <w:p>
            <w:pPr>
              <w:pBdr>
                <w:top w:val="nil"/>
                <w:left w:val="nil"/>
                <w:bottom w:val="nil"/>
                <w:right w:val="nil"/>
                <w:between w:val="nil"/>
                <w:bar w:val="nil"/>
              </w:pBdr>
              <w:rPr>
                <w:rFonts w:eastAsia="Arial"/>
                <w:b w:val="0"/>
                <w:color w:val="000000"/>
                <w:sz w:val="18"/>
                <w:szCs w:val="18"/>
                <w:u w:color="000000"/>
                <w:bdr w:val="nil"/>
                <w:lang w:val="es-ES_tradnl" w:eastAsia="es-CL"/>
              </w:rPr>
            </w:pPr>
            <w:r>
              <w:rPr>
                <w:bCs/>
                <w:color w:val="000000"/>
                <w:sz w:val="18"/>
                <w:szCs w:val="18"/>
                <w:u w:color="000000"/>
                <w:bdr w:val="nil"/>
                <w:lang w:val="es-ES_tradnl" w:eastAsia="es-CL"/>
              </w:rPr>
              <w:t>Año 2017</w:t>
            </w:r>
          </w:p>
        </w:tc>
        <w:tc>
          <w:tcPr>
            <w:tcW w:w="180"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pPr>
              <w:pBdr>
                <w:top w:val="nil"/>
                <w:left w:val="nil"/>
                <w:bottom w:val="nil"/>
                <w:right w:val="nil"/>
                <w:between w:val="nil"/>
                <w:bar w:val="nil"/>
              </w:pBdr>
              <w:rPr>
                <w:rFonts w:eastAsia="Arial"/>
                <w:b w:val="0"/>
                <w:color w:val="000000"/>
                <w:sz w:val="18"/>
                <w:szCs w:val="18"/>
                <w:u w:color="000000"/>
                <w:bdr w:val="nil"/>
                <w:lang w:val="es-ES_tradnl" w:eastAsia="es-CL"/>
              </w:rPr>
            </w:pPr>
            <w:r>
              <w:rPr>
                <w:bCs/>
                <w:color w:val="000000"/>
                <w:sz w:val="18"/>
                <w:szCs w:val="18"/>
                <w:u w:color="000000"/>
                <w:bdr w:val="nil"/>
                <w:lang w:val="es-ES_tradnl" w:eastAsia="es-CL"/>
              </w:rPr>
              <w:t> </w:t>
            </w:r>
          </w:p>
        </w:tc>
        <w:tc>
          <w:tcPr>
            <w:tcW w:w="1029" w:type="dxa"/>
            <w:vMerge w:val="restart"/>
            <w:tcBorders>
              <w:top w:val="single" w:sz="8" w:space="0" w:color="FFFFFF"/>
              <w:left w:val="single" w:sz="8" w:space="0" w:color="FFFFFF"/>
              <w:bottom w:val="single" w:sz="8" w:space="0" w:color="FFFFFF"/>
              <w:right w:val="single" w:sz="8" w:space="0" w:color="FFFFFF"/>
            </w:tcBorders>
            <w:shd w:val="clear" w:color="auto" w:fill="B9CDE5"/>
            <w:tcMar>
              <w:top w:w="80" w:type="dxa"/>
              <w:left w:w="80" w:type="dxa"/>
              <w:bottom w:w="80" w:type="dxa"/>
              <w:right w:w="80" w:type="dxa"/>
            </w:tcMar>
            <w:vAlign w:val="center"/>
          </w:tcPr>
          <w:p>
            <w:pPr>
              <w:pBdr>
                <w:top w:val="nil"/>
                <w:left w:val="nil"/>
                <w:bottom w:val="nil"/>
                <w:right w:val="nil"/>
                <w:between w:val="nil"/>
                <w:bar w:val="nil"/>
              </w:pBdr>
              <w:rPr>
                <w:rFonts w:eastAsia="Arial"/>
                <w:b w:val="0"/>
                <w:color w:val="000000"/>
                <w:sz w:val="18"/>
                <w:szCs w:val="18"/>
                <w:u w:color="000000"/>
                <w:bdr w:val="nil"/>
                <w:lang w:val="es-ES_tradnl" w:eastAsia="es-CL"/>
              </w:rPr>
            </w:pPr>
            <w:r>
              <w:rPr>
                <w:bCs/>
                <w:color w:val="000000"/>
                <w:sz w:val="18"/>
                <w:szCs w:val="18"/>
                <w:u w:color="000000"/>
                <w:bdr w:val="nil"/>
                <w:lang w:val="es-ES_tradnl" w:eastAsia="es-CL"/>
              </w:rPr>
              <w:t>M$</w:t>
            </w:r>
          </w:p>
        </w:tc>
        <w:tc>
          <w:tcPr>
            <w:tcW w:w="1050" w:type="dxa"/>
            <w:vMerge w:val="restart"/>
            <w:tcBorders>
              <w:top w:val="single" w:sz="8" w:space="0" w:color="FFFFFF"/>
              <w:left w:val="single" w:sz="8" w:space="0" w:color="FFFFFF"/>
              <w:bottom w:val="single" w:sz="8" w:space="0" w:color="FFFFFF"/>
              <w:right w:val="single" w:sz="8" w:space="0" w:color="FFFFFF"/>
            </w:tcBorders>
            <w:shd w:val="clear" w:color="auto" w:fill="B9CDE5"/>
            <w:tcMar>
              <w:top w:w="80" w:type="dxa"/>
              <w:left w:w="80" w:type="dxa"/>
              <w:bottom w:w="80" w:type="dxa"/>
              <w:right w:w="80" w:type="dxa"/>
            </w:tcMar>
            <w:vAlign w:val="center"/>
          </w:tcPr>
          <w:p>
            <w:pPr>
              <w:pBdr>
                <w:top w:val="nil"/>
                <w:left w:val="nil"/>
                <w:bottom w:val="nil"/>
                <w:right w:val="nil"/>
                <w:between w:val="nil"/>
                <w:bar w:val="nil"/>
              </w:pBdr>
              <w:rPr>
                <w:rFonts w:eastAsia="Arial"/>
                <w:b w:val="0"/>
                <w:color w:val="000000"/>
                <w:sz w:val="18"/>
                <w:szCs w:val="18"/>
                <w:u w:color="000000"/>
                <w:bdr w:val="nil"/>
                <w:lang w:val="es-ES_tradnl" w:eastAsia="es-CL"/>
              </w:rPr>
            </w:pPr>
            <w:r>
              <w:rPr>
                <w:bCs/>
                <w:color w:val="000000"/>
                <w:sz w:val="18"/>
                <w:szCs w:val="18"/>
                <w:u w:color="000000"/>
                <w:bdr w:val="nil"/>
                <w:lang w:val="es-ES_tradnl" w:eastAsia="es-CL"/>
              </w:rPr>
              <w:t>%</w:t>
            </w:r>
          </w:p>
        </w:tc>
      </w:tr>
      <w:tr>
        <w:tblPrEx>
          <w:tblCellMar>
            <w:top w:w="0" w:type="dxa"/>
            <w:left w:w="0" w:type="dxa"/>
            <w:bottom w:w="0" w:type="dxa"/>
            <w:right w:w="0" w:type="dxa"/>
          </w:tblCellMar>
        </w:tblPrEx>
        <w:trPr>
          <w:trHeight w:val="20"/>
          <w:jc w:val="center"/>
        </w:trPr>
        <w:tc>
          <w:tcPr>
            <w:tcW w:w="4392" w:type="dxa"/>
            <w:vMerge/>
            <w:tcBorders>
              <w:top w:val="nil"/>
              <w:left w:val="nil"/>
              <w:bottom w:val="single" w:sz="8" w:space="0" w:color="FFFFFF"/>
              <w:right w:val="single" w:sz="8" w:space="0" w:color="FFFFFF"/>
            </w:tcBorders>
            <w:shd w:val="clear" w:color="auto" w:fill="B9CDE5"/>
          </w:tcPr>
          <w:p>
            <w:pPr>
              <w:pBdr>
                <w:top w:val="nil"/>
                <w:left w:val="nil"/>
                <w:bottom w:val="nil"/>
                <w:right w:val="nil"/>
                <w:between w:val="nil"/>
                <w:bar w:val="nil"/>
              </w:pBdr>
              <w:rPr>
                <w:rFonts w:eastAsia="Arial"/>
                <w:b w:val="0"/>
                <w:color w:val="000000"/>
                <w:sz w:val="18"/>
                <w:szCs w:val="18"/>
                <w:u w:color="000000"/>
                <w:bdr w:val="nil"/>
                <w:lang w:val="es-ES_tradnl" w:eastAsia="es-CL"/>
              </w:rPr>
            </w:pPr>
          </w:p>
        </w:tc>
        <w:tc>
          <w:tcPr>
            <w:tcW w:w="1139" w:type="dxa"/>
            <w:tcBorders>
              <w:top w:val="nil"/>
              <w:left w:val="single" w:sz="8" w:space="0" w:color="FFFFFF"/>
              <w:bottom w:val="single" w:sz="8" w:space="0" w:color="FFFFFF"/>
              <w:right w:val="single" w:sz="8" w:space="0" w:color="FFFFFF"/>
            </w:tcBorders>
            <w:shd w:val="clear" w:color="auto" w:fill="B9CDE5"/>
            <w:tcMar>
              <w:top w:w="80" w:type="dxa"/>
              <w:left w:w="80" w:type="dxa"/>
              <w:bottom w:w="80" w:type="dxa"/>
              <w:right w:w="80" w:type="dxa"/>
            </w:tcMar>
            <w:vAlign w:val="center"/>
          </w:tcPr>
          <w:p>
            <w:pPr>
              <w:pBdr>
                <w:top w:val="nil"/>
                <w:left w:val="nil"/>
                <w:bottom w:val="nil"/>
                <w:right w:val="nil"/>
                <w:between w:val="nil"/>
                <w:bar w:val="nil"/>
              </w:pBdr>
              <w:rPr>
                <w:rFonts w:eastAsia="Arial"/>
                <w:b w:val="0"/>
                <w:color w:val="000000"/>
                <w:sz w:val="18"/>
                <w:szCs w:val="18"/>
                <w:u w:color="000000"/>
                <w:bdr w:val="nil"/>
                <w:lang w:val="es-ES_tradnl" w:eastAsia="es-CL"/>
              </w:rPr>
            </w:pPr>
            <w:r>
              <w:rPr>
                <w:b w:val="0"/>
                <w:color w:val="000000"/>
                <w:sz w:val="18"/>
                <w:szCs w:val="18"/>
                <w:u w:color="000000"/>
                <w:bdr w:val="nil"/>
                <w:lang w:val="es-ES_tradnl" w:eastAsia="es-CL"/>
              </w:rPr>
              <w:t>(M$ 2017)</w:t>
            </w:r>
          </w:p>
        </w:tc>
        <w:tc>
          <w:tcPr>
            <w:tcW w:w="1249" w:type="dxa"/>
            <w:tcBorders>
              <w:top w:val="nil"/>
              <w:left w:val="single" w:sz="8" w:space="0" w:color="FFFFFF"/>
              <w:bottom w:val="single" w:sz="8" w:space="0" w:color="FFFFFF"/>
              <w:right w:val="single" w:sz="8" w:space="0" w:color="FFFFFF"/>
            </w:tcBorders>
            <w:shd w:val="clear" w:color="auto" w:fill="B9CDE5"/>
            <w:tcMar>
              <w:top w:w="80" w:type="dxa"/>
              <w:left w:w="80" w:type="dxa"/>
              <w:bottom w:w="80" w:type="dxa"/>
              <w:right w:w="80" w:type="dxa"/>
            </w:tcMar>
            <w:vAlign w:val="center"/>
          </w:tcPr>
          <w:p>
            <w:pPr>
              <w:pBdr>
                <w:top w:val="nil"/>
                <w:left w:val="nil"/>
                <w:bottom w:val="nil"/>
                <w:right w:val="nil"/>
                <w:between w:val="nil"/>
                <w:bar w:val="nil"/>
              </w:pBdr>
              <w:rPr>
                <w:rFonts w:eastAsia="Arial"/>
                <w:b w:val="0"/>
                <w:color w:val="000000"/>
                <w:sz w:val="18"/>
                <w:szCs w:val="18"/>
                <w:u w:color="000000"/>
                <w:bdr w:val="nil"/>
                <w:lang w:val="es-ES_tradnl" w:eastAsia="es-CL"/>
              </w:rPr>
            </w:pPr>
            <w:r>
              <w:rPr>
                <w:b w:val="0"/>
                <w:color w:val="000000"/>
                <w:sz w:val="18"/>
                <w:szCs w:val="18"/>
                <w:u w:color="000000"/>
                <w:bdr w:val="nil"/>
                <w:lang w:val="es-ES_tradnl" w:eastAsia="es-CL"/>
              </w:rPr>
              <w:t>(M$ 2017)</w:t>
            </w:r>
          </w:p>
        </w:tc>
        <w:tc>
          <w:tcPr>
            <w:tcW w:w="180"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pPr>
              <w:pBdr>
                <w:top w:val="nil"/>
                <w:left w:val="nil"/>
                <w:bottom w:val="nil"/>
                <w:right w:val="nil"/>
                <w:between w:val="nil"/>
                <w:bar w:val="nil"/>
              </w:pBdr>
              <w:rPr>
                <w:rFonts w:eastAsia="Arial"/>
                <w:b w:val="0"/>
                <w:color w:val="000000"/>
                <w:sz w:val="18"/>
                <w:szCs w:val="18"/>
                <w:u w:color="000000"/>
                <w:bdr w:val="nil"/>
                <w:lang w:val="es-ES_tradnl" w:eastAsia="es-CL"/>
              </w:rPr>
            </w:pPr>
            <w:r>
              <w:rPr>
                <w:bCs/>
                <w:color w:val="000000"/>
                <w:sz w:val="18"/>
                <w:szCs w:val="18"/>
                <w:u w:color="000000"/>
                <w:bdr w:val="nil"/>
                <w:lang w:val="es-ES_tradnl" w:eastAsia="es-CL"/>
              </w:rPr>
              <w:t> </w:t>
            </w:r>
          </w:p>
        </w:tc>
        <w:tc>
          <w:tcPr>
            <w:tcW w:w="1029" w:type="dxa"/>
            <w:vMerge/>
            <w:tcBorders>
              <w:top w:val="single" w:sz="8" w:space="0" w:color="FFFFFF"/>
              <w:left w:val="single" w:sz="8" w:space="0" w:color="FFFFFF"/>
              <w:bottom w:val="single" w:sz="8" w:space="0" w:color="FFFFFF"/>
              <w:right w:val="single" w:sz="8" w:space="0" w:color="FFFFFF"/>
            </w:tcBorders>
            <w:shd w:val="clear" w:color="auto" w:fill="B9CDE5"/>
          </w:tcPr>
          <w:p>
            <w:pPr>
              <w:pBdr>
                <w:top w:val="nil"/>
                <w:left w:val="nil"/>
                <w:bottom w:val="nil"/>
                <w:right w:val="nil"/>
                <w:between w:val="nil"/>
                <w:bar w:val="nil"/>
              </w:pBdr>
              <w:rPr>
                <w:rFonts w:eastAsia="Arial"/>
                <w:b w:val="0"/>
                <w:color w:val="000000"/>
                <w:sz w:val="18"/>
                <w:szCs w:val="18"/>
                <w:u w:color="000000"/>
                <w:bdr w:val="nil"/>
                <w:lang w:val="es-ES_tradnl" w:eastAsia="es-CL"/>
              </w:rPr>
            </w:pPr>
          </w:p>
        </w:tc>
        <w:tc>
          <w:tcPr>
            <w:tcW w:w="1050" w:type="dxa"/>
            <w:vMerge/>
            <w:tcBorders>
              <w:top w:val="single" w:sz="8" w:space="0" w:color="FFFFFF"/>
              <w:left w:val="single" w:sz="8" w:space="0" w:color="FFFFFF"/>
              <w:bottom w:val="single" w:sz="8" w:space="0" w:color="FFFFFF"/>
              <w:right w:val="single" w:sz="8" w:space="0" w:color="FFFFFF"/>
            </w:tcBorders>
            <w:shd w:val="clear" w:color="auto" w:fill="B9CDE5"/>
          </w:tcPr>
          <w:p>
            <w:pPr>
              <w:pBdr>
                <w:top w:val="nil"/>
                <w:left w:val="nil"/>
                <w:bottom w:val="nil"/>
                <w:right w:val="nil"/>
                <w:between w:val="nil"/>
                <w:bar w:val="nil"/>
              </w:pBdr>
              <w:rPr>
                <w:rFonts w:eastAsia="Arial"/>
                <w:b w:val="0"/>
                <w:color w:val="000000"/>
                <w:sz w:val="18"/>
                <w:szCs w:val="18"/>
                <w:u w:color="000000"/>
                <w:bdr w:val="nil"/>
                <w:lang w:val="es-ES_tradnl" w:eastAsia="es-CL"/>
              </w:rPr>
            </w:pPr>
          </w:p>
        </w:tc>
      </w:tr>
      <w:tr>
        <w:tblPrEx>
          <w:tblCellMar>
            <w:top w:w="0" w:type="dxa"/>
            <w:left w:w="0" w:type="dxa"/>
            <w:bottom w:w="0" w:type="dxa"/>
            <w:right w:w="0" w:type="dxa"/>
          </w:tblCellMar>
        </w:tblPrEx>
        <w:trPr>
          <w:trHeight w:val="320"/>
          <w:jc w:val="center"/>
        </w:trPr>
        <w:tc>
          <w:tcPr>
            <w:tcW w:w="4392" w:type="dxa"/>
            <w:tcBorders>
              <w:top w:val="single" w:sz="8" w:space="0" w:color="FFFFFF"/>
              <w:left w:val="single" w:sz="8" w:space="0" w:color="FFFFFF"/>
              <w:bottom w:val="single" w:sz="8" w:space="0" w:color="FFFFFF"/>
              <w:right w:val="single" w:sz="8" w:space="0" w:color="FFFFFF"/>
            </w:tcBorders>
            <w:shd w:val="clear" w:color="auto" w:fill="C6D9F1"/>
            <w:tcMar>
              <w:top w:w="80" w:type="dxa"/>
              <w:left w:w="80" w:type="dxa"/>
              <w:bottom w:w="80" w:type="dxa"/>
              <w:right w:w="80" w:type="dxa"/>
            </w:tcMar>
            <w:vAlign w:val="center"/>
          </w:tcPr>
          <w:p>
            <w:pPr>
              <w:pBdr>
                <w:top w:val="nil"/>
                <w:left w:val="nil"/>
                <w:bottom w:val="nil"/>
                <w:right w:val="nil"/>
                <w:between w:val="nil"/>
                <w:bar w:val="nil"/>
              </w:pBdr>
              <w:rPr>
                <w:rFonts w:eastAsia="Arial"/>
                <w:b w:val="0"/>
                <w:color w:val="000000"/>
                <w:sz w:val="18"/>
                <w:szCs w:val="18"/>
                <w:u w:color="000000"/>
                <w:bdr w:val="nil"/>
                <w:lang w:val="es-ES_tradnl" w:eastAsia="es-CL"/>
              </w:rPr>
            </w:pPr>
            <w:r>
              <w:rPr>
                <w:bCs/>
                <w:color w:val="000000"/>
                <w:sz w:val="18"/>
                <w:szCs w:val="18"/>
                <w:u w:color="000000"/>
                <w:bdr w:val="nil"/>
                <w:lang w:val="es-ES_tradnl" w:eastAsia="es-CL"/>
              </w:rPr>
              <w:t>TOTAL</w:t>
            </w:r>
          </w:p>
        </w:tc>
        <w:tc>
          <w:tcPr>
            <w:tcW w:w="1139" w:type="dxa"/>
            <w:tcBorders>
              <w:top w:val="single" w:sz="8" w:space="0" w:color="FFFFFF"/>
              <w:left w:val="single" w:sz="8" w:space="0" w:color="FFFFFF"/>
              <w:bottom w:val="single" w:sz="8" w:space="0" w:color="FFFFFF"/>
              <w:right w:val="single" w:sz="8" w:space="0" w:color="FFFFFF"/>
            </w:tcBorders>
            <w:shd w:val="clear" w:color="auto" w:fill="C6D9F1"/>
            <w:tcMar>
              <w:top w:w="80" w:type="dxa"/>
              <w:left w:w="80" w:type="dxa"/>
              <w:bottom w:w="80" w:type="dxa"/>
              <w:right w:w="80" w:type="dxa"/>
            </w:tcMar>
            <w:vAlign w:val="center"/>
          </w:tcPr>
          <w:p>
            <w:pPr>
              <w:pBdr>
                <w:top w:val="nil"/>
                <w:left w:val="nil"/>
                <w:bottom w:val="nil"/>
                <w:right w:val="nil"/>
                <w:between w:val="nil"/>
                <w:bar w:val="nil"/>
              </w:pBdr>
              <w:rPr>
                <w:rFonts w:eastAsia="Arial"/>
                <w:b w:val="0"/>
                <w:color w:val="000000"/>
                <w:sz w:val="18"/>
                <w:szCs w:val="18"/>
                <w:u w:color="000000"/>
                <w:bdr w:val="nil"/>
                <w:lang w:val="es-ES_tradnl" w:eastAsia="es-CL"/>
              </w:rPr>
            </w:pPr>
            <w:r>
              <w:rPr>
                <w:bCs/>
                <w:color w:val="000000"/>
                <w:sz w:val="18"/>
                <w:szCs w:val="18"/>
                <w:u w:color="000000"/>
                <w:bdr w:val="nil"/>
                <w:lang w:val="es-ES_tradnl" w:eastAsia="es-CL"/>
              </w:rPr>
              <w:t>29.919.170</w:t>
            </w:r>
          </w:p>
        </w:tc>
        <w:tc>
          <w:tcPr>
            <w:tcW w:w="1249" w:type="dxa"/>
            <w:tcBorders>
              <w:top w:val="single" w:sz="8" w:space="0" w:color="FFFFFF"/>
              <w:left w:val="single" w:sz="8" w:space="0" w:color="FFFFFF"/>
              <w:bottom w:val="single" w:sz="8" w:space="0" w:color="FFFFFF"/>
              <w:right w:val="single" w:sz="8" w:space="0" w:color="FFFFFF"/>
            </w:tcBorders>
            <w:shd w:val="clear" w:color="auto" w:fill="C6D9F1"/>
            <w:tcMar>
              <w:top w:w="80" w:type="dxa"/>
              <w:left w:w="80" w:type="dxa"/>
              <w:bottom w:w="80" w:type="dxa"/>
              <w:right w:w="80" w:type="dxa"/>
            </w:tcMar>
            <w:vAlign w:val="center"/>
          </w:tcPr>
          <w:p>
            <w:pPr>
              <w:pBdr>
                <w:top w:val="nil"/>
                <w:left w:val="nil"/>
                <w:bottom w:val="nil"/>
                <w:right w:val="nil"/>
                <w:between w:val="nil"/>
                <w:bar w:val="nil"/>
              </w:pBdr>
              <w:rPr>
                <w:rFonts w:eastAsia="Arial"/>
                <w:b w:val="0"/>
                <w:color w:val="000000"/>
                <w:sz w:val="18"/>
                <w:szCs w:val="18"/>
                <w:u w:color="000000"/>
                <w:bdr w:val="nil"/>
                <w:lang w:val="es-ES_tradnl" w:eastAsia="es-CL"/>
              </w:rPr>
            </w:pPr>
            <w:r>
              <w:rPr>
                <w:bCs/>
                <w:color w:val="000000"/>
                <w:sz w:val="18"/>
                <w:szCs w:val="18"/>
                <w:u w:color="000000"/>
                <w:bdr w:val="nil"/>
                <w:lang w:val="es-ES_tradnl" w:eastAsia="es-CL"/>
              </w:rPr>
              <w:t>31.938.283</w:t>
            </w:r>
          </w:p>
        </w:tc>
        <w:tc>
          <w:tcPr>
            <w:tcW w:w="180"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vAlign w:val="center"/>
          </w:tcPr>
          <w:p>
            <w:pPr>
              <w:pBdr>
                <w:top w:val="nil"/>
                <w:left w:val="nil"/>
                <w:bottom w:val="nil"/>
                <w:right w:val="nil"/>
                <w:between w:val="nil"/>
                <w:bar w:val="nil"/>
              </w:pBdr>
              <w:rPr>
                <w:rFonts w:eastAsia="Arial"/>
                <w:b w:val="0"/>
                <w:color w:val="000000"/>
                <w:sz w:val="18"/>
                <w:szCs w:val="18"/>
                <w:u w:color="000000"/>
                <w:bdr w:val="nil"/>
                <w:lang w:val="es-ES_tradnl" w:eastAsia="es-CL"/>
              </w:rPr>
            </w:pPr>
            <w:r>
              <w:rPr>
                <w:bCs/>
                <w:color w:val="000000"/>
                <w:sz w:val="18"/>
                <w:szCs w:val="18"/>
                <w:u w:color="000000"/>
                <w:bdr w:val="nil"/>
                <w:lang w:val="es-ES_tradnl" w:eastAsia="es-CL"/>
              </w:rPr>
              <w:t> </w:t>
            </w:r>
          </w:p>
        </w:tc>
        <w:tc>
          <w:tcPr>
            <w:tcW w:w="1029" w:type="dxa"/>
            <w:tcBorders>
              <w:top w:val="single" w:sz="8" w:space="0" w:color="FFFFFF"/>
              <w:left w:val="single" w:sz="8" w:space="0" w:color="FFFFFF"/>
              <w:bottom w:val="single" w:sz="8" w:space="0" w:color="FFFFFF"/>
              <w:right w:val="single" w:sz="8" w:space="0" w:color="FFFFFF"/>
            </w:tcBorders>
            <w:shd w:val="clear" w:color="auto" w:fill="C6D9F1"/>
            <w:tcMar>
              <w:top w:w="80" w:type="dxa"/>
              <w:left w:w="80" w:type="dxa"/>
              <w:bottom w:w="80" w:type="dxa"/>
              <w:right w:w="80" w:type="dxa"/>
            </w:tcMar>
            <w:vAlign w:val="center"/>
          </w:tcPr>
          <w:p>
            <w:pPr>
              <w:pBdr>
                <w:top w:val="nil"/>
                <w:left w:val="nil"/>
                <w:bottom w:val="nil"/>
                <w:right w:val="nil"/>
                <w:between w:val="nil"/>
                <w:bar w:val="nil"/>
              </w:pBdr>
              <w:rPr>
                <w:rFonts w:eastAsia="Arial"/>
                <w:b w:val="0"/>
                <w:color w:val="000000"/>
                <w:sz w:val="18"/>
                <w:szCs w:val="18"/>
                <w:u w:color="000000"/>
                <w:bdr w:val="nil"/>
                <w:lang w:val="es-ES_tradnl" w:eastAsia="es-CL"/>
              </w:rPr>
            </w:pPr>
            <w:r>
              <w:rPr>
                <w:bCs/>
                <w:color w:val="000000"/>
                <w:sz w:val="18"/>
                <w:szCs w:val="18"/>
                <w:u w:color="000000"/>
                <w:bdr w:val="nil"/>
                <w:lang w:val="es-ES_tradnl" w:eastAsia="es-CL"/>
              </w:rPr>
              <w:t>2.019.113</w:t>
            </w:r>
          </w:p>
        </w:tc>
        <w:tc>
          <w:tcPr>
            <w:tcW w:w="1050" w:type="dxa"/>
            <w:tcBorders>
              <w:top w:val="single" w:sz="8" w:space="0" w:color="FFFFFF"/>
              <w:left w:val="single" w:sz="8" w:space="0" w:color="FFFFFF"/>
              <w:bottom w:val="single" w:sz="8" w:space="0" w:color="FFFFFF"/>
              <w:right w:val="single" w:sz="8" w:space="0" w:color="FFFFFF"/>
            </w:tcBorders>
            <w:shd w:val="clear" w:color="auto" w:fill="C6D9F1"/>
            <w:tcMar>
              <w:top w:w="80" w:type="dxa"/>
              <w:left w:w="80" w:type="dxa"/>
              <w:bottom w:w="80" w:type="dxa"/>
              <w:right w:w="80" w:type="dxa"/>
            </w:tcMar>
            <w:vAlign w:val="center"/>
          </w:tcPr>
          <w:p>
            <w:pPr>
              <w:pBdr>
                <w:top w:val="nil"/>
                <w:left w:val="nil"/>
                <w:bottom w:val="nil"/>
                <w:right w:val="nil"/>
                <w:between w:val="nil"/>
                <w:bar w:val="nil"/>
              </w:pBdr>
              <w:rPr>
                <w:rFonts w:eastAsia="Arial"/>
                <w:b w:val="0"/>
                <w:color w:val="000000"/>
                <w:sz w:val="18"/>
                <w:szCs w:val="18"/>
                <w:u w:color="000000"/>
                <w:bdr w:val="nil"/>
                <w:lang w:val="es-ES_tradnl" w:eastAsia="es-CL"/>
              </w:rPr>
            </w:pPr>
            <w:r>
              <w:rPr>
                <w:bCs/>
                <w:color w:val="000000"/>
                <w:sz w:val="18"/>
                <w:szCs w:val="18"/>
                <w:u w:color="000000"/>
                <w:bdr w:val="nil"/>
                <w:lang w:val="es-ES_tradnl" w:eastAsia="es-CL"/>
              </w:rPr>
              <w:t>6,7%</w:t>
            </w:r>
          </w:p>
        </w:tc>
      </w:tr>
      <w:tr>
        <w:tblPrEx>
          <w:tblCellMar>
            <w:top w:w="0" w:type="dxa"/>
            <w:left w:w="0" w:type="dxa"/>
            <w:bottom w:w="0" w:type="dxa"/>
            <w:right w:w="0" w:type="dxa"/>
          </w:tblCellMar>
        </w:tblPrEx>
        <w:trPr>
          <w:trHeight w:val="130"/>
          <w:jc w:val="center"/>
        </w:trPr>
        <w:tc>
          <w:tcPr>
            <w:tcW w:w="4392"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rPr>
                <w:rFonts w:eastAsia="Arial"/>
                <w:b w:val="0"/>
                <w:color w:val="000000"/>
                <w:sz w:val="18"/>
                <w:szCs w:val="18"/>
                <w:u w:color="000000"/>
                <w:bdr w:val="nil"/>
                <w:lang w:val="es-ES_tradnl" w:eastAsia="es-CL"/>
              </w:rPr>
            </w:pPr>
            <w:r>
              <w:rPr>
                <w:b w:val="0"/>
                <w:color w:val="000000"/>
                <w:sz w:val="18"/>
                <w:szCs w:val="18"/>
                <w:u w:color="000000"/>
                <w:bdr w:val="nil"/>
                <w:lang w:val="es-ES_tradnl" w:eastAsia="es-CL"/>
              </w:rPr>
              <w:t>Gasto en Personal  (</w:t>
            </w:r>
            <w:r>
              <w:rPr>
                <w:bCs/>
                <w:color w:val="000000"/>
                <w:sz w:val="18"/>
                <w:szCs w:val="18"/>
                <w:u w:color="000000"/>
                <w:bdr w:val="nil"/>
                <w:lang w:val="es-ES_tradnl" w:eastAsia="es-CL"/>
              </w:rPr>
              <w:t>Subtítulo 21</w:t>
            </w:r>
            <w:r>
              <w:rPr>
                <w:b w:val="0"/>
                <w:color w:val="000000"/>
                <w:sz w:val="18"/>
                <w:szCs w:val="18"/>
                <w:u w:color="000000"/>
                <w:bdr w:val="nil"/>
                <w:lang w:val="es-ES_tradnl" w:eastAsia="es-CL"/>
              </w:rPr>
              <w:t>)</w:t>
            </w:r>
          </w:p>
        </w:tc>
        <w:tc>
          <w:tcPr>
            <w:tcW w:w="1139"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rPr>
                <w:rFonts w:eastAsia="Arial"/>
                <w:b w:val="0"/>
                <w:color w:val="000000"/>
                <w:sz w:val="18"/>
                <w:szCs w:val="18"/>
                <w:u w:color="000000"/>
                <w:bdr w:val="nil"/>
                <w:lang w:val="es-ES_tradnl" w:eastAsia="es-CL"/>
              </w:rPr>
            </w:pPr>
            <w:r>
              <w:rPr>
                <w:b w:val="0"/>
                <w:color w:val="000000"/>
                <w:sz w:val="18"/>
                <w:szCs w:val="18"/>
                <w:u w:color="000000"/>
                <w:bdr w:val="nil"/>
                <w:lang w:val="es-ES_tradnl" w:eastAsia="es-CL"/>
              </w:rPr>
              <w:t>8.400.435</w:t>
            </w:r>
          </w:p>
        </w:tc>
        <w:tc>
          <w:tcPr>
            <w:tcW w:w="1249"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rPr>
                <w:rFonts w:eastAsia="Arial"/>
                <w:b w:val="0"/>
                <w:color w:val="000000"/>
                <w:sz w:val="18"/>
                <w:szCs w:val="18"/>
                <w:u w:color="000000"/>
                <w:bdr w:val="nil"/>
                <w:lang w:val="es-ES_tradnl" w:eastAsia="es-CL"/>
              </w:rPr>
            </w:pPr>
            <w:r>
              <w:rPr>
                <w:b w:val="0"/>
                <w:color w:val="000000"/>
                <w:sz w:val="18"/>
                <w:szCs w:val="18"/>
                <w:u w:color="000000"/>
                <w:bdr w:val="nil"/>
                <w:lang w:val="es-ES_tradnl" w:eastAsia="es-CL"/>
              </w:rPr>
              <w:t>8.427.146</w:t>
            </w:r>
          </w:p>
        </w:tc>
        <w:tc>
          <w:tcPr>
            <w:tcW w:w="180"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vAlign w:val="center"/>
          </w:tcPr>
          <w:p>
            <w:pPr>
              <w:pBdr>
                <w:top w:val="nil"/>
                <w:left w:val="nil"/>
                <w:bottom w:val="nil"/>
                <w:right w:val="nil"/>
                <w:between w:val="nil"/>
                <w:bar w:val="nil"/>
              </w:pBdr>
              <w:rPr>
                <w:rFonts w:eastAsia="Arial"/>
                <w:b w:val="0"/>
                <w:color w:val="000000"/>
                <w:sz w:val="18"/>
                <w:szCs w:val="18"/>
                <w:u w:color="000000"/>
                <w:bdr w:val="nil"/>
                <w:lang w:val="es-ES_tradnl" w:eastAsia="es-CL"/>
              </w:rPr>
            </w:pPr>
            <w:r>
              <w:rPr>
                <w:b w:val="0"/>
                <w:color w:val="000000"/>
                <w:sz w:val="18"/>
                <w:szCs w:val="18"/>
                <w:u w:color="000000"/>
                <w:bdr w:val="nil"/>
                <w:lang w:val="es-ES_tradnl" w:eastAsia="es-CL"/>
              </w:rPr>
              <w:t> </w:t>
            </w:r>
          </w:p>
        </w:tc>
        <w:tc>
          <w:tcPr>
            <w:tcW w:w="1029"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rPr>
                <w:rFonts w:eastAsia="Arial"/>
                <w:b w:val="0"/>
                <w:color w:val="000000"/>
                <w:sz w:val="18"/>
                <w:szCs w:val="18"/>
                <w:u w:color="000000"/>
                <w:bdr w:val="nil"/>
                <w:lang w:val="es-ES_tradnl" w:eastAsia="es-CL"/>
              </w:rPr>
            </w:pPr>
            <w:r>
              <w:rPr>
                <w:b w:val="0"/>
                <w:color w:val="000000"/>
                <w:sz w:val="18"/>
                <w:szCs w:val="18"/>
                <w:u w:color="000000"/>
                <w:bdr w:val="nil"/>
                <w:lang w:val="es-ES_tradnl" w:eastAsia="es-CL"/>
              </w:rPr>
              <w:t>26.711</w:t>
            </w:r>
          </w:p>
        </w:tc>
        <w:tc>
          <w:tcPr>
            <w:tcW w:w="1050"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rPr>
                <w:rFonts w:eastAsia="Arial"/>
                <w:b w:val="0"/>
                <w:color w:val="000000"/>
                <w:sz w:val="18"/>
                <w:szCs w:val="18"/>
                <w:u w:color="000000"/>
                <w:bdr w:val="nil"/>
                <w:lang w:val="es-ES_tradnl" w:eastAsia="es-CL"/>
              </w:rPr>
            </w:pPr>
            <w:r>
              <w:rPr>
                <w:b w:val="0"/>
                <w:color w:val="000000"/>
                <w:sz w:val="18"/>
                <w:szCs w:val="18"/>
                <w:u w:color="000000"/>
                <w:bdr w:val="nil"/>
                <w:lang w:val="es-ES_tradnl" w:eastAsia="es-CL"/>
              </w:rPr>
              <w:t>0,3%</w:t>
            </w:r>
          </w:p>
        </w:tc>
      </w:tr>
      <w:tr>
        <w:tblPrEx>
          <w:tblCellMar>
            <w:top w:w="0" w:type="dxa"/>
            <w:left w:w="0" w:type="dxa"/>
            <w:bottom w:w="0" w:type="dxa"/>
            <w:right w:w="0" w:type="dxa"/>
          </w:tblCellMar>
        </w:tblPrEx>
        <w:trPr>
          <w:trHeight w:val="222"/>
          <w:jc w:val="center"/>
        </w:trPr>
        <w:tc>
          <w:tcPr>
            <w:tcW w:w="4392"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rPr>
                <w:rFonts w:eastAsia="Arial"/>
                <w:b w:val="0"/>
                <w:color w:val="000000"/>
                <w:sz w:val="18"/>
                <w:szCs w:val="18"/>
                <w:u w:color="000000"/>
                <w:bdr w:val="nil"/>
                <w:lang w:val="es-ES_tradnl" w:eastAsia="es-CL"/>
              </w:rPr>
            </w:pPr>
            <w:r>
              <w:rPr>
                <w:b w:val="0"/>
                <w:color w:val="000000"/>
                <w:sz w:val="18"/>
                <w:szCs w:val="18"/>
                <w:u w:color="000000"/>
                <w:bdr w:val="nil"/>
                <w:lang w:val="es-ES_tradnl" w:eastAsia="es-CL"/>
              </w:rPr>
              <w:t>Bienes y Servicios de Consumo  (</w:t>
            </w:r>
            <w:r>
              <w:rPr>
                <w:bCs/>
                <w:color w:val="000000"/>
                <w:sz w:val="18"/>
                <w:szCs w:val="18"/>
                <w:u w:color="000000"/>
                <w:bdr w:val="nil"/>
                <w:lang w:val="es-ES_tradnl" w:eastAsia="es-CL"/>
              </w:rPr>
              <w:t>Subtítulo 22</w:t>
            </w:r>
            <w:r>
              <w:rPr>
                <w:b w:val="0"/>
                <w:color w:val="000000"/>
                <w:sz w:val="18"/>
                <w:szCs w:val="18"/>
                <w:u w:color="000000"/>
                <w:bdr w:val="nil"/>
                <w:lang w:val="es-ES_tradnl" w:eastAsia="es-CL"/>
              </w:rPr>
              <w:t>)</w:t>
            </w:r>
          </w:p>
        </w:tc>
        <w:tc>
          <w:tcPr>
            <w:tcW w:w="1139"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rPr>
                <w:rFonts w:eastAsia="Arial"/>
                <w:b w:val="0"/>
                <w:color w:val="000000"/>
                <w:sz w:val="18"/>
                <w:szCs w:val="18"/>
                <w:u w:color="000000"/>
                <w:bdr w:val="nil"/>
                <w:lang w:val="es-ES_tradnl" w:eastAsia="es-CL"/>
              </w:rPr>
            </w:pPr>
            <w:r>
              <w:rPr>
                <w:b w:val="0"/>
                <w:color w:val="000000"/>
                <w:sz w:val="18"/>
                <w:szCs w:val="18"/>
                <w:u w:color="000000"/>
                <w:bdr w:val="nil"/>
                <w:lang w:val="es-ES_tradnl" w:eastAsia="es-CL"/>
              </w:rPr>
              <w:t>4.388.056</w:t>
            </w:r>
          </w:p>
        </w:tc>
        <w:tc>
          <w:tcPr>
            <w:tcW w:w="1249"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rPr>
                <w:rFonts w:eastAsia="Arial"/>
                <w:b w:val="0"/>
                <w:color w:val="000000"/>
                <w:sz w:val="18"/>
                <w:szCs w:val="18"/>
                <w:u w:color="000000"/>
                <w:bdr w:val="nil"/>
                <w:lang w:val="es-ES_tradnl" w:eastAsia="es-CL"/>
              </w:rPr>
            </w:pPr>
            <w:r>
              <w:rPr>
                <w:b w:val="0"/>
                <w:color w:val="000000"/>
                <w:sz w:val="18"/>
                <w:szCs w:val="18"/>
                <w:u w:color="000000"/>
                <w:bdr w:val="nil"/>
                <w:lang w:val="es-ES_tradnl" w:eastAsia="es-CL"/>
              </w:rPr>
              <w:t>4.501.091</w:t>
            </w:r>
          </w:p>
        </w:tc>
        <w:tc>
          <w:tcPr>
            <w:tcW w:w="180"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vAlign w:val="center"/>
          </w:tcPr>
          <w:p>
            <w:pPr>
              <w:pBdr>
                <w:top w:val="nil"/>
                <w:left w:val="nil"/>
                <w:bottom w:val="nil"/>
                <w:right w:val="nil"/>
                <w:between w:val="nil"/>
                <w:bar w:val="nil"/>
              </w:pBdr>
              <w:rPr>
                <w:rFonts w:eastAsia="Arial"/>
                <w:b w:val="0"/>
                <w:color w:val="000000"/>
                <w:sz w:val="18"/>
                <w:szCs w:val="18"/>
                <w:u w:color="000000"/>
                <w:bdr w:val="nil"/>
                <w:lang w:val="es-ES_tradnl" w:eastAsia="es-CL"/>
              </w:rPr>
            </w:pPr>
            <w:r>
              <w:rPr>
                <w:b w:val="0"/>
                <w:color w:val="000000"/>
                <w:sz w:val="18"/>
                <w:szCs w:val="18"/>
                <w:u w:color="000000"/>
                <w:bdr w:val="nil"/>
                <w:lang w:val="es-ES_tradnl" w:eastAsia="es-CL"/>
              </w:rPr>
              <w:t> </w:t>
            </w:r>
          </w:p>
        </w:tc>
        <w:tc>
          <w:tcPr>
            <w:tcW w:w="1029"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rPr>
                <w:rFonts w:eastAsia="Arial"/>
                <w:b w:val="0"/>
                <w:color w:val="000000"/>
                <w:sz w:val="18"/>
                <w:szCs w:val="18"/>
                <w:u w:color="000000"/>
                <w:bdr w:val="nil"/>
                <w:lang w:val="es-ES_tradnl" w:eastAsia="es-CL"/>
              </w:rPr>
            </w:pPr>
            <w:r>
              <w:rPr>
                <w:b w:val="0"/>
                <w:color w:val="000000"/>
                <w:sz w:val="18"/>
                <w:szCs w:val="18"/>
                <w:u w:color="000000"/>
                <w:bdr w:val="nil"/>
                <w:lang w:val="es-ES_tradnl" w:eastAsia="es-CL"/>
              </w:rPr>
              <w:t>113.035</w:t>
            </w:r>
          </w:p>
        </w:tc>
        <w:tc>
          <w:tcPr>
            <w:tcW w:w="1050"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rPr>
                <w:rFonts w:eastAsia="Arial"/>
                <w:b w:val="0"/>
                <w:color w:val="000000"/>
                <w:sz w:val="18"/>
                <w:szCs w:val="18"/>
                <w:u w:color="000000"/>
                <w:bdr w:val="nil"/>
                <w:lang w:val="es-ES_tradnl" w:eastAsia="es-CL"/>
              </w:rPr>
            </w:pPr>
            <w:r>
              <w:rPr>
                <w:b w:val="0"/>
                <w:color w:val="000000"/>
                <w:sz w:val="18"/>
                <w:szCs w:val="18"/>
                <w:u w:color="000000"/>
                <w:bdr w:val="nil"/>
                <w:lang w:val="es-ES_tradnl" w:eastAsia="es-CL"/>
              </w:rPr>
              <w:t>2,6%</w:t>
            </w:r>
          </w:p>
        </w:tc>
      </w:tr>
      <w:tr>
        <w:tblPrEx>
          <w:tblCellMar>
            <w:top w:w="0" w:type="dxa"/>
            <w:left w:w="0" w:type="dxa"/>
            <w:bottom w:w="0" w:type="dxa"/>
            <w:right w:w="0" w:type="dxa"/>
          </w:tblCellMar>
        </w:tblPrEx>
        <w:trPr>
          <w:trHeight w:val="197"/>
          <w:jc w:val="center"/>
        </w:trPr>
        <w:tc>
          <w:tcPr>
            <w:tcW w:w="4392"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rPr>
                <w:rFonts w:eastAsia="Arial"/>
                <w:b w:val="0"/>
                <w:color w:val="000000"/>
                <w:sz w:val="18"/>
                <w:szCs w:val="18"/>
                <w:u w:color="000000"/>
                <w:bdr w:val="nil"/>
                <w:lang w:val="es-ES_tradnl" w:eastAsia="es-CL"/>
              </w:rPr>
            </w:pPr>
            <w:r>
              <w:rPr>
                <w:b w:val="0"/>
                <w:color w:val="000000"/>
                <w:sz w:val="18"/>
                <w:szCs w:val="18"/>
                <w:u w:color="000000"/>
                <w:bdr w:val="nil"/>
                <w:lang w:val="es-ES_tradnl" w:eastAsia="es-CL"/>
              </w:rPr>
              <w:t>Transferencias Corrientes  (</w:t>
            </w:r>
            <w:r>
              <w:rPr>
                <w:bCs/>
                <w:color w:val="000000"/>
                <w:sz w:val="18"/>
                <w:szCs w:val="18"/>
                <w:u w:color="000000"/>
                <w:bdr w:val="nil"/>
                <w:lang w:val="es-ES_tradnl" w:eastAsia="es-CL"/>
              </w:rPr>
              <w:t>Subtítulo 24</w:t>
            </w:r>
            <w:r>
              <w:rPr>
                <w:b w:val="0"/>
                <w:color w:val="000000"/>
                <w:sz w:val="18"/>
                <w:szCs w:val="18"/>
                <w:u w:color="000000"/>
                <w:bdr w:val="nil"/>
                <w:lang w:val="es-ES_tradnl" w:eastAsia="es-CL"/>
              </w:rPr>
              <w:t>)</w:t>
            </w:r>
          </w:p>
        </w:tc>
        <w:tc>
          <w:tcPr>
            <w:tcW w:w="1139"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rPr>
                <w:rFonts w:eastAsia="Arial"/>
                <w:b w:val="0"/>
                <w:color w:val="000000"/>
                <w:sz w:val="18"/>
                <w:szCs w:val="18"/>
                <w:u w:color="000000"/>
                <w:bdr w:val="nil"/>
                <w:lang w:val="es-ES_tradnl" w:eastAsia="es-CL"/>
              </w:rPr>
            </w:pPr>
            <w:r>
              <w:rPr>
                <w:b w:val="0"/>
                <w:color w:val="000000"/>
                <w:sz w:val="18"/>
                <w:szCs w:val="18"/>
                <w:u w:color="000000"/>
                <w:bdr w:val="nil"/>
                <w:lang w:val="es-ES_tradnl" w:eastAsia="es-CL"/>
              </w:rPr>
              <w:t>12.603.410</w:t>
            </w:r>
          </w:p>
        </w:tc>
        <w:tc>
          <w:tcPr>
            <w:tcW w:w="1249"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rPr>
                <w:rFonts w:eastAsia="Arial"/>
                <w:b w:val="0"/>
                <w:color w:val="000000"/>
                <w:sz w:val="18"/>
                <w:szCs w:val="18"/>
                <w:u w:color="000000"/>
                <w:bdr w:val="nil"/>
                <w:lang w:val="es-ES_tradnl" w:eastAsia="es-CL"/>
              </w:rPr>
            </w:pPr>
            <w:r>
              <w:rPr>
                <w:b w:val="0"/>
                <w:color w:val="000000"/>
                <w:sz w:val="18"/>
                <w:szCs w:val="18"/>
                <w:u w:color="000000"/>
                <w:bdr w:val="nil"/>
                <w:lang w:val="es-ES_tradnl" w:eastAsia="es-CL"/>
              </w:rPr>
              <w:t>15.322.108</w:t>
            </w:r>
          </w:p>
        </w:tc>
        <w:tc>
          <w:tcPr>
            <w:tcW w:w="180"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vAlign w:val="center"/>
          </w:tcPr>
          <w:p>
            <w:pPr>
              <w:pBdr>
                <w:top w:val="nil"/>
                <w:left w:val="nil"/>
                <w:bottom w:val="nil"/>
                <w:right w:val="nil"/>
                <w:between w:val="nil"/>
                <w:bar w:val="nil"/>
              </w:pBdr>
              <w:rPr>
                <w:rFonts w:eastAsia="Arial"/>
                <w:b w:val="0"/>
                <w:color w:val="000000"/>
                <w:sz w:val="18"/>
                <w:szCs w:val="18"/>
                <w:u w:color="000000"/>
                <w:bdr w:val="nil"/>
                <w:lang w:val="es-ES_tradnl" w:eastAsia="es-CL"/>
              </w:rPr>
            </w:pPr>
            <w:r>
              <w:rPr>
                <w:b w:val="0"/>
                <w:color w:val="000000"/>
                <w:sz w:val="18"/>
                <w:szCs w:val="18"/>
                <w:u w:color="000000"/>
                <w:bdr w:val="nil"/>
                <w:lang w:val="es-ES_tradnl" w:eastAsia="es-CL"/>
              </w:rPr>
              <w:t> </w:t>
            </w:r>
          </w:p>
        </w:tc>
        <w:tc>
          <w:tcPr>
            <w:tcW w:w="1029"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rPr>
                <w:rFonts w:eastAsia="Arial"/>
                <w:b w:val="0"/>
                <w:color w:val="000000"/>
                <w:sz w:val="18"/>
                <w:szCs w:val="18"/>
                <w:u w:color="000000"/>
                <w:bdr w:val="nil"/>
                <w:lang w:val="es-ES_tradnl" w:eastAsia="es-CL"/>
              </w:rPr>
            </w:pPr>
            <w:r>
              <w:rPr>
                <w:b w:val="0"/>
                <w:color w:val="000000"/>
                <w:sz w:val="18"/>
                <w:szCs w:val="18"/>
                <w:u w:color="000000"/>
                <w:bdr w:val="nil"/>
                <w:lang w:val="es-ES_tradnl" w:eastAsia="es-CL"/>
              </w:rPr>
              <w:t>2.718.698</w:t>
            </w:r>
          </w:p>
        </w:tc>
        <w:tc>
          <w:tcPr>
            <w:tcW w:w="1050"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rPr>
                <w:rFonts w:eastAsia="Arial"/>
                <w:b w:val="0"/>
                <w:color w:val="000000"/>
                <w:sz w:val="18"/>
                <w:szCs w:val="18"/>
                <w:u w:color="000000"/>
                <w:bdr w:val="nil"/>
                <w:lang w:val="es-ES_tradnl" w:eastAsia="es-CL"/>
              </w:rPr>
            </w:pPr>
            <w:r>
              <w:rPr>
                <w:b w:val="0"/>
                <w:color w:val="000000"/>
                <w:sz w:val="18"/>
                <w:szCs w:val="18"/>
                <w:u w:color="000000"/>
                <w:bdr w:val="nil"/>
                <w:lang w:val="es-ES_tradnl" w:eastAsia="es-CL"/>
              </w:rPr>
              <w:t>21,6%</w:t>
            </w:r>
          </w:p>
        </w:tc>
      </w:tr>
      <w:tr>
        <w:tblPrEx>
          <w:tblCellMar>
            <w:top w:w="0" w:type="dxa"/>
            <w:left w:w="0" w:type="dxa"/>
            <w:bottom w:w="0" w:type="dxa"/>
            <w:right w:w="0" w:type="dxa"/>
          </w:tblCellMar>
        </w:tblPrEx>
        <w:trPr>
          <w:trHeight w:val="231"/>
          <w:jc w:val="center"/>
        </w:trPr>
        <w:tc>
          <w:tcPr>
            <w:tcW w:w="4392"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rPr>
                <w:rFonts w:eastAsia="Arial"/>
                <w:b w:val="0"/>
                <w:color w:val="000000"/>
                <w:sz w:val="18"/>
                <w:szCs w:val="18"/>
                <w:u w:color="000000"/>
                <w:bdr w:val="nil"/>
                <w:lang w:val="es-ES_tradnl" w:eastAsia="es-CL"/>
              </w:rPr>
            </w:pPr>
            <w:r>
              <w:rPr>
                <w:b w:val="0"/>
                <w:color w:val="000000"/>
                <w:sz w:val="18"/>
                <w:szCs w:val="18"/>
                <w:u w:color="000000"/>
                <w:bdr w:val="nil"/>
                <w:lang w:val="es-ES_tradnl" w:eastAsia="es-CL"/>
              </w:rPr>
              <w:t>Adquisición de Activos no financieros  (</w:t>
            </w:r>
            <w:r>
              <w:rPr>
                <w:bCs/>
                <w:color w:val="000000"/>
                <w:sz w:val="18"/>
                <w:szCs w:val="18"/>
                <w:u w:color="000000"/>
                <w:bdr w:val="nil"/>
                <w:lang w:val="es-ES_tradnl" w:eastAsia="es-CL"/>
              </w:rPr>
              <w:t>Subtítulo 29</w:t>
            </w:r>
            <w:r>
              <w:rPr>
                <w:b w:val="0"/>
                <w:color w:val="000000"/>
                <w:sz w:val="18"/>
                <w:szCs w:val="18"/>
                <w:u w:color="000000"/>
                <w:bdr w:val="nil"/>
                <w:lang w:val="es-ES_tradnl" w:eastAsia="es-CL"/>
              </w:rPr>
              <w:t>)</w:t>
            </w:r>
          </w:p>
        </w:tc>
        <w:tc>
          <w:tcPr>
            <w:tcW w:w="1139"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rPr>
                <w:rFonts w:eastAsia="Arial"/>
                <w:b w:val="0"/>
                <w:color w:val="000000"/>
                <w:sz w:val="18"/>
                <w:szCs w:val="18"/>
                <w:u w:color="000000"/>
                <w:bdr w:val="nil"/>
                <w:lang w:val="es-ES_tradnl" w:eastAsia="es-CL"/>
              </w:rPr>
            </w:pPr>
            <w:r>
              <w:rPr>
                <w:b w:val="0"/>
                <w:color w:val="000000"/>
                <w:sz w:val="18"/>
                <w:szCs w:val="18"/>
                <w:u w:color="000000"/>
                <w:bdr w:val="nil"/>
                <w:lang w:val="es-ES_tradnl" w:eastAsia="es-CL"/>
              </w:rPr>
              <w:t>1.486.367</w:t>
            </w:r>
          </w:p>
        </w:tc>
        <w:tc>
          <w:tcPr>
            <w:tcW w:w="1249"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rPr>
                <w:rFonts w:eastAsia="Arial"/>
                <w:b w:val="0"/>
                <w:color w:val="000000"/>
                <w:sz w:val="18"/>
                <w:szCs w:val="18"/>
                <w:u w:color="000000"/>
                <w:bdr w:val="nil"/>
                <w:lang w:val="es-ES_tradnl" w:eastAsia="es-CL"/>
              </w:rPr>
            </w:pPr>
            <w:r>
              <w:rPr>
                <w:b w:val="0"/>
                <w:color w:val="000000"/>
                <w:sz w:val="18"/>
                <w:szCs w:val="18"/>
                <w:u w:color="000000"/>
                <w:bdr w:val="nil"/>
                <w:lang w:val="es-ES_tradnl" w:eastAsia="es-CL"/>
              </w:rPr>
              <w:t>198.024</w:t>
            </w:r>
          </w:p>
        </w:tc>
        <w:tc>
          <w:tcPr>
            <w:tcW w:w="180"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vAlign w:val="center"/>
          </w:tcPr>
          <w:p>
            <w:pPr>
              <w:pBdr>
                <w:top w:val="nil"/>
                <w:left w:val="nil"/>
                <w:bottom w:val="nil"/>
                <w:right w:val="nil"/>
                <w:between w:val="nil"/>
                <w:bar w:val="nil"/>
              </w:pBdr>
              <w:rPr>
                <w:rFonts w:eastAsia="Arial"/>
                <w:b w:val="0"/>
                <w:color w:val="000000"/>
                <w:sz w:val="18"/>
                <w:szCs w:val="18"/>
                <w:u w:color="000000"/>
                <w:bdr w:val="nil"/>
                <w:lang w:val="es-ES_tradnl" w:eastAsia="es-CL"/>
              </w:rPr>
            </w:pPr>
            <w:r>
              <w:rPr>
                <w:b w:val="0"/>
                <w:color w:val="000000"/>
                <w:sz w:val="18"/>
                <w:szCs w:val="18"/>
                <w:u w:color="000000"/>
                <w:bdr w:val="nil"/>
                <w:lang w:val="es-ES_tradnl" w:eastAsia="es-CL"/>
              </w:rPr>
              <w:t> </w:t>
            </w:r>
          </w:p>
        </w:tc>
        <w:tc>
          <w:tcPr>
            <w:tcW w:w="1029"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rPr>
                <w:rFonts w:eastAsia="Arial"/>
                <w:b w:val="0"/>
                <w:color w:val="000000"/>
                <w:sz w:val="18"/>
                <w:szCs w:val="18"/>
                <w:u w:color="000000"/>
                <w:bdr w:val="nil"/>
                <w:lang w:val="es-ES_tradnl" w:eastAsia="es-CL"/>
              </w:rPr>
            </w:pPr>
            <w:r>
              <w:rPr>
                <w:b w:val="0"/>
                <w:color w:val="000000"/>
                <w:sz w:val="18"/>
                <w:szCs w:val="18"/>
                <w:u w:color="000000"/>
                <w:bdr w:val="nil"/>
                <w:lang w:val="es-ES_tradnl" w:eastAsia="es-CL"/>
              </w:rPr>
              <w:t>-1.288.343</w:t>
            </w:r>
          </w:p>
        </w:tc>
        <w:tc>
          <w:tcPr>
            <w:tcW w:w="1050"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rPr>
                <w:rFonts w:eastAsia="Arial"/>
                <w:b w:val="0"/>
                <w:color w:val="000000"/>
                <w:sz w:val="18"/>
                <w:szCs w:val="18"/>
                <w:u w:color="000000"/>
                <w:bdr w:val="nil"/>
                <w:lang w:val="es-ES_tradnl" w:eastAsia="es-CL"/>
              </w:rPr>
            </w:pPr>
            <w:r>
              <w:rPr>
                <w:b w:val="0"/>
                <w:color w:val="000000"/>
                <w:sz w:val="18"/>
                <w:szCs w:val="18"/>
                <w:u w:color="000000"/>
                <w:bdr w:val="nil"/>
                <w:lang w:val="es-ES_tradnl" w:eastAsia="es-CL"/>
              </w:rPr>
              <w:t>-86,7%</w:t>
            </w:r>
          </w:p>
        </w:tc>
      </w:tr>
      <w:tr>
        <w:tblPrEx>
          <w:tblCellMar>
            <w:top w:w="0" w:type="dxa"/>
            <w:left w:w="0" w:type="dxa"/>
            <w:bottom w:w="0" w:type="dxa"/>
            <w:right w:w="0" w:type="dxa"/>
          </w:tblCellMar>
        </w:tblPrEx>
        <w:trPr>
          <w:trHeight w:val="186"/>
          <w:jc w:val="center"/>
        </w:trPr>
        <w:tc>
          <w:tcPr>
            <w:tcW w:w="4392"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rPr>
                <w:rFonts w:eastAsia="Arial"/>
                <w:b w:val="0"/>
                <w:color w:val="000000"/>
                <w:sz w:val="18"/>
                <w:szCs w:val="18"/>
                <w:u w:color="000000"/>
                <w:bdr w:val="nil"/>
                <w:lang w:val="es-ES_tradnl" w:eastAsia="es-CL"/>
              </w:rPr>
            </w:pPr>
            <w:r>
              <w:rPr>
                <w:b w:val="0"/>
                <w:color w:val="000000"/>
                <w:sz w:val="18"/>
                <w:szCs w:val="18"/>
                <w:u w:color="000000"/>
                <w:bdr w:val="nil"/>
                <w:lang w:val="es-ES_tradnl" w:eastAsia="es-CL"/>
              </w:rPr>
              <w:t>Iniciativas de Inversión  (</w:t>
            </w:r>
            <w:r>
              <w:rPr>
                <w:bCs/>
                <w:color w:val="000000"/>
                <w:sz w:val="18"/>
                <w:szCs w:val="18"/>
                <w:u w:color="000000"/>
                <w:bdr w:val="nil"/>
                <w:lang w:val="es-ES_tradnl" w:eastAsia="es-CL"/>
              </w:rPr>
              <w:t>Subtítulo 31</w:t>
            </w:r>
            <w:r>
              <w:rPr>
                <w:b w:val="0"/>
                <w:color w:val="000000"/>
                <w:sz w:val="18"/>
                <w:szCs w:val="18"/>
                <w:u w:color="000000"/>
                <w:bdr w:val="nil"/>
                <w:lang w:val="es-ES_tradnl" w:eastAsia="es-CL"/>
              </w:rPr>
              <w:t>)</w:t>
            </w:r>
          </w:p>
        </w:tc>
        <w:tc>
          <w:tcPr>
            <w:tcW w:w="1139"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rPr>
                <w:rFonts w:eastAsia="Arial"/>
                <w:b w:val="0"/>
                <w:color w:val="000000"/>
                <w:sz w:val="18"/>
                <w:szCs w:val="18"/>
                <w:u w:color="000000"/>
                <w:bdr w:val="nil"/>
                <w:lang w:val="es-ES_tradnl" w:eastAsia="es-CL"/>
              </w:rPr>
            </w:pPr>
            <w:r>
              <w:rPr>
                <w:b w:val="0"/>
                <w:color w:val="000000"/>
                <w:sz w:val="18"/>
                <w:szCs w:val="18"/>
                <w:u w:color="000000"/>
                <w:bdr w:val="nil"/>
                <w:lang w:val="es-ES_tradnl" w:eastAsia="es-CL"/>
              </w:rPr>
              <w:t>1.172.651</w:t>
            </w:r>
          </w:p>
        </w:tc>
        <w:tc>
          <w:tcPr>
            <w:tcW w:w="1249"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rPr>
                <w:rFonts w:eastAsia="Arial"/>
                <w:b w:val="0"/>
                <w:color w:val="000000"/>
                <w:sz w:val="18"/>
                <w:szCs w:val="18"/>
                <w:u w:color="000000"/>
                <w:bdr w:val="nil"/>
                <w:lang w:val="es-ES_tradnl" w:eastAsia="es-CL"/>
              </w:rPr>
            </w:pPr>
            <w:r>
              <w:rPr>
                <w:b w:val="0"/>
                <w:color w:val="000000"/>
                <w:sz w:val="18"/>
                <w:szCs w:val="18"/>
                <w:u w:color="000000"/>
                <w:bdr w:val="nil"/>
                <w:lang w:val="es-ES_tradnl" w:eastAsia="es-CL"/>
              </w:rPr>
              <w:t>582.681</w:t>
            </w:r>
          </w:p>
        </w:tc>
        <w:tc>
          <w:tcPr>
            <w:tcW w:w="180"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vAlign w:val="center"/>
          </w:tcPr>
          <w:p>
            <w:pPr>
              <w:pBdr>
                <w:top w:val="nil"/>
                <w:left w:val="nil"/>
                <w:bottom w:val="nil"/>
                <w:right w:val="nil"/>
                <w:between w:val="nil"/>
                <w:bar w:val="nil"/>
              </w:pBdr>
              <w:rPr>
                <w:rFonts w:eastAsia="Arial"/>
                <w:b w:val="0"/>
                <w:color w:val="000000"/>
                <w:sz w:val="18"/>
                <w:szCs w:val="18"/>
                <w:u w:color="000000"/>
                <w:bdr w:val="nil"/>
                <w:lang w:val="es-ES_tradnl" w:eastAsia="es-CL"/>
              </w:rPr>
            </w:pPr>
            <w:r>
              <w:rPr>
                <w:b w:val="0"/>
                <w:color w:val="000000"/>
                <w:sz w:val="18"/>
                <w:szCs w:val="18"/>
                <w:u w:color="000000"/>
                <w:bdr w:val="nil"/>
                <w:lang w:val="es-ES_tradnl" w:eastAsia="es-CL"/>
              </w:rPr>
              <w:t> </w:t>
            </w:r>
          </w:p>
        </w:tc>
        <w:tc>
          <w:tcPr>
            <w:tcW w:w="1029"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rPr>
                <w:rFonts w:eastAsia="Arial"/>
                <w:b w:val="0"/>
                <w:color w:val="000000"/>
                <w:sz w:val="18"/>
                <w:szCs w:val="18"/>
                <w:u w:color="000000"/>
                <w:bdr w:val="nil"/>
                <w:lang w:val="es-ES_tradnl" w:eastAsia="es-CL"/>
              </w:rPr>
            </w:pPr>
            <w:r>
              <w:rPr>
                <w:b w:val="0"/>
                <w:color w:val="000000"/>
                <w:sz w:val="18"/>
                <w:szCs w:val="18"/>
                <w:u w:color="000000"/>
                <w:bdr w:val="nil"/>
                <w:lang w:val="es-ES_tradnl" w:eastAsia="es-CL"/>
              </w:rPr>
              <w:t>-589.970</w:t>
            </w:r>
          </w:p>
        </w:tc>
        <w:tc>
          <w:tcPr>
            <w:tcW w:w="1050"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rPr>
                <w:rFonts w:eastAsia="Arial"/>
                <w:b w:val="0"/>
                <w:color w:val="000000"/>
                <w:sz w:val="18"/>
                <w:szCs w:val="18"/>
                <w:u w:color="000000"/>
                <w:bdr w:val="nil"/>
                <w:lang w:val="es-ES_tradnl" w:eastAsia="es-CL"/>
              </w:rPr>
            </w:pPr>
            <w:r>
              <w:rPr>
                <w:b w:val="0"/>
                <w:color w:val="000000"/>
                <w:sz w:val="18"/>
                <w:szCs w:val="18"/>
                <w:u w:color="000000"/>
                <w:bdr w:val="nil"/>
                <w:lang w:val="es-ES_tradnl" w:eastAsia="es-CL"/>
              </w:rPr>
              <w:t>-50,3%</w:t>
            </w:r>
          </w:p>
        </w:tc>
      </w:tr>
      <w:tr>
        <w:tblPrEx>
          <w:tblCellMar>
            <w:top w:w="0" w:type="dxa"/>
            <w:left w:w="0" w:type="dxa"/>
            <w:bottom w:w="0" w:type="dxa"/>
            <w:right w:w="0" w:type="dxa"/>
          </w:tblCellMar>
        </w:tblPrEx>
        <w:trPr>
          <w:trHeight w:val="108"/>
          <w:jc w:val="center"/>
        </w:trPr>
        <w:tc>
          <w:tcPr>
            <w:tcW w:w="4392"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rPr>
                <w:rFonts w:eastAsia="Arial"/>
                <w:b w:val="0"/>
                <w:color w:val="000000"/>
                <w:sz w:val="18"/>
                <w:szCs w:val="18"/>
                <w:u w:color="000000"/>
                <w:bdr w:val="nil"/>
                <w:lang w:val="es-ES_tradnl" w:eastAsia="es-CL"/>
              </w:rPr>
            </w:pPr>
            <w:r>
              <w:rPr>
                <w:b w:val="0"/>
                <w:color w:val="000000"/>
                <w:sz w:val="18"/>
                <w:szCs w:val="18"/>
                <w:u w:color="000000"/>
                <w:bdr w:val="nil"/>
                <w:lang w:val="es-ES_tradnl" w:eastAsia="es-CL"/>
              </w:rPr>
              <w:t>Servicio de la Deuda  (</w:t>
            </w:r>
            <w:r>
              <w:rPr>
                <w:bCs/>
                <w:color w:val="000000"/>
                <w:sz w:val="18"/>
                <w:szCs w:val="18"/>
                <w:u w:color="000000"/>
                <w:bdr w:val="nil"/>
                <w:lang w:val="es-ES_tradnl" w:eastAsia="es-CL"/>
              </w:rPr>
              <w:t>Subtítulo 34</w:t>
            </w:r>
            <w:r>
              <w:rPr>
                <w:b w:val="0"/>
                <w:color w:val="000000"/>
                <w:sz w:val="18"/>
                <w:szCs w:val="18"/>
                <w:u w:color="000000"/>
                <w:bdr w:val="nil"/>
                <w:lang w:val="es-ES_tradnl" w:eastAsia="es-CL"/>
              </w:rPr>
              <w:t>)</w:t>
            </w:r>
          </w:p>
        </w:tc>
        <w:tc>
          <w:tcPr>
            <w:tcW w:w="1139"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rPr>
                <w:rFonts w:eastAsia="Arial"/>
                <w:b w:val="0"/>
                <w:color w:val="000000"/>
                <w:sz w:val="18"/>
                <w:szCs w:val="18"/>
                <w:u w:color="000000"/>
                <w:bdr w:val="nil"/>
                <w:lang w:val="es-ES_tradnl" w:eastAsia="es-CL"/>
              </w:rPr>
            </w:pPr>
            <w:r>
              <w:rPr>
                <w:b w:val="0"/>
                <w:color w:val="000000"/>
                <w:sz w:val="18"/>
                <w:szCs w:val="18"/>
                <w:u w:color="000000"/>
                <w:bdr w:val="nil"/>
                <w:lang w:val="es-ES_tradnl" w:eastAsia="es-CL"/>
              </w:rPr>
              <w:t>1.868.251</w:t>
            </w:r>
          </w:p>
        </w:tc>
        <w:tc>
          <w:tcPr>
            <w:tcW w:w="1249"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rPr>
                <w:rFonts w:eastAsia="Arial"/>
                <w:b w:val="0"/>
                <w:color w:val="000000"/>
                <w:sz w:val="18"/>
                <w:szCs w:val="18"/>
                <w:u w:color="000000"/>
                <w:bdr w:val="nil"/>
                <w:lang w:val="es-ES_tradnl" w:eastAsia="es-CL"/>
              </w:rPr>
            </w:pPr>
            <w:r>
              <w:rPr>
                <w:b w:val="0"/>
                <w:color w:val="000000"/>
                <w:sz w:val="18"/>
                <w:szCs w:val="18"/>
                <w:u w:color="000000"/>
                <w:bdr w:val="nil"/>
                <w:lang w:val="es-ES_tradnl" w:eastAsia="es-CL"/>
              </w:rPr>
              <w:t>2.907.233</w:t>
            </w:r>
          </w:p>
        </w:tc>
        <w:tc>
          <w:tcPr>
            <w:tcW w:w="180"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vAlign w:val="center"/>
          </w:tcPr>
          <w:p>
            <w:pPr>
              <w:pBdr>
                <w:top w:val="nil"/>
                <w:left w:val="nil"/>
                <w:bottom w:val="nil"/>
                <w:right w:val="nil"/>
                <w:between w:val="nil"/>
                <w:bar w:val="nil"/>
              </w:pBdr>
              <w:rPr>
                <w:rFonts w:eastAsia="Arial"/>
                <w:b w:val="0"/>
                <w:color w:val="000000"/>
                <w:sz w:val="18"/>
                <w:szCs w:val="18"/>
                <w:u w:color="000000"/>
                <w:bdr w:val="nil"/>
                <w:lang w:val="es-ES_tradnl" w:eastAsia="es-CL"/>
              </w:rPr>
            </w:pPr>
            <w:r>
              <w:rPr>
                <w:b w:val="0"/>
                <w:color w:val="000000"/>
                <w:sz w:val="18"/>
                <w:szCs w:val="18"/>
                <w:u w:color="000000"/>
                <w:bdr w:val="nil"/>
                <w:lang w:val="es-ES_tradnl" w:eastAsia="es-CL"/>
              </w:rPr>
              <w:t> </w:t>
            </w:r>
          </w:p>
        </w:tc>
        <w:tc>
          <w:tcPr>
            <w:tcW w:w="1029"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rPr>
                <w:rFonts w:eastAsia="Arial"/>
                <w:b w:val="0"/>
                <w:color w:val="000000"/>
                <w:sz w:val="18"/>
                <w:szCs w:val="18"/>
                <w:u w:color="000000"/>
                <w:bdr w:val="nil"/>
                <w:lang w:val="es-ES_tradnl" w:eastAsia="es-CL"/>
              </w:rPr>
            </w:pPr>
            <w:r>
              <w:rPr>
                <w:b w:val="0"/>
                <w:color w:val="000000"/>
                <w:sz w:val="18"/>
                <w:szCs w:val="18"/>
                <w:u w:color="000000"/>
                <w:bdr w:val="nil"/>
                <w:lang w:val="es-ES_tradnl" w:eastAsia="es-CL"/>
              </w:rPr>
              <w:t>1.038.982</w:t>
            </w:r>
          </w:p>
        </w:tc>
        <w:tc>
          <w:tcPr>
            <w:tcW w:w="1050"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rPr>
                <w:rFonts w:eastAsia="Arial"/>
                <w:b w:val="0"/>
                <w:color w:val="000000"/>
                <w:sz w:val="18"/>
                <w:szCs w:val="18"/>
                <w:u w:color="000000"/>
                <w:bdr w:val="nil"/>
                <w:lang w:val="es-ES_tradnl" w:eastAsia="es-CL"/>
              </w:rPr>
            </w:pPr>
            <w:r>
              <w:rPr>
                <w:b w:val="0"/>
                <w:color w:val="000000"/>
                <w:sz w:val="18"/>
                <w:szCs w:val="18"/>
                <w:u w:color="000000"/>
                <w:bdr w:val="nil"/>
                <w:lang w:val="es-ES_tradnl" w:eastAsia="es-CL"/>
              </w:rPr>
              <w:t>55,6%</w:t>
            </w:r>
          </w:p>
        </w:tc>
      </w:tr>
    </w:tbl>
    <w:p>
      <w:pPr>
        <w:widowControl w:val="0"/>
        <w:pBdr>
          <w:top w:val="nil"/>
          <w:left w:val="nil"/>
          <w:bottom w:val="nil"/>
          <w:right w:val="nil"/>
          <w:between w:val="nil"/>
          <w:bar w:val="nil"/>
        </w:pBdr>
        <w:rPr>
          <w:rFonts w:eastAsia="Arial"/>
          <w:bCs/>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En este acápite realizó las siguientes observaciones por Subtítulo:</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 xml:space="preserve">- </w:t>
      </w:r>
      <w:r>
        <w:rPr>
          <w:rFonts w:eastAsia="Arial Unicode MS" w:cs="Arial Unicode MS"/>
          <w:bCs/>
          <w:color w:val="000000"/>
          <w:u w:color="000000"/>
          <w:bdr w:val="nil"/>
          <w:lang w:val="es-ES_tradnl" w:eastAsia="es-CL"/>
        </w:rPr>
        <w:t>Subtítulos 21 y 22</w:t>
      </w:r>
      <w:r>
        <w:rPr>
          <w:rFonts w:eastAsia="Arial Unicode MS" w:cs="Arial Unicode MS"/>
          <w:b w:val="0"/>
          <w:color w:val="000000"/>
          <w:u w:color="000000"/>
          <w:bdr w:val="nil"/>
          <w:lang w:val="es-ES_tradnl" w:eastAsia="es-CL"/>
        </w:rPr>
        <w:t>: existe una variación prácticamente nula, la que alcanza sólo un 0,3% y un 2,6% respectivamente.</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Unicode MS" w:cs="Arial Unicode MS"/>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 xml:space="preserve">- </w:t>
      </w:r>
      <w:r>
        <w:rPr>
          <w:rFonts w:eastAsia="Arial Unicode MS" w:cs="Arial Unicode MS"/>
          <w:bCs/>
          <w:color w:val="000000"/>
          <w:u w:color="000000"/>
          <w:bdr w:val="nil"/>
          <w:lang w:val="es-ES_tradnl" w:eastAsia="es-CL"/>
        </w:rPr>
        <w:t>Subtítulo 24</w:t>
      </w:r>
      <w:r>
        <w:rPr>
          <w:rFonts w:eastAsia="Arial Unicode MS" w:cs="Arial Unicode MS"/>
          <w:b w:val="0"/>
          <w:color w:val="000000"/>
          <w:u w:color="000000"/>
          <w:bdr w:val="nil"/>
          <w:lang w:val="es-ES_tradnl" w:eastAsia="es-CL"/>
        </w:rPr>
        <w:t>: incremento de un 21,6% por la ejecución de proyectos de inversión del Programa de Modernización del Sector Público, de acuerdo a la planificación del mismo.</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 xml:space="preserve">- </w:t>
      </w:r>
      <w:r>
        <w:rPr>
          <w:rFonts w:eastAsia="Arial Unicode MS" w:cs="Arial Unicode MS"/>
          <w:bCs/>
          <w:color w:val="000000"/>
          <w:u w:color="000000"/>
          <w:bdr w:val="nil"/>
          <w:lang w:val="es-ES_tradnl" w:eastAsia="es-CL"/>
        </w:rPr>
        <w:t>Subtítulo 29</w:t>
      </w:r>
      <w:r>
        <w:rPr>
          <w:rFonts w:eastAsia="Arial Unicode MS" w:cs="Arial Unicode MS"/>
          <w:b w:val="0"/>
          <w:color w:val="000000"/>
          <w:u w:color="000000"/>
          <w:bdr w:val="nil"/>
          <w:lang w:val="es-ES_tradnl" w:eastAsia="es-CL"/>
        </w:rPr>
        <w:t>: disminución de un 86,7% por el término del desarrollo informático de la plataforma SICEX,  la pasará a una fase de operación plena.</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 xml:space="preserve">- </w:t>
      </w:r>
      <w:r>
        <w:rPr>
          <w:rFonts w:eastAsia="Arial Unicode MS" w:cs="Arial Unicode MS"/>
          <w:bCs/>
          <w:color w:val="000000"/>
          <w:u w:color="000000"/>
          <w:bdr w:val="nil"/>
          <w:lang w:val="es-ES_tradnl" w:eastAsia="es-CL"/>
        </w:rPr>
        <w:t>Subtítulo 31</w:t>
      </w:r>
      <w:r>
        <w:rPr>
          <w:rFonts w:eastAsia="Arial Unicode MS" w:cs="Arial Unicode MS"/>
          <w:b w:val="0"/>
          <w:color w:val="000000"/>
          <w:u w:color="000000"/>
          <w:bdr w:val="nil"/>
          <w:lang w:val="es-ES_tradnl" w:eastAsia="es-CL"/>
        </w:rPr>
        <w:t>: reducción de un 50,3%, debido al término del financiamiento del proyecto de conservación de los pisos 13 y 14 del Edificio de Teatinos 120.</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Unicode MS" w:cs="Arial Unicode MS"/>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 xml:space="preserve">- </w:t>
      </w:r>
      <w:r>
        <w:rPr>
          <w:rFonts w:eastAsia="Arial Unicode MS" w:cs="Arial Unicode MS"/>
          <w:bCs/>
          <w:color w:val="000000"/>
          <w:u w:color="000000"/>
          <w:bdr w:val="nil"/>
          <w:lang w:val="es-ES_tradnl" w:eastAsia="es-CL"/>
        </w:rPr>
        <w:t>Subtítulo 34</w:t>
      </w:r>
      <w:r>
        <w:rPr>
          <w:rFonts w:eastAsia="Arial Unicode MS" w:cs="Arial Unicode MS"/>
          <w:b w:val="0"/>
          <w:color w:val="000000"/>
          <w:u w:color="000000"/>
          <w:bdr w:val="nil"/>
          <w:lang w:val="es-ES_tradnl" w:eastAsia="es-CL"/>
        </w:rPr>
        <w:t>: incremento de un 55,6%, por la amortización de la deuda del Programa SICEX, en atención del crédito otorgado por el BID al respecto.</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w:b w:val="0"/>
          <w:color w:val="000000"/>
          <w:u w:color="000000"/>
          <w:bdr w:val="nil"/>
          <w:lang w:val="es-ES_tradnl" w:eastAsia="es-CL"/>
        </w:rPr>
        <w:tab/>
      </w:r>
      <w:r>
        <w:rPr>
          <w:rFonts w:eastAsia="Arial Unicode MS" w:cs="Arial Unicode MS"/>
          <w:bCs/>
          <w:color w:val="000000"/>
          <w:u w:color="000000"/>
          <w:bdr w:val="nil"/>
          <w:lang w:val="es-ES_tradnl" w:eastAsia="es-CL"/>
        </w:rPr>
        <w:t>El Honorable Diputado señor Silva</w:t>
      </w:r>
      <w:r>
        <w:rPr>
          <w:rFonts w:eastAsia="Arial Unicode MS" w:cs="Arial Unicode MS"/>
          <w:b w:val="0"/>
          <w:color w:val="000000"/>
          <w:u w:color="000000"/>
          <w:bdr w:val="nil"/>
          <w:lang w:val="es-ES_tradnl" w:eastAsia="es-CL"/>
        </w:rPr>
        <w:t>, consultó las razones del aumento de un 2,6% en el Subtítulo 22.</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w:b w:val="0"/>
          <w:color w:val="000000"/>
          <w:u w:color="000000"/>
          <w:bdr w:val="nil"/>
          <w:lang w:val="es-ES_tradnl" w:eastAsia="es-CL"/>
        </w:rPr>
        <w:tab/>
      </w:r>
      <w:r>
        <w:rPr>
          <w:rFonts w:eastAsia="Arial Unicode MS" w:cs="Arial Unicode MS"/>
          <w:bCs/>
          <w:color w:val="000000"/>
          <w:u w:color="000000"/>
          <w:bdr w:val="nil"/>
          <w:lang w:val="es-ES_tradnl" w:eastAsia="es-CL"/>
        </w:rPr>
        <w:t>El Subsecretario de Hacienda, señor Alejandro Micco</w:t>
      </w:r>
      <w:r>
        <w:rPr>
          <w:rFonts w:eastAsia="Arial Unicode MS" w:cs="Arial Unicode MS"/>
          <w:b w:val="0"/>
          <w:color w:val="000000"/>
          <w:u w:color="000000"/>
          <w:bdr w:val="nil"/>
          <w:lang w:val="es-ES_tradnl" w:eastAsia="es-CL"/>
        </w:rPr>
        <w:t>, señaló que dicho incremento se debe a la fase de operaciones en la que comienza a desarrollarse SICEX, luego de haberse efectuado los gastos en el despliegue de infraestructura informática.</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Posteriormente, describió las variaciones presupuestarias del Capítulo 01 (Secretaría y Administración General de Hacienda), por programa y Subtítulo a través del siguiente recuadro:</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jc w:val="center"/>
        <w:rPr>
          <w:rFonts w:eastAsia="Arial"/>
          <w:bCs/>
          <w:color w:val="000000"/>
          <w:u w:color="000000"/>
          <w:bdr w:val="nil"/>
          <w:lang w:val="es-ES_tradnl" w:eastAsia="es-CL"/>
        </w:rPr>
      </w:pPr>
      <w:r>
        <w:rPr>
          <w:rFonts w:eastAsia="Arial"/>
          <w:bCs/>
          <w:color w:val="000000"/>
          <w:u w:color="000000"/>
          <w:bdr w:val="nil"/>
          <w:lang w:val="es-ES_tradnl" w:eastAsia="es-CL"/>
        </w:rPr>
        <w:t>Proyecto Presupuesto 2017 – Variaciones 2016/2017 por Programa y Subtítulo</w:t>
      </w:r>
    </w:p>
    <w:p>
      <w:pPr>
        <w:pBdr>
          <w:top w:val="nil"/>
          <w:left w:val="nil"/>
          <w:bottom w:val="nil"/>
          <w:right w:val="nil"/>
          <w:between w:val="nil"/>
          <w:bar w:val="nil"/>
        </w:pBdr>
        <w:rPr>
          <w:rFonts w:eastAsia="Arial"/>
          <w:b w:val="0"/>
          <w:color w:val="000000"/>
          <w:u w:color="000000"/>
          <w:bdr w:val="nil"/>
          <w:lang w:val="es-ES_tradnl" w:eastAsia="es-CL"/>
        </w:rPr>
      </w:pPr>
      <w:r>
        <w:rPr>
          <w:rFonts w:eastAsia="Arial"/>
          <w:b w:val="0"/>
          <w:noProof/>
          <w:color w:val="000000"/>
          <w:u w:color="000000"/>
          <w:bdr w:val="nil"/>
          <w:lang w:eastAsia="es-CL"/>
        </w:rPr>
        <w:pict>
          <v:shape id="_x0000_i1028" type="#_x0000_t75" style="width:413.65pt;height:160.9pt;visibility:visible">
            <v:imagedata r:id="rId11" o:title=""/>
          </v:shape>
        </w:pic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A este respecto, efectuó las siguientes observaciones:</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 xml:space="preserve">- </w:t>
      </w:r>
      <w:r>
        <w:rPr>
          <w:rFonts w:eastAsia="Arial Unicode MS" w:cs="Arial Unicode MS"/>
          <w:bCs/>
          <w:color w:val="000000"/>
          <w:u w:color="000000"/>
          <w:bdr w:val="nil"/>
          <w:lang w:val="es-ES_tradnl" w:eastAsia="es-CL"/>
        </w:rPr>
        <w:t>Subtítulo 21</w:t>
      </w:r>
      <w:r>
        <w:rPr>
          <w:rFonts w:eastAsia="Arial Unicode MS" w:cs="Arial Unicode MS"/>
          <w:b w:val="0"/>
          <w:color w:val="000000"/>
          <w:u w:color="000000"/>
          <w:bdr w:val="nil"/>
          <w:lang w:val="es-ES_tradnl" w:eastAsia="es-CL"/>
        </w:rPr>
        <w:t xml:space="preserve">: crece en el Programa de Modernización del Sector Público (14,4%) por la incorporación de un especialista informático, como contraparte para todos los proyectos que consideran inversión en tecnología. </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 xml:space="preserve">- </w:t>
      </w:r>
      <w:r>
        <w:rPr>
          <w:rFonts w:eastAsia="Arial Unicode MS" w:cs="Arial Unicode MS"/>
          <w:bCs/>
          <w:color w:val="000000"/>
          <w:u w:color="000000"/>
          <w:bdr w:val="nil"/>
          <w:lang w:val="es-ES_tradnl" w:eastAsia="es-CL"/>
        </w:rPr>
        <w:t>Subtítulo 22</w:t>
      </w:r>
      <w:r>
        <w:rPr>
          <w:rFonts w:eastAsia="Arial Unicode MS" w:cs="Arial Unicode MS"/>
          <w:b w:val="0"/>
          <w:color w:val="000000"/>
          <w:u w:color="000000"/>
          <w:bdr w:val="nil"/>
          <w:lang w:val="es-ES_tradnl" w:eastAsia="es-CL"/>
        </w:rPr>
        <w:t>: se incrementa en el Programa SICEX, que en 2017 entra en operación plena, incorporando recursos para su operación y mantención de los sistemas.</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 xml:space="preserve">- </w:t>
      </w:r>
      <w:r>
        <w:rPr>
          <w:rFonts w:eastAsia="Arial Unicode MS" w:cs="Arial Unicode MS"/>
          <w:bCs/>
          <w:color w:val="000000"/>
          <w:u w:color="000000"/>
          <w:bdr w:val="nil"/>
          <w:lang w:val="es-ES_tradnl" w:eastAsia="es-CL"/>
        </w:rPr>
        <w:t>Subtítulo 24</w:t>
      </w:r>
      <w:r>
        <w:rPr>
          <w:rFonts w:eastAsia="Arial Unicode MS" w:cs="Arial Unicode MS"/>
          <w:b w:val="0"/>
          <w:color w:val="000000"/>
          <w:u w:color="000000"/>
          <w:bdr w:val="nil"/>
          <w:lang w:val="es-ES_tradnl" w:eastAsia="es-CL"/>
        </w:rPr>
        <w:t>: en virtud del desarrollo de los proyectos que involucra el Programa de Modernización del Sector Público, el presupuesto de este último en este Subtítulo aumenta en un 56,1%.</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 xml:space="preserve">- </w:t>
      </w:r>
      <w:r>
        <w:rPr>
          <w:rFonts w:eastAsia="Arial Unicode MS" w:cs="Arial Unicode MS"/>
          <w:bCs/>
          <w:color w:val="000000"/>
          <w:u w:color="000000"/>
          <w:bdr w:val="nil"/>
          <w:lang w:val="es-ES_tradnl" w:eastAsia="es-CL"/>
        </w:rPr>
        <w:t>Subtítulo 29</w:t>
      </w:r>
      <w:r>
        <w:rPr>
          <w:rFonts w:eastAsia="Arial Unicode MS" w:cs="Arial Unicode MS"/>
          <w:b w:val="0"/>
          <w:color w:val="000000"/>
          <w:u w:color="000000"/>
          <w:bdr w:val="nil"/>
          <w:lang w:val="es-ES_tradnl" w:eastAsia="es-CL"/>
        </w:rPr>
        <w:t>: se efectúa una reducción presupuestaria significativa en el Programa SICEX, por el término de las inversiones tecnológicas necesarias para su implementación, pasando a la fase de operación.</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 xml:space="preserve">- </w:t>
      </w:r>
      <w:r>
        <w:rPr>
          <w:rFonts w:eastAsia="Arial Unicode MS" w:cs="Arial Unicode MS"/>
          <w:bCs/>
          <w:color w:val="000000"/>
          <w:u w:color="000000"/>
          <w:bdr w:val="nil"/>
          <w:lang w:val="es-ES_tradnl" w:eastAsia="es-CL"/>
        </w:rPr>
        <w:t>Subtítulo 31</w:t>
      </w:r>
      <w:r>
        <w:rPr>
          <w:rFonts w:eastAsia="Arial Unicode MS" w:cs="Arial Unicode MS"/>
          <w:b w:val="0"/>
          <w:color w:val="000000"/>
          <w:u w:color="000000"/>
          <w:bdr w:val="nil"/>
          <w:lang w:val="es-ES_tradnl" w:eastAsia="es-CL"/>
        </w:rPr>
        <w:t>: se reduce el presupuesto de la Subsecretaría de Hacienda en inversión, ya que se concluye el proyecto de conservación de los pisos 13 y 14 del Edificio de Teatinos 120.</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Unicode MS" w:cs="Arial Unicode MS"/>
          <w:b w:val="0"/>
          <w:color w:val="000000"/>
          <w:u w:color="000000"/>
          <w:bdr w:val="nil"/>
          <w:lang w:val="es-ES_tradnl" w:eastAsia="es-CL"/>
        </w:rPr>
      </w:pPr>
      <w:r>
        <w:rPr>
          <w:rFonts w:eastAsia="Arial Unicode MS" w:cs="Arial Unicode MS"/>
          <w:b w:val="0"/>
          <w:color w:val="000000"/>
          <w:u w:color="000000"/>
          <w:bdr w:val="nil"/>
          <w:lang w:val="es-ES_tradnl" w:eastAsia="es-CL"/>
        </w:rPr>
        <w:tab/>
        <w:t xml:space="preserve">- </w:t>
      </w:r>
      <w:r>
        <w:rPr>
          <w:rFonts w:eastAsia="Arial Unicode MS" w:cs="Arial Unicode MS"/>
          <w:bCs/>
          <w:color w:val="000000"/>
          <w:u w:color="000000"/>
          <w:bdr w:val="nil"/>
          <w:lang w:val="es-ES_tradnl" w:eastAsia="es-CL"/>
        </w:rPr>
        <w:t>Subtítulo 34</w:t>
      </w:r>
      <w:r>
        <w:rPr>
          <w:rFonts w:eastAsia="Arial Unicode MS" w:cs="Arial Unicode MS"/>
          <w:b w:val="0"/>
          <w:color w:val="000000"/>
          <w:u w:color="000000"/>
          <w:bdr w:val="nil"/>
          <w:lang w:val="es-ES_tradnl" w:eastAsia="es-CL"/>
        </w:rPr>
        <w:t>: los Programas SICEX y de Modernización del Sector Público aumentan sus presupuestos, debido a compromisos contractuales por el financiamiento otorgado a los mismos por el BID. A su vez, la Subsecretaría de Hacienda disminuye  sus cifras en este ámbito, por el término del pago de la deuda SIGFE 1 (sistema informático).</w:t>
      </w:r>
    </w:p>
    <w:p>
      <w:pPr>
        <w:pBdr>
          <w:top w:val="nil"/>
          <w:left w:val="nil"/>
          <w:bottom w:val="nil"/>
          <w:right w:val="nil"/>
          <w:between w:val="nil"/>
          <w:bar w:val="nil"/>
        </w:pBdr>
        <w:rPr>
          <w:rFonts w:eastAsia="Arial Unicode MS" w:cs="Arial Unicode MS"/>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Respecto de la Ejecución del Presupuesto del año 2016, al 31 de agosto del presente año, el Subsecretario de Hacienda, señor Alejandro Micco, exhibió la siguiente lámina:</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jc w:val="center"/>
        <w:rPr>
          <w:rFonts w:eastAsia="Arial"/>
          <w:bCs/>
          <w:color w:val="000000"/>
          <w:u w:color="000000"/>
          <w:bdr w:val="nil"/>
          <w:lang w:val="es-ES_tradnl" w:eastAsia="es-CL"/>
        </w:rPr>
      </w:pPr>
      <w:r>
        <w:rPr>
          <w:rFonts w:eastAsia="Arial"/>
          <w:bCs/>
          <w:color w:val="000000"/>
          <w:u w:color="000000"/>
          <w:bdr w:val="nil"/>
          <w:lang w:val="es-ES_tradnl" w:eastAsia="es-CL"/>
        </w:rPr>
        <w:t>Capítulo 01</w:t>
      </w:r>
    </w:p>
    <w:p>
      <w:pPr>
        <w:pBdr>
          <w:top w:val="nil"/>
          <w:left w:val="nil"/>
          <w:bottom w:val="nil"/>
          <w:right w:val="nil"/>
          <w:between w:val="nil"/>
          <w:bar w:val="nil"/>
        </w:pBdr>
        <w:jc w:val="center"/>
        <w:rPr>
          <w:rFonts w:eastAsia="Arial"/>
          <w:bCs/>
          <w:color w:val="000000"/>
          <w:u w:color="000000"/>
          <w:bdr w:val="nil"/>
          <w:lang w:val="es-ES_tradnl" w:eastAsia="es-CL"/>
        </w:rPr>
      </w:pPr>
      <w:r>
        <w:rPr>
          <w:rFonts w:eastAsia="Arial"/>
          <w:bCs/>
          <w:color w:val="000000"/>
          <w:u w:color="000000"/>
          <w:bdr w:val="nil"/>
          <w:lang w:val="es-ES_tradnl" w:eastAsia="es-CL"/>
        </w:rPr>
        <w:t>Ejecución Presupuestaria al 31.08.2016</w:t>
      </w:r>
    </w:p>
    <w:tbl>
      <w:tblPr>
        <w:tblW w:w="9546" w:type="dxa"/>
        <w:jc w:val="center"/>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3145"/>
        <w:gridCol w:w="1083"/>
        <w:gridCol w:w="1399"/>
        <w:gridCol w:w="1608"/>
        <w:gridCol w:w="939"/>
        <w:gridCol w:w="1372"/>
      </w:tblGrid>
      <w:tr>
        <w:tblPrEx>
          <w:tblCellMar>
            <w:top w:w="0" w:type="dxa"/>
            <w:left w:w="0" w:type="dxa"/>
            <w:bottom w:w="0" w:type="dxa"/>
            <w:right w:w="0" w:type="dxa"/>
          </w:tblCellMar>
        </w:tblPrEx>
        <w:trPr>
          <w:trHeight w:val="980"/>
          <w:jc w:val="center"/>
        </w:trPr>
        <w:tc>
          <w:tcPr>
            <w:tcW w:w="3145" w:type="dxa"/>
            <w:vMerge w:val="restart"/>
            <w:tcBorders>
              <w:top w:val="nil"/>
              <w:left w:val="nil"/>
              <w:bottom w:val="single" w:sz="8" w:space="0" w:color="FFFFFF"/>
              <w:right w:val="single" w:sz="8" w:space="0" w:color="FFFFFF"/>
            </w:tcBorders>
            <w:shd w:val="clear" w:color="auto" w:fill="B9CDE5"/>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CLASIFICACIÓN PRESUPUESTARIA</w:t>
            </w:r>
          </w:p>
        </w:tc>
        <w:tc>
          <w:tcPr>
            <w:tcW w:w="4090" w:type="dxa"/>
            <w:gridSpan w:val="3"/>
            <w:tcBorders>
              <w:top w:val="nil"/>
              <w:left w:val="single" w:sz="8" w:space="0" w:color="FFFFFF"/>
              <w:bottom w:val="single" w:sz="8" w:space="0" w:color="FFFFFF"/>
              <w:right w:val="single" w:sz="8" w:space="0" w:color="FFFFFF"/>
            </w:tcBorders>
            <w:shd w:val="clear" w:color="auto" w:fill="B9CDE5"/>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PRESUPUESTO AÑO 2016 (M$ 2016)</w:t>
            </w:r>
          </w:p>
        </w:tc>
        <w:tc>
          <w:tcPr>
            <w:tcW w:w="2311" w:type="dxa"/>
            <w:gridSpan w:val="2"/>
            <w:tcBorders>
              <w:top w:val="nil"/>
              <w:left w:val="single" w:sz="8" w:space="0" w:color="FFFFFF"/>
              <w:bottom w:val="single" w:sz="8" w:space="0" w:color="FFFFFF"/>
              <w:right w:val="single" w:sz="8" w:space="0" w:color="FFFFFF"/>
            </w:tcBorders>
            <w:shd w:val="clear" w:color="auto" w:fill="B9CDE5"/>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AVANCE EJECUCION PRESUPUESTARIA AL 31.08.2016</w:t>
            </w:r>
          </w:p>
        </w:tc>
      </w:tr>
      <w:tr>
        <w:tblPrEx>
          <w:tblCellMar>
            <w:top w:w="0" w:type="dxa"/>
            <w:left w:w="0" w:type="dxa"/>
            <w:bottom w:w="0" w:type="dxa"/>
            <w:right w:w="0" w:type="dxa"/>
          </w:tblCellMar>
        </w:tblPrEx>
        <w:trPr>
          <w:trHeight w:val="1460"/>
          <w:jc w:val="center"/>
        </w:trPr>
        <w:tc>
          <w:tcPr>
            <w:tcW w:w="3145" w:type="dxa"/>
            <w:vMerge/>
            <w:tcBorders>
              <w:top w:val="nil"/>
              <w:left w:val="nil"/>
              <w:bottom w:val="single" w:sz="8" w:space="0" w:color="FFFFFF"/>
              <w:right w:val="single" w:sz="8" w:space="0" w:color="FFFFFF"/>
            </w:tcBorders>
            <w:shd w:val="clear" w:color="auto" w:fill="B9CDE5"/>
          </w:tcPr>
          <w:p>
            <w:pPr>
              <w:pBdr>
                <w:top w:val="nil"/>
                <w:left w:val="nil"/>
                <w:bottom w:val="nil"/>
                <w:right w:val="nil"/>
                <w:between w:val="nil"/>
                <w:bar w:val="nil"/>
              </w:pBdr>
              <w:rPr>
                <w:rFonts w:eastAsia="Arial"/>
                <w:b w:val="0"/>
                <w:color w:val="000000"/>
                <w:sz w:val="18"/>
                <w:szCs w:val="18"/>
                <w:u w:color="000000"/>
                <w:bdr w:val="nil"/>
                <w:lang w:val="es-ES_tradnl" w:eastAsia="es-CL"/>
              </w:rPr>
            </w:pPr>
          </w:p>
        </w:tc>
        <w:tc>
          <w:tcPr>
            <w:tcW w:w="1083" w:type="dxa"/>
            <w:tcBorders>
              <w:top w:val="single" w:sz="8" w:space="0" w:color="FFFFFF"/>
              <w:left w:val="single" w:sz="8" w:space="0" w:color="FFFFFF"/>
              <w:bottom w:val="single" w:sz="8" w:space="0" w:color="FFFFFF"/>
              <w:right w:val="single" w:sz="8" w:space="0" w:color="FFFFFF"/>
            </w:tcBorders>
            <w:shd w:val="clear" w:color="auto" w:fill="B9CDE5"/>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Ley Inicial 2016</w:t>
            </w:r>
          </w:p>
        </w:tc>
        <w:tc>
          <w:tcPr>
            <w:tcW w:w="1399" w:type="dxa"/>
            <w:tcBorders>
              <w:top w:val="single" w:sz="8" w:space="0" w:color="FFFFFF"/>
              <w:left w:val="single" w:sz="8" w:space="0" w:color="FFFFFF"/>
              <w:bottom w:val="single" w:sz="8" w:space="0" w:color="FFFFFF"/>
              <w:right w:val="single" w:sz="8" w:space="0" w:color="FFFFFF"/>
            </w:tcBorders>
            <w:shd w:val="clear" w:color="auto" w:fill="B9CDE5"/>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Presupuesto Vigente al 31.08.2016</w:t>
            </w:r>
          </w:p>
        </w:tc>
        <w:tc>
          <w:tcPr>
            <w:tcW w:w="1608" w:type="dxa"/>
            <w:tcBorders>
              <w:top w:val="single" w:sz="8" w:space="0" w:color="FFFFFF"/>
              <w:left w:val="single" w:sz="8" w:space="0" w:color="FFFFFF"/>
              <w:bottom w:val="single" w:sz="8" w:space="0" w:color="FFFFFF"/>
              <w:right w:val="single" w:sz="8" w:space="0" w:color="FFFFFF"/>
            </w:tcBorders>
            <w:shd w:val="clear" w:color="auto" w:fill="B9CDE5"/>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 xml:space="preserve">Ejecución Presupuestaria 31.08.2016 </w:t>
            </w:r>
          </w:p>
        </w:tc>
        <w:tc>
          <w:tcPr>
            <w:tcW w:w="939" w:type="dxa"/>
            <w:tcBorders>
              <w:top w:val="single" w:sz="8" w:space="0" w:color="FFFFFF"/>
              <w:left w:val="single" w:sz="8" w:space="0" w:color="FFFFFF"/>
              <w:bottom w:val="single" w:sz="8" w:space="0" w:color="FFFFFF"/>
              <w:right w:val="single" w:sz="8" w:space="0" w:color="FFFFFF"/>
            </w:tcBorders>
            <w:shd w:val="clear" w:color="auto" w:fill="B9CDE5"/>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En relación con Ley Inicial</w:t>
            </w:r>
          </w:p>
        </w:tc>
        <w:tc>
          <w:tcPr>
            <w:tcW w:w="1372" w:type="dxa"/>
            <w:tcBorders>
              <w:top w:val="single" w:sz="8" w:space="0" w:color="FFFFFF"/>
              <w:left w:val="single" w:sz="8" w:space="0" w:color="FFFFFF"/>
              <w:bottom w:val="single" w:sz="8" w:space="0" w:color="FFFFFF"/>
              <w:right w:val="single" w:sz="8" w:space="0" w:color="FFFFFF"/>
            </w:tcBorders>
            <w:shd w:val="clear" w:color="auto" w:fill="B9CDE5"/>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En relación con Presupuesto Vigente</w:t>
            </w:r>
          </w:p>
        </w:tc>
      </w:tr>
      <w:tr>
        <w:tblPrEx>
          <w:tblCellMar>
            <w:top w:w="0" w:type="dxa"/>
            <w:left w:w="0" w:type="dxa"/>
            <w:bottom w:w="0" w:type="dxa"/>
            <w:right w:w="0" w:type="dxa"/>
          </w:tblCellMar>
        </w:tblPrEx>
        <w:trPr>
          <w:trHeight w:val="500"/>
          <w:jc w:val="center"/>
        </w:trPr>
        <w:tc>
          <w:tcPr>
            <w:tcW w:w="3145" w:type="dxa"/>
            <w:tcBorders>
              <w:top w:val="single" w:sz="8" w:space="0" w:color="FFFFFF"/>
              <w:left w:val="nil"/>
              <w:bottom w:val="single" w:sz="8" w:space="0" w:color="FFFFFF"/>
              <w:right w:val="single" w:sz="8" w:space="0" w:color="FFFFFF"/>
            </w:tcBorders>
            <w:shd w:val="clear" w:color="auto" w:fill="C6D9F1"/>
            <w:tcMar>
              <w:top w:w="80" w:type="dxa"/>
              <w:left w:w="80" w:type="dxa"/>
              <w:bottom w:w="80" w:type="dxa"/>
              <w:right w:w="80" w:type="dxa"/>
            </w:tcMar>
            <w:vAlign w:val="center"/>
          </w:tcPr>
          <w:p>
            <w:pPr>
              <w:pBdr>
                <w:top w:val="nil"/>
                <w:left w:val="nil"/>
                <w:bottom w:val="nil"/>
                <w:right w:val="nil"/>
                <w:between w:val="nil"/>
                <w:bar w:val="nil"/>
              </w:pBdr>
              <w:tabs>
                <w:tab w:val="clear" w:pos="2835"/>
              </w:tabs>
              <w:jc w:val="left"/>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GASTOS</w:t>
            </w:r>
          </w:p>
        </w:tc>
        <w:tc>
          <w:tcPr>
            <w:tcW w:w="1083" w:type="dxa"/>
            <w:tcBorders>
              <w:top w:val="single" w:sz="8" w:space="0" w:color="FFFFFF"/>
              <w:left w:val="single" w:sz="8" w:space="0" w:color="FFFFFF"/>
              <w:bottom w:val="single" w:sz="8" w:space="0" w:color="FFFFFF"/>
              <w:right w:val="single" w:sz="8" w:space="0" w:color="FFFFFF"/>
            </w:tcBorders>
            <w:shd w:val="clear" w:color="auto" w:fill="C6D9F1"/>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29.282.229</w:t>
            </w:r>
          </w:p>
        </w:tc>
        <w:tc>
          <w:tcPr>
            <w:tcW w:w="1399" w:type="dxa"/>
            <w:tcBorders>
              <w:top w:val="single" w:sz="8" w:space="0" w:color="FFFFFF"/>
              <w:left w:val="single" w:sz="8" w:space="0" w:color="FFFFFF"/>
              <w:bottom w:val="single" w:sz="8" w:space="0" w:color="FFFFFF"/>
              <w:right w:val="single" w:sz="8" w:space="0" w:color="FFFFFF"/>
            </w:tcBorders>
            <w:shd w:val="clear" w:color="auto" w:fill="C6D9F1"/>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29.113.438</w:t>
            </w:r>
          </w:p>
        </w:tc>
        <w:tc>
          <w:tcPr>
            <w:tcW w:w="1608" w:type="dxa"/>
            <w:tcBorders>
              <w:top w:val="single" w:sz="8" w:space="0" w:color="FFFFFF"/>
              <w:left w:val="single" w:sz="8" w:space="0" w:color="FFFFFF"/>
              <w:bottom w:val="single" w:sz="8" w:space="0" w:color="FFFFFF"/>
              <w:right w:val="single" w:sz="8" w:space="0" w:color="FFFFFF"/>
            </w:tcBorders>
            <w:shd w:val="clear" w:color="auto" w:fill="C6D9F1"/>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15.508.990</w:t>
            </w:r>
          </w:p>
        </w:tc>
        <w:tc>
          <w:tcPr>
            <w:tcW w:w="939" w:type="dxa"/>
            <w:tcBorders>
              <w:top w:val="single" w:sz="8" w:space="0" w:color="FFFFFF"/>
              <w:left w:val="single" w:sz="8" w:space="0" w:color="FFFFFF"/>
              <w:bottom w:val="single" w:sz="8" w:space="0" w:color="FFFFFF"/>
              <w:right w:val="single" w:sz="8" w:space="0" w:color="FFFFFF"/>
            </w:tcBorders>
            <w:shd w:val="clear" w:color="auto" w:fill="C6D9F1"/>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52,96%</w:t>
            </w:r>
          </w:p>
        </w:tc>
        <w:tc>
          <w:tcPr>
            <w:tcW w:w="1372" w:type="dxa"/>
            <w:tcBorders>
              <w:top w:val="single" w:sz="8" w:space="0" w:color="FFFFFF"/>
              <w:left w:val="single" w:sz="8" w:space="0" w:color="FFFFFF"/>
              <w:bottom w:val="single" w:sz="8" w:space="0" w:color="FFFFFF"/>
              <w:right w:val="single" w:sz="8" w:space="0" w:color="FFFFFF"/>
            </w:tcBorders>
            <w:shd w:val="clear" w:color="auto" w:fill="C6D9F1"/>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53,27%</w:t>
            </w:r>
          </w:p>
        </w:tc>
      </w:tr>
      <w:tr>
        <w:tblPrEx>
          <w:tblCellMar>
            <w:top w:w="0" w:type="dxa"/>
            <w:left w:w="0" w:type="dxa"/>
            <w:bottom w:w="0" w:type="dxa"/>
            <w:right w:w="0" w:type="dxa"/>
          </w:tblCellMar>
        </w:tblPrEx>
        <w:trPr>
          <w:trHeight w:val="740"/>
          <w:jc w:val="center"/>
        </w:trPr>
        <w:tc>
          <w:tcPr>
            <w:tcW w:w="3145" w:type="dxa"/>
            <w:tcBorders>
              <w:top w:val="single" w:sz="8" w:space="0" w:color="FFFFFF"/>
              <w:left w:val="nil"/>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lef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SUBSECRETARÍA Y ADMINISTRACIÓN GENERAL</w:t>
            </w:r>
          </w:p>
        </w:tc>
        <w:tc>
          <w:tcPr>
            <w:tcW w:w="1083"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12.401.157</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12.964.263</w:t>
            </w:r>
          </w:p>
        </w:tc>
        <w:tc>
          <w:tcPr>
            <w:tcW w:w="1608"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6.781.916</w:t>
            </w:r>
          </w:p>
        </w:tc>
        <w:tc>
          <w:tcPr>
            <w:tcW w:w="939"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54,69%</w:t>
            </w:r>
          </w:p>
        </w:tc>
        <w:tc>
          <w:tcPr>
            <w:tcW w:w="1372"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52,31%</w:t>
            </w:r>
          </w:p>
        </w:tc>
      </w:tr>
      <w:tr>
        <w:tblPrEx>
          <w:tblCellMar>
            <w:top w:w="0" w:type="dxa"/>
            <w:left w:w="0" w:type="dxa"/>
            <w:bottom w:w="0" w:type="dxa"/>
            <w:right w:w="0" w:type="dxa"/>
          </w:tblCellMar>
        </w:tblPrEx>
        <w:trPr>
          <w:trHeight w:val="980"/>
          <w:jc w:val="center"/>
        </w:trPr>
        <w:tc>
          <w:tcPr>
            <w:tcW w:w="3145" w:type="dxa"/>
            <w:tcBorders>
              <w:top w:val="single" w:sz="8" w:space="0" w:color="FFFFFF"/>
              <w:left w:val="nil"/>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lef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 xml:space="preserve">UNIDAD ADMINISTRADORA DE LOS TRIBUNALES TRIBUTARIOS Y ADUANEROS    </w:t>
            </w:r>
          </w:p>
        </w:tc>
        <w:tc>
          <w:tcPr>
            <w:tcW w:w="1083"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8.493.882</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8.482.337</w:t>
            </w:r>
          </w:p>
        </w:tc>
        <w:tc>
          <w:tcPr>
            <w:tcW w:w="1608"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5.280.159</w:t>
            </w:r>
          </w:p>
        </w:tc>
        <w:tc>
          <w:tcPr>
            <w:tcW w:w="939"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62,16%</w:t>
            </w:r>
          </w:p>
        </w:tc>
        <w:tc>
          <w:tcPr>
            <w:tcW w:w="1372"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62,25%</w:t>
            </w:r>
          </w:p>
        </w:tc>
      </w:tr>
      <w:tr>
        <w:tblPrEx>
          <w:tblCellMar>
            <w:top w:w="0" w:type="dxa"/>
            <w:left w:w="0" w:type="dxa"/>
            <w:bottom w:w="0" w:type="dxa"/>
            <w:right w:w="0" w:type="dxa"/>
          </w:tblCellMar>
        </w:tblPrEx>
        <w:trPr>
          <w:trHeight w:val="740"/>
          <w:jc w:val="center"/>
        </w:trPr>
        <w:tc>
          <w:tcPr>
            <w:tcW w:w="3145" w:type="dxa"/>
            <w:tcBorders>
              <w:top w:val="single" w:sz="8" w:space="0" w:color="FFFFFF"/>
              <w:left w:val="nil"/>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lef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 xml:space="preserve">SISTEMA INTEGRADO DE COMERCIO EXTERIOR (SICEX)      </w:t>
            </w:r>
          </w:p>
        </w:tc>
        <w:tc>
          <w:tcPr>
            <w:tcW w:w="1083"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2.878.346</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2.897.170</w:t>
            </w:r>
          </w:p>
        </w:tc>
        <w:tc>
          <w:tcPr>
            <w:tcW w:w="1608"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1.483.426</w:t>
            </w:r>
          </w:p>
        </w:tc>
        <w:tc>
          <w:tcPr>
            <w:tcW w:w="939"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51,54%</w:t>
            </w:r>
          </w:p>
        </w:tc>
        <w:tc>
          <w:tcPr>
            <w:tcW w:w="1372"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51,20%</w:t>
            </w:r>
          </w:p>
        </w:tc>
      </w:tr>
      <w:tr>
        <w:tblPrEx>
          <w:tblCellMar>
            <w:top w:w="0" w:type="dxa"/>
            <w:left w:w="0" w:type="dxa"/>
            <w:bottom w:w="0" w:type="dxa"/>
            <w:right w:w="0" w:type="dxa"/>
          </w:tblCellMar>
        </w:tblPrEx>
        <w:trPr>
          <w:trHeight w:val="740"/>
          <w:jc w:val="center"/>
        </w:trPr>
        <w:tc>
          <w:tcPr>
            <w:tcW w:w="3145" w:type="dxa"/>
            <w:tcBorders>
              <w:top w:val="single" w:sz="8" w:space="0" w:color="FFFFFF"/>
              <w:left w:val="nil"/>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lef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 xml:space="preserve">PROGRAMA DE MODERNIZACION SECTOR PÚBLICO </w:t>
            </w:r>
          </w:p>
        </w:tc>
        <w:tc>
          <w:tcPr>
            <w:tcW w:w="1083"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5.508.854</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4.769.678</w:t>
            </w:r>
          </w:p>
        </w:tc>
        <w:tc>
          <w:tcPr>
            <w:tcW w:w="1608"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1.963.491</w:t>
            </w:r>
          </w:p>
        </w:tc>
        <w:tc>
          <w:tcPr>
            <w:tcW w:w="939"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35,64%</w:t>
            </w:r>
          </w:p>
        </w:tc>
        <w:tc>
          <w:tcPr>
            <w:tcW w:w="1372"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41,17%</w:t>
            </w:r>
          </w:p>
        </w:tc>
      </w:tr>
    </w:tbl>
    <w:p>
      <w:pPr>
        <w:widowControl w:val="0"/>
        <w:pBdr>
          <w:top w:val="nil"/>
          <w:left w:val="nil"/>
          <w:bottom w:val="nil"/>
          <w:right w:val="nil"/>
          <w:between w:val="nil"/>
          <w:bar w:val="nil"/>
        </w:pBdr>
        <w:rPr>
          <w:rFonts w:eastAsia="Arial"/>
          <w:bCs/>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En este punto, realizó las siguientes observaciones acerca de la ejecución presupuestaria del Capítulo 01 y su programación para el cuarto trimestre.</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 xml:space="preserve">- </w:t>
      </w:r>
      <w:r>
        <w:rPr>
          <w:rFonts w:eastAsia="Arial Unicode MS" w:cs="Arial Unicode MS"/>
          <w:bCs/>
          <w:color w:val="000000"/>
          <w:u w:color="000000"/>
          <w:bdr w:val="nil"/>
          <w:lang w:val="es-ES_tradnl" w:eastAsia="es-CL"/>
        </w:rPr>
        <w:t>Subsecretaría y Administración General</w:t>
      </w:r>
      <w:r>
        <w:rPr>
          <w:rFonts w:eastAsia="Arial Unicode MS" w:cs="Arial Unicode MS"/>
          <w:b w:val="0"/>
          <w:color w:val="000000"/>
          <w:u w:color="000000"/>
          <w:bdr w:val="nil"/>
          <w:lang w:val="es-ES_tradnl" w:eastAsia="es-CL"/>
        </w:rPr>
        <w:t>: en el último trimestre se efectúa el pago de estudios, de clasificadoras de riesgo, como asimismo el del proyecto de conservación del piso 13 y de la deuda SIGFE 1 (octubre).</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 xml:space="preserve">- </w:t>
      </w:r>
      <w:r>
        <w:rPr>
          <w:rFonts w:eastAsia="Arial Unicode MS" w:cs="Arial Unicode MS"/>
          <w:bCs/>
          <w:color w:val="000000"/>
          <w:u w:color="000000"/>
          <w:bdr w:val="nil"/>
          <w:lang w:val="es-ES_tradnl" w:eastAsia="es-CL"/>
        </w:rPr>
        <w:t>Unidad Administradora de los Tribunales Tributarios y Aduaneros</w:t>
      </w:r>
      <w:r>
        <w:rPr>
          <w:rFonts w:eastAsia="Arial Unicode MS" w:cs="Arial Unicode MS"/>
          <w:b w:val="0"/>
          <w:color w:val="000000"/>
          <w:u w:color="000000"/>
          <w:bdr w:val="nil"/>
          <w:lang w:val="es-ES_tradnl" w:eastAsia="es-CL"/>
        </w:rPr>
        <w:t>: su ejecución se proyecta de acuerdo a lo programado.</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 xml:space="preserve">- </w:t>
      </w:r>
      <w:r>
        <w:rPr>
          <w:rFonts w:eastAsia="Arial Unicode MS" w:cs="Arial Unicode MS"/>
          <w:bCs/>
          <w:color w:val="000000"/>
          <w:u w:color="000000"/>
          <w:bdr w:val="nil"/>
          <w:lang w:val="es-ES_tradnl" w:eastAsia="es-CL"/>
        </w:rPr>
        <w:t>SICEX</w:t>
      </w:r>
      <w:r>
        <w:rPr>
          <w:rFonts w:eastAsia="Arial Unicode MS" w:cs="Arial Unicode MS"/>
          <w:b w:val="0"/>
          <w:color w:val="000000"/>
          <w:u w:color="000000"/>
          <w:bdr w:val="nil"/>
          <w:lang w:val="es-ES_tradnl" w:eastAsia="es-CL"/>
        </w:rPr>
        <w:t>: corresponde al pago de servicios de operación, soporte, mantención, nuevos desarrollos del sistema y al módulo de conexión con privados de importaciones durante el último trimestre 2016.</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 xml:space="preserve">- </w:t>
      </w:r>
      <w:r>
        <w:rPr>
          <w:rFonts w:eastAsia="Arial Unicode MS" w:cs="Arial Unicode MS"/>
          <w:bCs/>
          <w:color w:val="000000"/>
          <w:u w:color="000000"/>
          <w:bdr w:val="nil"/>
          <w:lang w:val="es-ES_tradnl" w:eastAsia="es-CL"/>
        </w:rPr>
        <w:t>Programa de Modernización del Sector Público</w:t>
      </w:r>
      <w:r>
        <w:rPr>
          <w:rFonts w:eastAsia="Arial Unicode MS" w:cs="Arial Unicode MS"/>
          <w:b w:val="0"/>
          <w:color w:val="000000"/>
          <w:u w:color="000000"/>
          <w:bdr w:val="nil"/>
          <w:lang w:val="es-ES_tradnl" w:eastAsia="es-CL"/>
        </w:rPr>
        <w:t>: un 83% del presupuesto corresponde a recursos para transferencias a Servicios que desarrollan programas tecnológicos que requirieron aprobaciones técnicas previas como Planes Informáticos, por lo que su ejecución se concentra en el último trimestre (INE, SERNAC y Chilecompra).</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 xml:space="preserve">Posteriormente, el </w:t>
      </w:r>
      <w:r>
        <w:rPr>
          <w:rFonts w:eastAsia="Arial Unicode MS" w:cs="Arial Unicode MS"/>
          <w:bCs/>
          <w:color w:val="000000"/>
          <w:u w:color="000000"/>
          <w:bdr w:val="nil"/>
          <w:lang w:val="es-ES_tradnl" w:eastAsia="es-CL"/>
        </w:rPr>
        <w:t>Subsecretario de Hacienda, señor Alejandro Micco</w:t>
      </w:r>
      <w:r>
        <w:rPr>
          <w:rFonts w:eastAsia="Arial Unicode MS" w:cs="Arial Unicode MS"/>
          <w:b w:val="0"/>
          <w:color w:val="000000"/>
          <w:u w:color="000000"/>
          <w:bdr w:val="nil"/>
          <w:lang w:val="es-ES_tradnl" w:eastAsia="es-CL"/>
        </w:rPr>
        <w:t>, describió, en específico, el presupuesto propuesto para el organismo del cual es titular a través de la siguiente lámina.</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jc w:val="center"/>
        <w:rPr>
          <w:rFonts w:eastAsia="Arial"/>
          <w:bCs/>
          <w:color w:val="000000"/>
          <w:u w:color="000000"/>
          <w:bdr w:val="nil"/>
          <w:lang w:val="es-ES_tradnl" w:eastAsia="es-CL"/>
        </w:rPr>
      </w:pPr>
      <w:r>
        <w:rPr>
          <w:rFonts w:eastAsia="Arial"/>
          <w:bCs/>
          <w:color w:val="000000"/>
          <w:u w:color="000000"/>
          <w:bdr w:val="nil"/>
          <w:lang w:val="es-ES_tradnl" w:eastAsia="es-CL"/>
        </w:rPr>
        <w:t>Subsecretaría de Hacienda</w:t>
      </w:r>
    </w:p>
    <w:p>
      <w:pPr>
        <w:pBdr>
          <w:top w:val="nil"/>
          <w:left w:val="nil"/>
          <w:bottom w:val="nil"/>
          <w:right w:val="nil"/>
          <w:between w:val="nil"/>
          <w:bar w:val="nil"/>
        </w:pBdr>
        <w:jc w:val="center"/>
        <w:rPr>
          <w:rFonts w:eastAsia="Arial"/>
          <w:bCs/>
          <w:color w:val="000000"/>
          <w:u w:color="000000"/>
          <w:bdr w:val="nil"/>
          <w:lang w:val="es-ES_tradnl" w:eastAsia="es-CL"/>
        </w:rPr>
      </w:pPr>
      <w:r>
        <w:rPr>
          <w:rFonts w:eastAsia="Arial"/>
          <w:bCs/>
          <w:color w:val="000000"/>
          <w:u w:color="000000"/>
          <w:bdr w:val="nil"/>
          <w:lang w:val="es-ES_tradnl" w:eastAsia="es-CL"/>
        </w:rPr>
        <w:t>Proyecto Presupuesto 2017 – Cifras comparadas 2016/2017</w:t>
      </w:r>
    </w:p>
    <w:tbl>
      <w:tblPr>
        <w:tblW w:w="9532" w:type="dxa"/>
        <w:jc w:val="center"/>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4544"/>
        <w:gridCol w:w="1429"/>
        <w:gridCol w:w="1349"/>
        <w:gridCol w:w="180"/>
        <w:gridCol w:w="1208"/>
        <w:gridCol w:w="765"/>
        <w:gridCol w:w="57"/>
      </w:tblGrid>
      <w:tr>
        <w:tblPrEx>
          <w:tblCellMar>
            <w:top w:w="0" w:type="dxa"/>
            <w:left w:w="0" w:type="dxa"/>
            <w:bottom w:w="0" w:type="dxa"/>
            <w:right w:w="0" w:type="dxa"/>
          </w:tblCellMar>
        </w:tblPrEx>
        <w:trPr>
          <w:gridAfter w:val="1"/>
          <w:wAfter w:w="57" w:type="dxa"/>
          <w:trHeight w:val="451"/>
          <w:jc w:val="center"/>
        </w:trPr>
        <w:tc>
          <w:tcPr>
            <w:tcW w:w="4544" w:type="dxa"/>
            <w:tcBorders>
              <w:top w:val="nil"/>
              <w:left w:val="nil"/>
              <w:bottom w:val="nil"/>
              <w:right w:val="single" w:sz="8" w:space="0" w:color="FFFFFF"/>
            </w:tcBorders>
            <w:shd w:val="clear" w:color="auto" w:fill="B9CDE5"/>
            <w:tcMar>
              <w:top w:w="80" w:type="dxa"/>
              <w:left w:w="80" w:type="dxa"/>
              <w:bottom w:w="80" w:type="dxa"/>
              <w:right w:w="80" w:type="dxa"/>
            </w:tcMar>
            <w:vAlign w:val="center"/>
          </w:tcPr>
          <w:p>
            <w:pPr>
              <w:pBdr>
                <w:top w:val="nil"/>
                <w:left w:val="nil"/>
                <w:bottom w:val="nil"/>
                <w:right w:val="nil"/>
                <w:between w:val="nil"/>
                <w:bar w:val="nil"/>
              </w:pBdr>
              <w:tabs>
                <w:tab w:val="clear" w:pos="2835"/>
              </w:tabs>
              <w:jc w:val="left"/>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CAPÍTULO 01 - Programa 01</w:t>
            </w:r>
          </w:p>
        </w:tc>
        <w:tc>
          <w:tcPr>
            <w:tcW w:w="2778" w:type="dxa"/>
            <w:gridSpan w:val="2"/>
            <w:tcBorders>
              <w:top w:val="single" w:sz="8" w:space="0" w:color="FFFFFF"/>
              <w:left w:val="single" w:sz="8" w:space="0" w:color="FFFFFF"/>
              <w:bottom w:val="single" w:sz="8" w:space="0" w:color="FFFFFF"/>
              <w:right w:val="single" w:sz="8" w:space="0" w:color="FFFFFF"/>
            </w:tcBorders>
            <w:shd w:val="clear" w:color="auto" w:fill="B9CDE5"/>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Ley de Presupuesto</w:t>
            </w:r>
          </w:p>
        </w:tc>
        <w:tc>
          <w:tcPr>
            <w:tcW w:w="180"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 </w:t>
            </w:r>
          </w:p>
        </w:tc>
        <w:tc>
          <w:tcPr>
            <w:tcW w:w="1973" w:type="dxa"/>
            <w:gridSpan w:val="2"/>
            <w:tcBorders>
              <w:top w:val="single" w:sz="8" w:space="0" w:color="FFFFFF"/>
              <w:left w:val="single" w:sz="8" w:space="0" w:color="FFFFFF"/>
              <w:bottom w:val="single" w:sz="8" w:space="0" w:color="FFFFFF"/>
              <w:right w:val="single" w:sz="8" w:space="0" w:color="FFFFFF"/>
            </w:tcBorders>
            <w:shd w:val="clear" w:color="auto" w:fill="B9CDE5"/>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Variación</w:t>
            </w:r>
          </w:p>
        </w:tc>
      </w:tr>
      <w:tr>
        <w:tblPrEx>
          <w:tblCellMar>
            <w:top w:w="0" w:type="dxa"/>
            <w:left w:w="0" w:type="dxa"/>
            <w:bottom w:w="0" w:type="dxa"/>
            <w:right w:w="0" w:type="dxa"/>
          </w:tblCellMar>
        </w:tblPrEx>
        <w:trPr>
          <w:gridAfter w:val="1"/>
          <w:wAfter w:w="57" w:type="dxa"/>
          <w:trHeight w:val="752"/>
          <w:jc w:val="center"/>
        </w:trPr>
        <w:tc>
          <w:tcPr>
            <w:tcW w:w="4544" w:type="dxa"/>
            <w:vMerge w:val="restart"/>
            <w:tcBorders>
              <w:top w:val="nil"/>
              <w:left w:val="nil"/>
              <w:bottom w:val="single" w:sz="8" w:space="0" w:color="FFFFFF"/>
              <w:right w:val="single" w:sz="8" w:space="0" w:color="FFFFFF"/>
            </w:tcBorders>
            <w:shd w:val="clear" w:color="auto" w:fill="B9CDE5"/>
            <w:tcMar>
              <w:top w:w="80" w:type="dxa"/>
              <w:left w:w="80" w:type="dxa"/>
              <w:bottom w:w="80" w:type="dxa"/>
              <w:right w:w="80" w:type="dxa"/>
            </w:tcMar>
            <w:vAlign w:val="center"/>
          </w:tcPr>
          <w:p>
            <w:pPr>
              <w:pBdr>
                <w:top w:val="nil"/>
                <w:left w:val="nil"/>
                <w:bottom w:val="nil"/>
                <w:right w:val="nil"/>
                <w:between w:val="nil"/>
                <w:bar w:val="nil"/>
              </w:pBdr>
              <w:tabs>
                <w:tab w:val="clear" w:pos="2835"/>
              </w:tabs>
              <w:jc w:val="left"/>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SUBSECRETARÍA DE HACIENDA</w:t>
            </w:r>
          </w:p>
        </w:tc>
        <w:tc>
          <w:tcPr>
            <w:tcW w:w="1429" w:type="dxa"/>
            <w:tcBorders>
              <w:top w:val="single" w:sz="8" w:space="0" w:color="FFFFFF"/>
              <w:left w:val="single" w:sz="8" w:space="0" w:color="FFFFFF"/>
              <w:bottom w:val="nil"/>
              <w:right w:val="single" w:sz="8" w:space="0" w:color="FFFFFF"/>
            </w:tcBorders>
            <w:shd w:val="clear" w:color="auto" w:fill="B9CDE5"/>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Año 2016</w:t>
            </w:r>
          </w:p>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ajustada</w:t>
            </w:r>
          </w:p>
        </w:tc>
        <w:tc>
          <w:tcPr>
            <w:tcW w:w="1349" w:type="dxa"/>
            <w:tcBorders>
              <w:top w:val="single" w:sz="8" w:space="0" w:color="FFFFFF"/>
              <w:left w:val="single" w:sz="8" w:space="0" w:color="FFFFFF"/>
              <w:bottom w:val="nil"/>
              <w:right w:val="single" w:sz="8" w:space="0" w:color="FFFFFF"/>
            </w:tcBorders>
            <w:shd w:val="clear" w:color="auto" w:fill="B9CDE5"/>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Año 2017</w:t>
            </w:r>
          </w:p>
        </w:tc>
        <w:tc>
          <w:tcPr>
            <w:tcW w:w="180"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pPr>
              <w:pBdr>
                <w:top w:val="nil"/>
                <w:left w:val="nil"/>
                <w:bottom w:val="nil"/>
                <w:right w:val="nil"/>
                <w:between w:val="nil"/>
                <w:bar w:val="nil"/>
              </w:pBdr>
              <w:tabs>
                <w:tab w:val="clear" w:pos="2835"/>
              </w:tabs>
              <w:jc w:val="left"/>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 </w:t>
            </w:r>
          </w:p>
        </w:tc>
        <w:tc>
          <w:tcPr>
            <w:tcW w:w="1208" w:type="dxa"/>
            <w:vMerge w:val="restart"/>
            <w:tcBorders>
              <w:top w:val="single" w:sz="8" w:space="0" w:color="FFFFFF"/>
              <w:left w:val="single" w:sz="8" w:space="0" w:color="FFFFFF"/>
              <w:bottom w:val="single" w:sz="8" w:space="0" w:color="FFFFFF"/>
              <w:right w:val="single" w:sz="8" w:space="0" w:color="FFFFFF"/>
            </w:tcBorders>
            <w:shd w:val="clear" w:color="auto" w:fill="B9CDE5"/>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M$</w:t>
            </w:r>
          </w:p>
        </w:tc>
        <w:tc>
          <w:tcPr>
            <w:tcW w:w="765" w:type="dxa"/>
            <w:vMerge w:val="restart"/>
            <w:tcBorders>
              <w:top w:val="single" w:sz="8" w:space="0" w:color="FFFFFF"/>
              <w:left w:val="single" w:sz="8" w:space="0" w:color="FFFFFF"/>
              <w:bottom w:val="single" w:sz="8" w:space="0" w:color="FFFFFF"/>
              <w:right w:val="single" w:sz="8" w:space="0" w:color="FFFFFF"/>
            </w:tcBorders>
            <w:shd w:val="clear" w:color="auto" w:fill="B9CDE5"/>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w:t>
            </w:r>
          </w:p>
        </w:tc>
      </w:tr>
      <w:tr>
        <w:tblPrEx>
          <w:tblCellMar>
            <w:top w:w="0" w:type="dxa"/>
            <w:left w:w="0" w:type="dxa"/>
            <w:bottom w:w="0" w:type="dxa"/>
            <w:right w:w="0" w:type="dxa"/>
          </w:tblCellMar>
        </w:tblPrEx>
        <w:trPr>
          <w:gridAfter w:val="1"/>
          <w:wAfter w:w="57" w:type="dxa"/>
          <w:trHeight w:val="446"/>
          <w:jc w:val="center"/>
        </w:trPr>
        <w:tc>
          <w:tcPr>
            <w:tcW w:w="4544" w:type="dxa"/>
            <w:vMerge/>
            <w:tcBorders>
              <w:top w:val="nil"/>
              <w:left w:val="nil"/>
              <w:bottom w:val="single" w:sz="8" w:space="0" w:color="FFFFFF"/>
              <w:right w:val="single" w:sz="8" w:space="0" w:color="FFFFFF"/>
            </w:tcBorders>
            <w:shd w:val="clear" w:color="auto" w:fill="B9CDE5"/>
          </w:tcPr>
          <w:p>
            <w:pPr>
              <w:pBdr>
                <w:top w:val="nil"/>
                <w:left w:val="nil"/>
                <w:bottom w:val="nil"/>
                <w:right w:val="nil"/>
                <w:between w:val="nil"/>
                <w:bar w:val="nil"/>
              </w:pBdr>
              <w:rPr>
                <w:rFonts w:eastAsia="Arial"/>
                <w:b w:val="0"/>
                <w:color w:val="000000"/>
                <w:sz w:val="18"/>
                <w:szCs w:val="18"/>
                <w:u w:color="000000"/>
                <w:bdr w:val="nil"/>
                <w:lang w:val="es-ES_tradnl" w:eastAsia="es-CL"/>
              </w:rPr>
            </w:pPr>
          </w:p>
        </w:tc>
        <w:tc>
          <w:tcPr>
            <w:tcW w:w="1429" w:type="dxa"/>
            <w:tcBorders>
              <w:top w:val="nil"/>
              <w:left w:val="single" w:sz="8" w:space="0" w:color="FFFFFF"/>
              <w:bottom w:val="single" w:sz="8" w:space="0" w:color="FFFFFF"/>
              <w:right w:val="single" w:sz="8" w:space="0" w:color="FFFFFF"/>
            </w:tcBorders>
            <w:shd w:val="clear" w:color="auto" w:fill="B9CDE5"/>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(M$ 2017)</w:t>
            </w:r>
          </w:p>
        </w:tc>
        <w:tc>
          <w:tcPr>
            <w:tcW w:w="1349" w:type="dxa"/>
            <w:tcBorders>
              <w:top w:val="nil"/>
              <w:left w:val="single" w:sz="8" w:space="0" w:color="FFFFFF"/>
              <w:bottom w:val="single" w:sz="8" w:space="0" w:color="FFFFFF"/>
              <w:right w:val="single" w:sz="8" w:space="0" w:color="FFFFFF"/>
            </w:tcBorders>
            <w:shd w:val="clear" w:color="auto" w:fill="B9CDE5"/>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(M$ 2017)</w:t>
            </w:r>
          </w:p>
        </w:tc>
        <w:tc>
          <w:tcPr>
            <w:tcW w:w="180"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pPr>
              <w:pBdr>
                <w:top w:val="nil"/>
                <w:left w:val="nil"/>
                <w:bottom w:val="nil"/>
                <w:right w:val="nil"/>
                <w:between w:val="nil"/>
                <w:bar w:val="nil"/>
              </w:pBdr>
              <w:tabs>
                <w:tab w:val="clear" w:pos="2835"/>
              </w:tabs>
              <w:jc w:val="left"/>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 </w:t>
            </w:r>
          </w:p>
        </w:tc>
        <w:tc>
          <w:tcPr>
            <w:tcW w:w="1208" w:type="dxa"/>
            <w:vMerge/>
            <w:tcBorders>
              <w:top w:val="single" w:sz="8" w:space="0" w:color="FFFFFF"/>
              <w:left w:val="single" w:sz="8" w:space="0" w:color="FFFFFF"/>
              <w:bottom w:val="single" w:sz="8" w:space="0" w:color="FFFFFF"/>
              <w:right w:val="single" w:sz="8" w:space="0" w:color="FFFFFF"/>
            </w:tcBorders>
            <w:shd w:val="clear" w:color="auto" w:fill="B9CDE5"/>
          </w:tcPr>
          <w:p>
            <w:pPr>
              <w:pBdr>
                <w:top w:val="nil"/>
                <w:left w:val="nil"/>
                <w:bottom w:val="nil"/>
                <w:right w:val="nil"/>
                <w:between w:val="nil"/>
                <w:bar w:val="nil"/>
              </w:pBdr>
              <w:rPr>
                <w:rFonts w:eastAsia="Arial"/>
                <w:b w:val="0"/>
                <w:color w:val="000000"/>
                <w:sz w:val="18"/>
                <w:szCs w:val="18"/>
                <w:u w:color="000000"/>
                <w:bdr w:val="nil"/>
                <w:lang w:val="es-ES_tradnl" w:eastAsia="es-CL"/>
              </w:rPr>
            </w:pPr>
          </w:p>
        </w:tc>
        <w:tc>
          <w:tcPr>
            <w:tcW w:w="765" w:type="dxa"/>
            <w:vMerge/>
            <w:tcBorders>
              <w:top w:val="single" w:sz="8" w:space="0" w:color="FFFFFF"/>
              <w:left w:val="single" w:sz="8" w:space="0" w:color="FFFFFF"/>
              <w:bottom w:val="single" w:sz="8" w:space="0" w:color="FFFFFF"/>
              <w:right w:val="single" w:sz="8" w:space="0" w:color="FFFFFF"/>
            </w:tcBorders>
            <w:shd w:val="clear" w:color="auto" w:fill="B9CDE5"/>
          </w:tcPr>
          <w:p>
            <w:pPr>
              <w:pBdr>
                <w:top w:val="nil"/>
                <w:left w:val="nil"/>
                <w:bottom w:val="nil"/>
                <w:right w:val="nil"/>
                <w:between w:val="nil"/>
                <w:bar w:val="nil"/>
              </w:pBdr>
              <w:rPr>
                <w:rFonts w:eastAsia="Arial"/>
                <w:b w:val="0"/>
                <w:color w:val="000000"/>
                <w:sz w:val="18"/>
                <w:szCs w:val="18"/>
                <w:u w:color="000000"/>
                <w:bdr w:val="nil"/>
                <w:lang w:val="es-ES_tradnl" w:eastAsia="es-CL"/>
              </w:rPr>
            </w:pPr>
          </w:p>
        </w:tc>
      </w:tr>
      <w:tr>
        <w:tblPrEx>
          <w:tblCellMar>
            <w:top w:w="0" w:type="dxa"/>
            <w:left w:w="0" w:type="dxa"/>
            <w:bottom w:w="0" w:type="dxa"/>
            <w:right w:w="0" w:type="dxa"/>
          </w:tblCellMar>
        </w:tblPrEx>
        <w:trPr>
          <w:gridAfter w:val="1"/>
          <w:wAfter w:w="57" w:type="dxa"/>
          <w:trHeight w:val="383"/>
          <w:jc w:val="center"/>
        </w:trPr>
        <w:tc>
          <w:tcPr>
            <w:tcW w:w="4544" w:type="dxa"/>
            <w:tcBorders>
              <w:top w:val="single" w:sz="8" w:space="0" w:color="FFFFFF"/>
              <w:left w:val="single" w:sz="8" w:space="0" w:color="FFFFFF"/>
              <w:bottom w:val="single" w:sz="8" w:space="0" w:color="FFFFFF"/>
              <w:right w:val="single" w:sz="8" w:space="0" w:color="FFFFFF"/>
            </w:tcBorders>
            <w:shd w:val="clear" w:color="auto" w:fill="C6D9F1"/>
            <w:tcMar>
              <w:top w:w="80" w:type="dxa"/>
              <w:left w:w="80" w:type="dxa"/>
              <w:bottom w:w="80" w:type="dxa"/>
              <w:right w:w="80" w:type="dxa"/>
            </w:tcMar>
            <w:vAlign w:val="center"/>
          </w:tcPr>
          <w:p>
            <w:pPr>
              <w:pBdr>
                <w:top w:val="nil"/>
                <w:left w:val="nil"/>
                <w:bottom w:val="nil"/>
                <w:right w:val="nil"/>
                <w:between w:val="nil"/>
                <w:bar w:val="nil"/>
              </w:pBdr>
              <w:tabs>
                <w:tab w:val="clear" w:pos="2835"/>
              </w:tabs>
              <w:jc w:val="left"/>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TOTAL</w:t>
            </w:r>
          </w:p>
        </w:tc>
        <w:tc>
          <w:tcPr>
            <w:tcW w:w="1429" w:type="dxa"/>
            <w:tcBorders>
              <w:top w:val="single" w:sz="8" w:space="0" w:color="FFFFFF"/>
              <w:left w:val="single" w:sz="8" w:space="0" w:color="FFFFFF"/>
              <w:bottom w:val="single" w:sz="8" w:space="0" w:color="FFFFFF"/>
              <w:right w:val="single" w:sz="8" w:space="0" w:color="FFFFFF"/>
            </w:tcBorders>
            <w:shd w:val="clear" w:color="auto" w:fill="C6D9F1"/>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12.613.152</w:t>
            </w:r>
          </w:p>
        </w:tc>
        <w:tc>
          <w:tcPr>
            <w:tcW w:w="1349" w:type="dxa"/>
            <w:tcBorders>
              <w:top w:val="single" w:sz="8" w:space="0" w:color="FFFFFF"/>
              <w:left w:val="single" w:sz="8" w:space="0" w:color="FFFFFF"/>
              <w:bottom w:val="single" w:sz="8" w:space="0" w:color="FFFFFF"/>
              <w:right w:val="single" w:sz="8" w:space="0" w:color="FFFFFF"/>
            </w:tcBorders>
            <w:shd w:val="clear" w:color="auto" w:fill="C6D9F1"/>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10.585.094</w:t>
            </w:r>
          </w:p>
        </w:tc>
        <w:tc>
          <w:tcPr>
            <w:tcW w:w="180"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 </w:t>
            </w:r>
          </w:p>
        </w:tc>
        <w:tc>
          <w:tcPr>
            <w:tcW w:w="1208" w:type="dxa"/>
            <w:tcBorders>
              <w:top w:val="single" w:sz="8" w:space="0" w:color="FFFFFF"/>
              <w:left w:val="single" w:sz="8" w:space="0" w:color="FFFFFF"/>
              <w:bottom w:val="single" w:sz="8" w:space="0" w:color="FFFFFF"/>
              <w:right w:val="single" w:sz="8" w:space="0" w:color="FFFFFF"/>
            </w:tcBorders>
            <w:shd w:val="clear" w:color="auto" w:fill="C6D9F1"/>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-2.028.058</w:t>
            </w:r>
          </w:p>
        </w:tc>
        <w:tc>
          <w:tcPr>
            <w:tcW w:w="765" w:type="dxa"/>
            <w:tcBorders>
              <w:top w:val="single" w:sz="8" w:space="0" w:color="FFFFFF"/>
              <w:left w:val="single" w:sz="8" w:space="0" w:color="FFFFFF"/>
              <w:bottom w:val="single" w:sz="8" w:space="0" w:color="FFFFFF"/>
              <w:right w:val="single" w:sz="8" w:space="0" w:color="FFFFFF"/>
            </w:tcBorders>
            <w:shd w:val="clear" w:color="auto" w:fill="C6D9F1"/>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-16,1%</w:t>
            </w:r>
          </w:p>
        </w:tc>
      </w:tr>
      <w:tr>
        <w:tblPrEx>
          <w:tblCellMar>
            <w:top w:w="0" w:type="dxa"/>
            <w:left w:w="0" w:type="dxa"/>
            <w:bottom w:w="0" w:type="dxa"/>
            <w:right w:w="0" w:type="dxa"/>
          </w:tblCellMar>
        </w:tblPrEx>
        <w:trPr>
          <w:gridAfter w:val="1"/>
          <w:wAfter w:w="57" w:type="dxa"/>
          <w:trHeight w:val="391"/>
          <w:jc w:val="center"/>
        </w:trPr>
        <w:tc>
          <w:tcPr>
            <w:tcW w:w="4544"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lef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Gasto en Personal (</w:t>
            </w:r>
            <w:r>
              <w:rPr>
                <w:bCs/>
                <w:color w:val="000000"/>
                <w:kern w:val="24"/>
                <w:sz w:val="18"/>
                <w:szCs w:val="18"/>
                <w:u w:color="000000"/>
                <w:bdr w:val="nil"/>
                <w:lang w:val="es-ES_tradnl" w:eastAsia="es-CL"/>
              </w:rPr>
              <w:t>Subtítulo 21</w:t>
            </w:r>
            <w:r>
              <w:rPr>
                <w:b w:val="0"/>
                <w:color w:val="000000"/>
                <w:kern w:val="24"/>
                <w:sz w:val="18"/>
                <w:szCs w:val="18"/>
                <w:u w:color="000000"/>
                <w:bdr w:val="nil"/>
                <w:lang w:val="es-ES_tradnl" w:eastAsia="es-CL"/>
              </w:rPr>
              <w:t>)</w:t>
            </w:r>
          </w:p>
        </w:tc>
        <w:tc>
          <w:tcPr>
            <w:tcW w:w="1429"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6.013.413</w:t>
            </w:r>
          </w:p>
        </w:tc>
        <w:tc>
          <w:tcPr>
            <w:tcW w:w="1349"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6.013.413</w:t>
            </w:r>
          </w:p>
        </w:tc>
        <w:tc>
          <w:tcPr>
            <w:tcW w:w="180"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 </w:t>
            </w:r>
          </w:p>
        </w:tc>
        <w:tc>
          <w:tcPr>
            <w:tcW w:w="1208"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0</w:t>
            </w:r>
          </w:p>
        </w:tc>
        <w:tc>
          <w:tcPr>
            <w:tcW w:w="765"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0,0%</w:t>
            </w:r>
          </w:p>
        </w:tc>
      </w:tr>
      <w:tr>
        <w:tblPrEx>
          <w:tblCellMar>
            <w:top w:w="0" w:type="dxa"/>
            <w:left w:w="0" w:type="dxa"/>
            <w:bottom w:w="0" w:type="dxa"/>
            <w:right w:w="0" w:type="dxa"/>
          </w:tblCellMar>
        </w:tblPrEx>
        <w:trPr>
          <w:gridAfter w:val="1"/>
          <w:wAfter w:w="57" w:type="dxa"/>
          <w:trHeight w:val="385"/>
          <w:jc w:val="center"/>
        </w:trPr>
        <w:tc>
          <w:tcPr>
            <w:tcW w:w="4544"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lef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Bienes y Servicios de Consumo (</w:t>
            </w:r>
            <w:r>
              <w:rPr>
                <w:bCs/>
                <w:color w:val="000000"/>
                <w:kern w:val="24"/>
                <w:sz w:val="18"/>
                <w:szCs w:val="18"/>
                <w:u w:color="000000"/>
                <w:bdr w:val="nil"/>
                <w:lang w:val="es-ES_tradnl" w:eastAsia="es-CL"/>
              </w:rPr>
              <w:t>Subtítulo 22</w:t>
            </w:r>
            <w:r>
              <w:rPr>
                <w:b w:val="0"/>
                <w:color w:val="000000"/>
                <w:kern w:val="24"/>
                <w:sz w:val="18"/>
                <w:szCs w:val="18"/>
                <w:u w:color="000000"/>
                <w:bdr w:val="nil"/>
                <w:lang w:val="es-ES_tradnl" w:eastAsia="es-CL"/>
              </w:rPr>
              <w:t>)</w:t>
            </w:r>
          </w:p>
        </w:tc>
        <w:tc>
          <w:tcPr>
            <w:tcW w:w="1429"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2.545.079</w:t>
            </w:r>
          </w:p>
        </w:tc>
        <w:tc>
          <w:tcPr>
            <w:tcW w:w="1349"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2.202.950</w:t>
            </w:r>
          </w:p>
        </w:tc>
        <w:tc>
          <w:tcPr>
            <w:tcW w:w="180"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 </w:t>
            </w:r>
          </w:p>
        </w:tc>
        <w:tc>
          <w:tcPr>
            <w:tcW w:w="1208"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-342.129</w:t>
            </w:r>
          </w:p>
        </w:tc>
        <w:tc>
          <w:tcPr>
            <w:tcW w:w="765"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-13,4%</w:t>
            </w:r>
          </w:p>
        </w:tc>
      </w:tr>
      <w:tr>
        <w:tblPrEx>
          <w:tblCellMar>
            <w:top w:w="0" w:type="dxa"/>
            <w:left w:w="0" w:type="dxa"/>
            <w:bottom w:w="0" w:type="dxa"/>
            <w:right w:w="0" w:type="dxa"/>
          </w:tblCellMar>
        </w:tblPrEx>
        <w:trPr>
          <w:gridAfter w:val="1"/>
          <w:wAfter w:w="57" w:type="dxa"/>
          <w:trHeight w:val="546"/>
          <w:jc w:val="center"/>
        </w:trPr>
        <w:tc>
          <w:tcPr>
            <w:tcW w:w="4544"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lef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Transferencias Corrientes (</w:t>
            </w:r>
            <w:r>
              <w:rPr>
                <w:bCs/>
                <w:color w:val="000000"/>
                <w:kern w:val="24"/>
                <w:sz w:val="18"/>
                <w:szCs w:val="18"/>
                <w:u w:color="000000"/>
                <w:bdr w:val="nil"/>
                <w:lang w:val="es-ES_tradnl" w:eastAsia="es-CL"/>
              </w:rPr>
              <w:t>Subtítulo 24</w:t>
            </w:r>
            <w:r>
              <w:rPr>
                <w:b w:val="0"/>
                <w:color w:val="000000"/>
                <w:kern w:val="24"/>
                <w:sz w:val="18"/>
                <w:szCs w:val="18"/>
                <w:u w:color="000000"/>
                <w:bdr w:val="nil"/>
                <w:lang w:val="es-ES_tradnl" w:eastAsia="es-CL"/>
              </w:rPr>
              <w:t>)</w:t>
            </w:r>
          </w:p>
        </w:tc>
        <w:tc>
          <w:tcPr>
            <w:tcW w:w="1429"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988.163</w:t>
            </w:r>
          </w:p>
        </w:tc>
        <w:tc>
          <w:tcPr>
            <w:tcW w:w="1349"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780.382</w:t>
            </w:r>
          </w:p>
        </w:tc>
        <w:tc>
          <w:tcPr>
            <w:tcW w:w="180"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 </w:t>
            </w:r>
          </w:p>
        </w:tc>
        <w:tc>
          <w:tcPr>
            <w:tcW w:w="1208"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-207.781</w:t>
            </w:r>
          </w:p>
        </w:tc>
        <w:tc>
          <w:tcPr>
            <w:tcW w:w="765"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-21,0%</w:t>
            </w:r>
          </w:p>
        </w:tc>
      </w:tr>
      <w:tr>
        <w:tblPrEx>
          <w:tblCellMar>
            <w:top w:w="0" w:type="dxa"/>
            <w:left w:w="0" w:type="dxa"/>
            <w:bottom w:w="0" w:type="dxa"/>
            <w:right w:w="0" w:type="dxa"/>
          </w:tblCellMar>
        </w:tblPrEx>
        <w:trPr>
          <w:gridAfter w:val="1"/>
          <w:wAfter w:w="57" w:type="dxa"/>
          <w:trHeight w:val="546"/>
          <w:jc w:val="center"/>
        </w:trPr>
        <w:tc>
          <w:tcPr>
            <w:tcW w:w="4544"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lef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Adquisición de Activos no financieros (</w:t>
            </w:r>
            <w:r>
              <w:rPr>
                <w:bCs/>
                <w:color w:val="000000"/>
                <w:kern w:val="24"/>
                <w:sz w:val="18"/>
                <w:szCs w:val="18"/>
                <w:u w:color="000000"/>
                <w:bdr w:val="nil"/>
                <w:lang w:val="es-ES_tradnl" w:eastAsia="es-CL"/>
              </w:rPr>
              <w:t>Subtítulo 29</w:t>
            </w:r>
            <w:r>
              <w:rPr>
                <w:b w:val="0"/>
                <w:color w:val="000000"/>
                <w:kern w:val="24"/>
                <w:sz w:val="18"/>
                <w:szCs w:val="18"/>
                <w:u w:color="000000"/>
                <w:bdr w:val="nil"/>
                <w:lang w:val="es-ES_tradnl" w:eastAsia="es-CL"/>
              </w:rPr>
              <w:t>)</w:t>
            </w:r>
          </w:p>
        </w:tc>
        <w:tc>
          <w:tcPr>
            <w:tcW w:w="1429"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198.312</w:t>
            </w:r>
          </w:p>
        </w:tc>
        <w:tc>
          <w:tcPr>
            <w:tcW w:w="1349"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192.668</w:t>
            </w:r>
          </w:p>
        </w:tc>
        <w:tc>
          <w:tcPr>
            <w:tcW w:w="180"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 </w:t>
            </w:r>
          </w:p>
        </w:tc>
        <w:tc>
          <w:tcPr>
            <w:tcW w:w="1208"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-5.644</w:t>
            </w:r>
          </w:p>
        </w:tc>
        <w:tc>
          <w:tcPr>
            <w:tcW w:w="765"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-2,8%</w:t>
            </w:r>
          </w:p>
        </w:tc>
      </w:tr>
      <w:tr>
        <w:tblPrEx>
          <w:tblCellMar>
            <w:top w:w="0" w:type="dxa"/>
            <w:left w:w="0" w:type="dxa"/>
            <w:bottom w:w="0" w:type="dxa"/>
            <w:right w:w="0" w:type="dxa"/>
          </w:tblCellMar>
        </w:tblPrEx>
        <w:trPr>
          <w:trHeight w:val="546"/>
          <w:jc w:val="center"/>
        </w:trPr>
        <w:tc>
          <w:tcPr>
            <w:tcW w:w="4544"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lef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Iniciativas de Inversión  (</w:t>
            </w:r>
            <w:r>
              <w:rPr>
                <w:bCs/>
                <w:color w:val="000000"/>
                <w:kern w:val="24"/>
                <w:sz w:val="18"/>
                <w:szCs w:val="18"/>
                <w:u w:color="000000"/>
                <w:bdr w:val="nil"/>
                <w:lang w:val="es-ES_tradnl" w:eastAsia="es-CL"/>
              </w:rPr>
              <w:t>Subtítulo 31</w:t>
            </w:r>
            <w:r>
              <w:rPr>
                <w:b w:val="0"/>
                <w:color w:val="000000"/>
                <w:kern w:val="24"/>
                <w:sz w:val="18"/>
                <w:szCs w:val="18"/>
                <w:u w:color="000000"/>
                <w:bdr w:val="nil"/>
                <w:lang w:val="es-ES_tradnl" w:eastAsia="es-CL"/>
              </w:rPr>
              <w:t>)</w:t>
            </w:r>
          </w:p>
        </w:tc>
        <w:tc>
          <w:tcPr>
            <w:tcW w:w="1429"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1.172.651</w:t>
            </w:r>
          </w:p>
        </w:tc>
        <w:tc>
          <w:tcPr>
            <w:tcW w:w="1349"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582.681</w:t>
            </w:r>
          </w:p>
        </w:tc>
        <w:tc>
          <w:tcPr>
            <w:tcW w:w="180"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 </w:t>
            </w:r>
          </w:p>
        </w:tc>
        <w:tc>
          <w:tcPr>
            <w:tcW w:w="1208"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-589.970</w:t>
            </w:r>
          </w:p>
        </w:tc>
        <w:tc>
          <w:tcPr>
            <w:tcW w:w="822" w:type="dxa"/>
            <w:gridSpan w:val="2"/>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-50,3%</w:t>
            </w:r>
          </w:p>
        </w:tc>
      </w:tr>
      <w:tr>
        <w:tblPrEx>
          <w:tblCellMar>
            <w:top w:w="0" w:type="dxa"/>
            <w:left w:w="0" w:type="dxa"/>
            <w:bottom w:w="0" w:type="dxa"/>
            <w:right w:w="0" w:type="dxa"/>
          </w:tblCellMar>
        </w:tblPrEx>
        <w:trPr>
          <w:trHeight w:val="477"/>
          <w:jc w:val="center"/>
        </w:trPr>
        <w:tc>
          <w:tcPr>
            <w:tcW w:w="4544"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lef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Servicio de la Deuda  (</w:t>
            </w:r>
            <w:r>
              <w:rPr>
                <w:bCs/>
                <w:color w:val="000000"/>
                <w:kern w:val="24"/>
                <w:sz w:val="18"/>
                <w:szCs w:val="18"/>
                <w:u w:color="000000"/>
                <w:bdr w:val="nil"/>
                <w:lang w:val="es-ES_tradnl" w:eastAsia="es-CL"/>
              </w:rPr>
              <w:t>Subtítulo 34</w:t>
            </w:r>
            <w:r>
              <w:rPr>
                <w:b w:val="0"/>
                <w:color w:val="000000"/>
                <w:kern w:val="24"/>
                <w:sz w:val="18"/>
                <w:szCs w:val="18"/>
                <w:u w:color="000000"/>
                <w:bdr w:val="nil"/>
                <w:lang w:val="es-ES_tradnl" w:eastAsia="es-CL"/>
              </w:rPr>
              <w:t>)</w:t>
            </w:r>
          </w:p>
        </w:tc>
        <w:tc>
          <w:tcPr>
            <w:tcW w:w="1429"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1.695.534</w:t>
            </w:r>
          </w:p>
        </w:tc>
        <w:tc>
          <w:tcPr>
            <w:tcW w:w="1349"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813.000</w:t>
            </w:r>
          </w:p>
        </w:tc>
        <w:tc>
          <w:tcPr>
            <w:tcW w:w="180"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 </w:t>
            </w:r>
          </w:p>
        </w:tc>
        <w:tc>
          <w:tcPr>
            <w:tcW w:w="1208"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-882.534</w:t>
            </w:r>
          </w:p>
        </w:tc>
        <w:tc>
          <w:tcPr>
            <w:tcW w:w="822" w:type="dxa"/>
            <w:gridSpan w:val="2"/>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-52,1%</w:t>
            </w:r>
          </w:p>
        </w:tc>
      </w:tr>
      <w:tr>
        <w:tblPrEx>
          <w:tblCellMar>
            <w:top w:w="0" w:type="dxa"/>
            <w:left w:w="0" w:type="dxa"/>
            <w:bottom w:w="0" w:type="dxa"/>
            <w:right w:w="0" w:type="dxa"/>
          </w:tblCellMar>
        </w:tblPrEx>
        <w:trPr>
          <w:trHeight w:val="459"/>
          <w:jc w:val="center"/>
        </w:trPr>
        <w:tc>
          <w:tcPr>
            <w:tcW w:w="4544" w:type="dxa"/>
            <w:tcBorders>
              <w:top w:val="single" w:sz="8" w:space="0" w:color="FFFFFF"/>
              <w:left w:val="single" w:sz="8" w:space="0" w:color="FFFFFF"/>
              <w:bottom w:val="single" w:sz="8" w:space="0" w:color="FFFFFF"/>
              <w:right w:val="single" w:sz="8" w:space="0" w:color="FFFFFF"/>
            </w:tcBorders>
            <w:shd w:val="clear" w:color="auto" w:fill="B9CDE5"/>
            <w:tcMar>
              <w:top w:w="80" w:type="dxa"/>
              <w:left w:w="80" w:type="dxa"/>
              <w:bottom w:w="80" w:type="dxa"/>
              <w:right w:w="80" w:type="dxa"/>
            </w:tcMar>
            <w:vAlign w:val="center"/>
          </w:tcPr>
          <w:p>
            <w:pPr>
              <w:pBdr>
                <w:top w:val="nil"/>
                <w:left w:val="nil"/>
                <w:bottom w:val="nil"/>
                <w:right w:val="nil"/>
                <w:between w:val="nil"/>
                <w:bar w:val="nil"/>
              </w:pBdr>
              <w:tabs>
                <w:tab w:val="clear" w:pos="2835"/>
              </w:tabs>
              <w:jc w:val="left"/>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 xml:space="preserve">Gasto neto </w:t>
            </w:r>
            <w:r>
              <w:rPr>
                <w:b w:val="0"/>
                <w:color w:val="000000"/>
                <w:kern w:val="24"/>
                <w:sz w:val="18"/>
                <w:szCs w:val="18"/>
                <w:u w:color="000000"/>
                <w:bdr w:val="nil"/>
                <w:lang w:val="es-ES_tradnl" w:eastAsia="es-CL"/>
              </w:rPr>
              <w:t>(*)</w:t>
            </w:r>
          </w:p>
        </w:tc>
        <w:tc>
          <w:tcPr>
            <w:tcW w:w="1429" w:type="dxa"/>
            <w:tcBorders>
              <w:top w:val="single" w:sz="8" w:space="0" w:color="FFFFFF"/>
              <w:left w:val="single" w:sz="8" w:space="0" w:color="FFFFFF"/>
              <w:bottom w:val="single" w:sz="8" w:space="0" w:color="FFFFFF"/>
              <w:right w:val="single" w:sz="8" w:space="0" w:color="FFFFFF"/>
            </w:tcBorders>
            <w:shd w:val="clear" w:color="auto" w:fill="B9CDE5"/>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10.938.362</w:t>
            </w:r>
          </w:p>
        </w:tc>
        <w:tc>
          <w:tcPr>
            <w:tcW w:w="1349" w:type="dxa"/>
            <w:tcBorders>
              <w:top w:val="single" w:sz="8" w:space="0" w:color="FFFFFF"/>
              <w:left w:val="single" w:sz="8" w:space="0" w:color="FFFFFF"/>
              <w:bottom w:val="single" w:sz="8" w:space="0" w:color="FFFFFF"/>
              <w:right w:val="single" w:sz="8" w:space="0" w:color="FFFFFF"/>
            </w:tcBorders>
            <w:shd w:val="clear" w:color="auto" w:fill="B9CDE5"/>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9.772.094</w:t>
            </w:r>
          </w:p>
        </w:tc>
        <w:tc>
          <w:tcPr>
            <w:tcW w:w="180"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 </w:t>
            </w:r>
          </w:p>
        </w:tc>
        <w:tc>
          <w:tcPr>
            <w:tcW w:w="1208" w:type="dxa"/>
            <w:tcBorders>
              <w:top w:val="single" w:sz="8" w:space="0" w:color="FFFFFF"/>
              <w:left w:val="single" w:sz="8" w:space="0" w:color="FFFFFF"/>
              <w:bottom w:val="single" w:sz="8" w:space="0" w:color="FFFFFF"/>
              <w:right w:val="single" w:sz="8" w:space="0" w:color="FFFFFF"/>
            </w:tcBorders>
            <w:shd w:val="clear" w:color="auto" w:fill="B9CDE5"/>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-1.166.268</w:t>
            </w:r>
          </w:p>
        </w:tc>
        <w:tc>
          <w:tcPr>
            <w:tcW w:w="822" w:type="dxa"/>
            <w:gridSpan w:val="2"/>
            <w:tcBorders>
              <w:top w:val="single" w:sz="8" w:space="0" w:color="FFFFFF"/>
              <w:left w:val="single" w:sz="8" w:space="0" w:color="FFFFFF"/>
              <w:bottom w:val="single" w:sz="8" w:space="0" w:color="FFFFFF"/>
              <w:right w:val="single" w:sz="8" w:space="0" w:color="FFFFFF"/>
            </w:tcBorders>
            <w:shd w:val="clear" w:color="auto" w:fill="B9CDE5"/>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-10,7%</w:t>
            </w:r>
          </w:p>
        </w:tc>
      </w:tr>
    </w:tbl>
    <w:p>
      <w:pPr>
        <w:widowControl w:val="0"/>
        <w:pBdr>
          <w:top w:val="nil"/>
          <w:left w:val="nil"/>
          <w:bottom w:val="nil"/>
          <w:right w:val="nil"/>
          <w:between w:val="nil"/>
          <w:bar w:val="nil"/>
        </w:pBdr>
        <w:jc w:val="center"/>
        <w:rPr>
          <w:rFonts w:eastAsia="Arial"/>
          <w:bCs/>
          <w:color w:val="000000"/>
          <w:u w:color="000000"/>
          <w:bdr w:val="nil"/>
          <w:lang w:val="es-ES_tradnl" w:eastAsia="es-CL"/>
        </w:rPr>
      </w:pPr>
    </w:p>
    <w:p>
      <w:pPr>
        <w:pBdr>
          <w:top w:val="nil"/>
          <w:left w:val="nil"/>
          <w:bottom w:val="nil"/>
          <w:right w:val="nil"/>
          <w:between w:val="nil"/>
          <w:bar w:val="nil"/>
        </w:pBdr>
        <w:rPr>
          <w:rFonts w:eastAsia="Arial"/>
          <w:bCs/>
          <w:color w:val="000000"/>
          <w:u w:color="000000"/>
          <w:bdr w:val="nil"/>
          <w:lang w:val="es-ES_tradnl" w:eastAsia="es-CL"/>
        </w:rPr>
      </w:pPr>
      <w:r>
        <w:rPr>
          <w:rFonts w:eastAsia="Arial Unicode MS" w:cs="Arial Unicode MS"/>
          <w:bCs/>
          <w:color w:val="000000"/>
          <w:u w:color="000000"/>
          <w:bdr w:val="nil"/>
          <w:lang w:val="es-ES_tradnl" w:eastAsia="es-CL"/>
        </w:rPr>
        <w:t>(*) Gasto de Estado de Operaciones = GASTOS-(Subt.25+30+32+34+35) + Ítem25.01+Intereses y Otros Gastos Financieros de Deuda</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Luego, explicó la variación presupuestaria de los Subtítulos en comparación con la ley vigente, del siguiente modo:</w:t>
      </w:r>
    </w:p>
    <w:p>
      <w:pPr>
        <w:pBdr>
          <w:top w:val="nil"/>
          <w:left w:val="nil"/>
          <w:bottom w:val="nil"/>
          <w:right w:val="nil"/>
          <w:between w:val="nil"/>
          <w:bar w:val="nil"/>
        </w:pBdr>
        <w:rPr>
          <w:rFonts w:eastAsia="Arial"/>
          <w:bCs/>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w:bCs/>
          <w:color w:val="000000"/>
          <w:u w:color="000000"/>
          <w:bdr w:val="nil"/>
          <w:lang w:val="es-ES_tradnl" w:eastAsia="es-CL"/>
        </w:rPr>
        <w:tab/>
      </w:r>
      <w:r>
        <w:rPr>
          <w:rFonts w:eastAsia="Arial Unicode MS" w:cs="Arial Unicode MS"/>
          <w:b w:val="0"/>
          <w:color w:val="000000"/>
          <w:u w:color="000000"/>
          <w:bdr w:val="nil"/>
          <w:lang w:val="es-ES_tradnl" w:eastAsia="es-CL"/>
        </w:rPr>
        <w:t xml:space="preserve">- </w:t>
      </w:r>
      <w:r>
        <w:rPr>
          <w:rFonts w:eastAsia="Arial Unicode MS" w:cs="Arial Unicode MS"/>
          <w:bCs/>
          <w:color w:val="000000"/>
          <w:u w:color="000000"/>
          <w:bdr w:val="nil"/>
          <w:lang w:val="es-ES_tradnl" w:eastAsia="es-CL"/>
        </w:rPr>
        <w:t xml:space="preserve">Subtítulo 21, Gasto en Personal: </w:t>
      </w:r>
      <w:r>
        <w:rPr>
          <w:rFonts w:eastAsia="Arial Unicode MS" w:cs="Arial Unicode MS"/>
          <w:b w:val="0"/>
          <w:color w:val="000000"/>
          <w:u w:color="000000"/>
          <w:bdr w:val="nil"/>
          <w:lang w:val="es-ES_tradnl" w:eastAsia="es-CL"/>
        </w:rPr>
        <w:t>sin variación. La base presupuestaria para el año 2017 considera el ajuste del 4% efectuado en el año en curso.</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 xml:space="preserve">- </w:t>
      </w:r>
      <w:r>
        <w:rPr>
          <w:rFonts w:eastAsia="Arial Unicode MS" w:cs="Arial Unicode MS"/>
          <w:bCs/>
          <w:color w:val="000000"/>
          <w:u w:color="000000"/>
          <w:bdr w:val="nil"/>
          <w:lang w:val="es-ES_tradnl" w:eastAsia="es-CL"/>
        </w:rPr>
        <w:t>Subtítulo 22, Bienes y Servicios de Consumo:</w:t>
      </w:r>
      <w:r>
        <w:rPr>
          <w:rFonts w:eastAsia="Arial Unicode MS" w:cs="Arial Unicode MS"/>
          <w:b w:val="0"/>
          <w:color w:val="000000"/>
          <w:u w:color="000000"/>
          <w:bdr w:val="nil"/>
          <w:lang w:val="es-ES_tradnl" w:eastAsia="es-CL"/>
        </w:rPr>
        <w:t xml:space="preserve"> la disminución corresponde a recursos otorgados por única vez para la ejecución de estudios y obras durante el presente año. La base presupuestaria del año 2017 incluye ajuste del 4% y otro adicional de un 3%.</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 xml:space="preserve">- </w:t>
      </w:r>
      <w:r>
        <w:rPr>
          <w:rFonts w:eastAsia="Arial Unicode MS" w:cs="Arial Unicode MS"/>
          <w:bCs/>
          <w:color w:val="000000"/>
          <w:u w:color="000000"/>
          <w:bdr w:val="nil"/>
          <w:lang w:val="es-ES_tradnl" w:eastAsia="es-CL"/>
        </w:rPr>
        <w:t xml:space="preserve">Subtítulo 24, Transferencias Corrientes: la </w:t>
      </w:r>
      <w:r>
        <w:rPr>
          <w:rFonts w:eastAsia="Arial Unicode MS" w:cs="Arial Unicode MS"/>
          <w:b w:val="0"/>
          <w:color w:val="000000"/>
          <w:u w:color="000000"/>
          <w:bdr w:val="nil"/>
          <w:lang w:val="es-ES_tradnl" w:eastAsia="es-CL"/>
        </w:rPr>
        <w:t>reducción dice relación con recursos otorgados por única vez para la Reunión de Ministros de Hacienda de la OCDE durante el año en curso. Tales ítems son calculados en dólares, al igual que las membresías, las que se mantienen constantes, por la utilización  del mismo tipo de cambio del presente año.</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 xml:space="preserve">- </w:t>
      </w:r>
      <w:r>
        <w:rPr>
          <w:rFonts w:eastAsia="Arial Unicode MS" w:cs="Arial Unicode MS"/>
          <w:bCs/>
          <w:color w:val="000000"/>
          <w:u w:color="000000"/>
          <w:bdr w:val="nil"/>
          <w:lang w:val="es-ES_tradnl" w:eastAsia="es-CL"/>
        </w:rPr>
        <w:t xml:space="preserve">Subtitulo 29, Adquisición de activos no financieros: </w:t>
      </w:r>
      <w:r>
        <w:rPr>
          <w:rFonts w:eastAsia="Arial Unicode MS" w:cs="Arial Unicode MS"/>
          <w:b w:val="0"/>
          <w:color w:val="000000"/>
          <w:u w:color="000000"/>
          <w:bdr w:val="nil"/>
          <w:lang w:val="es-ES_tradnl" w:eastAsia="es-CL"/>
        </w:rPr>
        <w:t>no presenta mayores variaciones.</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 xml:space="preserve">- </w:t>
      </w:r>
      <w:r>
        <w:rPr>
          <w:rFonts w:eastAsia="Arial Unicode MS" w:cs="Arial Unicode MS"/>
          <w:bCs/>
          <w:color w:val="000000"/>
          <w:u w:color="000000"/>
          <w:bdr w:val="nil"/>
          <w:lang w:val="es-ES_tradnl" w:eastAsia="es-CL"/>
        </w:rPr>
        <w:t xml:space="preserve">Subtitulo 31, Iniciativas de Inversión: la </w:t>
      </w:r>
      <w:r>
        <w:rPr>
          <w:rFonts w:eastAsia="Arial Unicode MS" w:cs="Arial Unicode MS"/>
          <w:b w:val="0"/>
          <w:color w:val="000000"/>
          <w:u w:color="000000"/>
          <w:bdr w:val="nil"/>
          <w:lang w:val="es-ES_tradnl" w:eastAsia="es-CL"/>
        </w:rPr>
        <w:t>disminución corresponde a que se ejecutará la última etapa del proyecto de conservación de los pisos 13 y 14 del Edificio de Teatinos 120, de acuerdo a programación establecida.</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Unicode MS" w:cs="Arial Unicode MS"/>
          <w:b w:val="0"/>
          <w:color w:val="000000"/>
          <w:u w:color="000000"/>
          <w:bdr w:val="nil"/>
          <w:lang w:val="es-ES_tradnl" w:eastAsia="es-CL"/>
        </w:rPr>
      </w:pPr>
      <w:r>
        <w:rPr>
          <w:rFonts w:eastAsia="Arial Unicode MS" w:cs="Arial Unicode MS"/>
          <w:b w:val="0"/>
          <w:color w:val="000000"/>
          <w:u w:color="000000"/>
          <w:bdr w:val="nil"/>
          <w:lang w:val="es-ES_tradnl" w:eastAsia="es-CL"/>
        </w:rPr>
        <w:tab/>
        <w:t xml:space="preserve">- </w:t>
      </w:r>
      <w:r>
        <w:rPr>
          <w:rFonts w:eastAsia="Arial Unicode MS" w:cs="Arial Unicode MS"/>
          <w:bCs/>
          <w:color w:val="000000"/>
          <w:u w:color="000000"/>
          <w:bdr w:val="nil"/>
          <w:lang w:val="es-ES_tradnl" w:eastAsia="es-CL"/>
        </w:rPr>
        <w:t xml:space="preserve">Subtitulo 34, Servicio a la Deuda: la </w:t>
      </w:r>
      <w:r>
        <w:rPr>
          <w:rFonts w:eastAsia="Arial Unicode MS" w:cs="Arial Unicode MS"/>
          <w:b w:val="0"/>
          <w:color w:val="000000"/>
          <w:u w:color="000000"/>
          <w:bdr w:val="nil"/>
          <w:lang w:val="es-ES_tradnl" w:eastAsia="es-CL"/>
        </w:rPr>
        <w:t>reducción responde al hecho de que durante el 2016 se pagará la última cuota del pago de la deuda externa por el crédito SIGFE 1.</w:t>
      </w:r>
    </w:p>
    <w:p>
      <w:pPr>
        <w:pBdr>
          <w:top w:val="nil"/>
          <w:left w:val="nil"/>
          <w:bottom w:val="nil"/>
          <w:right w:val="nil"/>
          <w:between w:val="nil"/>
          <w:bar w:val="nil"/>
        </w:pBdr>
        <w:rPr>
          <w:rFonts w:eastAsia="Arial Unicode MS" w:cs="Arial Unicode MS"/>
          <w:b w:val="0"/>
          <w:color w:val="000000"/>
          <w:u w:color="000000"/>
          <w:bdr w:val="nil"/>
          <w:lang w:val="es-ES_tradnl" w:eastAsia="es-CL"/>
        </w:rPr>
      </w:pPr>
    </w:p>
    <w:p>
      <w:pPr>
        <w:pBdr>
          <w:top w:val="nil"/>
          <w:left w:val="nil"/>
          <w:bottom w:val="nil"/>
          <w:right w:val="nil"/>
          <w:between w:val="nil"/>
          <w:bar w:val="nil"/>
        </w:pBdr>
        <w:rPr>
          <w:rFonts w:eastAsia="Arial Unicode MS" w:cs="Arial Unicode MS"/>
          <w:color w:val="000000"/>
          <w:u w:color="000000"/>
          <w:bdr w:val="nil"/>
          <w:lang w:val="es-ES_tradnl" w:eastAsia="es-CL"/>
        </w:rPr>
      </w:pPr>
      <w:r>
        <w:rPr>
          <w:rFonts w:eastAsia="Arial Unicode MS" w:cs="Arial Unicode MS"/>
          <w:b w:val="0"/>
          <w:color w:val="000000"/>
          <w:u w:color="000000"/>
          <w:bdr w:val="nil"/>
          <w:lang w:val="es-ES_tradnl" w:eastAsia="es-CL"/>
        </w:rPr>
        <w:tab/>
      </w:r>
      <w:r>
        <w:rPr>
          <w:rFonts w:eastAsia="Arial Unicode MS" w:cs="Arial Unicode MS"/>
          <w:b w:val="0"/>
          <w:color w:val="000000"/>
          <w:u w:color="000000"/>
          <w:bdr w:val="nil"/>
          <w:lang w:val="es-ES_tradnl" w:eastAsia="es-CL"/>
        </w:rPr>
        <w:tab/>
      </w:r>
      <w:r>
        <w:rPr>
          <w:rFonts w:eastAsia="Arial Unicode MS" w:cs="Arial Unicode MS"/>
          <w:color w:val="000000"/>
          <w:u w:color="000000"/>
          <w:bdr w:val="nil"/>
          <w:lang w:val="es-ES_tradnl" w:eastAsia="es-CL"/>
        </w:rPr>
        <w:t>Metas Estratégicas 2017</w:t>
      </w:r>
    </w:p>
    <w:p>
      <w:pPr>
        <w:pBdr>
          <w:top w:val="nil"/>
          <w:left w:val="nil"/>
          <w:bottom w:val="nil"/>
          <w:right w:val="nil"/>
          <w:between w:val="nil"/>
          <w:bar w:val="nil"/>
        </w:pBdr>
        <w:rPr>
          <w:rFonts w:eastAsia="Arial Unicode MS" w:cs="Arial Unicode MS"/>
          <w:b w:val="0"/>
          <w:color w:val="000000"/>
          <w:u w:color="000000"/>
          <w:bdr w:val="nil"/>
          <w:lang w:val="es-ES_tradnl" w:eastAsia="es-CL"/>
        </w:rPr>
      </w:pPr>
    </w:p>
    <w:p>
      <w:pPr>
        <w:pBdr>
          <w:top w:val="nil"/>
          <w:left w:val="nil"/>
          <w:bottom w:val="nil"/>
          <w:right w:val="nil"/>
          <w:between w:val="nil"/>
          <w:bar w:val="nil"/>
        </w:pBdr>
        <w:rPr>
          <w:rFonts w:eastAsia="Arial"/>
          <w:bCs/>
          <w:color w:val="000000"/>
          <w:u w:color="000000"/>
          <w:bdr w:val="nil"/>
          <w:lang w:val="es-ES_tradnl" w:eastAsia="es-CL"/>
        </w:rPr>
      </w:pPr>
      <w:r>
        <w:rPr>
          <w:rFonts w:eastAsia="Arial Unicode MS" w:cs="Arial Unicode MS"/>
          <w:b w:val="0"/>
          <w:color w:val="000000"/>
          <w:u w:color="000000"/>
          <w:bdr w:val="nil"/>
          <w:lang w:val="es-ES_tradnl" w:eastAsia="es-CL"/>
        </w:rPr>
        <w:tab/>
      </w:r>
      <w:r>
        <w:rPr>
          <w:rFonts w:eastAsia="Arial"/>
          <w:bCs/>
          <w:color w:val="000000"/>
          <w:u w:color="000000"/>
          <w:bdr w:val="nil"/>
          <w:lang w:val="es-ES_tradnl" w:eastAsia="es-CL"/>
        </w:rPr>
        <w:tab/>
      </w:r>
      <w:r>
        <w:rPr>
          <w:rFonts w:eastAsia="Arial Unicode MS" w:cs="Arial Unicode MS"/>
          <w:b w:val="0"/>
          <w:color w:val="000000"/>
          <w:u w:color="000000"/>
          <w:bdr w:val="nil"/>
          <w:lang w:val="es-ES_tradnl" w:eastAsia="es-CL"/>
        </w:rPr>
        <w:t xml:space="preserve">Por último, </w:t>
      </w:r>
      <w:r>
        <w:rPr>
          <w:rFonts w:eastAsia="Arial Unicode MS" w:cs="Arial Unicode MS"/>
          <w:bCs/>
          <w:color w:val="000000"/>
          <w:u w:color="000000"/>
          <w:bdr w:val="nil"/>
          <w:lang w:val="es-ES_tradnl" w:eastAsia="es-CL"/>
        </w:rPr>
        <w:t>el Subsecretario de Hacienda, señor Alejandro Micco</w:t>
      </w:r>
      <w:r>
        <w:rPr>
          <w:rFonts w:eastAsia="Arial Unicode MS" w:cs="Arial Unicode MS"/>
          <w:b w:val="0"/>
          <w:color w:val="000000"/>
          <w:u w:color="000000"/>
          <w:bdr w:val="nil"/>
          <w:lang w:val="es-ES_tradnl" w:eastAsia="es-CL"/>
        </w:rPr>
        <w:t>, concluyó su presentación describiendo las metas estratégicas del órgano que encabeza, las que precisó de la siguiente forma:</w:t>
      </w:r>
    </w:p>
    <w:p>
      <w:pPr>
        <w:pBdr>
          <w:top w:val="nil"/>
          <w:left w:val="nil"/>
          <w:bottom w:val="nil"/>
          <w:right w:val="nil"/>
          <w:between w:val="nil"/>
          <w:bar w:val="nil"/>
        </w:pBdr>
        <w:rPr>
          <w:rFonts w:eastAsia="Arial"/>
          <w:bCs/>
          <w:color w:val="000000"/>
          <w:u w:color="000000"/>
          <w:bdr w:val="nil"/>
          <w:lang w:val="es-ES_tradnl" w:eastAsia="es-CL"/>
        </w:rPr>
      </w:pPr>
    </w:p>
    <w:p>
      <w:pPr>
        <w:pBdr>
          <w:top w:val="nil"/>
          <w:left w:val="nil"/>
          <w:bottom w:val="nil"/>
          <w:right w:val="nil"/>
          <w:between w:val="nil"/>
          <w:bar w:val="nil"/>
        </w:pBdr>
        <w:rPr>
          <w:rFonts w:eastAsia="Arial"/>
          <w:bCs/>
          <w:color w:val="000000"/>
          <w:u w:color="000000"/>
          <w:bdr w:val="nil"/>
          <w:lang w:val="es-ES_tradnl" w:eastAsia="es-CL"/>
        </w:rPr>
      </w:pPr>
      <w:r>
        <w:rPr>
          <w:rFonts w:eastAsia="Arial"/>
          <w:bCs/>
          <w:color w:val="000000"/>
          <w:u w:color="000000"/>
          <w:bdr w:val="nil"/>
          <w:lang w:val="es-ES_tradnl" w:eastAsia="es-CL"/>
        </w:rPr>
        <w:tab/>
      </w:r>
      <w:r>
        <w:rPr>
          <w:rFonts w:eastAsia="Arial Unicode MS" w:cs="Arial Unicode MS"/>
          <w:b w:val="0"/>
          <w:color w:val="000000"/>
          <w:u w:color="000000"/>
          <w:bdr w:val="nil"/>
          <w:lang w:val="es-ES_tradnl" w:eastAsia="es-CL"/>
        </w:rPr>
        <w:t xml:space="preserve">- </w:t>
      </w:r>
      <w:r>
        <w:rPr>
          <w:rFonts w:eastAsia="Arial Unicode MS" w:cs="Arial Unicode MS"/>
          <w:bCs/>
          <w:color w:val="000000"/>
          <w:u w:color="000000"/>
          <w:bdr w:val="nil"/>
          <w:lang w:val="es-ES_tradnl" w:eastAsia="es-CL"/>
        </w:rPr>
        <w:t xml:space="preserve">Apoyo en la coordinación y gestión </w:t>
      </w:r>
      <w:r>
        <w:rPr>
          <w:rFonts w:eastAsia="Arial Unicode MS" w:cs="Arial Unicode MS"/>
          <w:b w:val="0"/>
          <w:color w:val="000000"/>
          <w:u w:color="000000"/>
          <w:bdr w:val="nil"/>
          <w:lang w:val="es-ES_tradnl" w:eastAsia="es-CL"/>
        </w:rPr>
        <w:t>de la</w:t>
      </w:r>
      <w:r>
        <w:rPr>
          <w:rFonts w:eastAsia="Arial Unicode MS" w:cs="Arial Unicode MS"/>
          <w:bCs/>
          <w:color w:val="000000"/>
          <w:u w:color="000000"/>
          <w:bdr w:val="nil"/>
          <w:lang w:val="es-ES_tradnl" w:eastAsia="es-CL"/>
        </w:rPr>
        <w:t xml:space="preserve"> </w:t>
      </w:r>
      <w:r>
        <w:rPr>
          <w:rFonts w:eastAsia="Arial Unicode MS" w:cs="Arial Unicode MS"/>
          <w:b w:val="0"/>
          <w:color w:val="000000"/>
          <w:u w:color="000000"/>
          <w:bdr w:val="nil"/>
          <w:lang w:val="es-ES_tradnl" w:eastAsia="es-CL"/>
        </w:rPr>
        <w:t>Reforma Tributaria en el Servicio de Impuestos Internos, en el Servicio de Tesorerías y en el Servicio Nacional de Aduanas.</w:t>
      </w:r>
    </w:p>
    <w:p>
      <w:pPr>
        <w:pBdr>
          <w:top w:val="nil"/>
          <w:left w:val="nil"/>
          <w:bottom w:val="nil"/>
          <w:right w:val="nil"/>
          <w:between w:val="nil"/>
          <w:bar w:val="nil"/>
        </w:pBdr>
        <w:rPr>
          <w:rFonts w:eastAsia="Arial"/>
          <w:bCs/>
          <w:color w:val="000000"/>
          <w:u w:color="000000"/>
          <w:bdr w:val="nil"/>
          <w:lang w:val="es-ES_tradnl" w:eastAsia="es-CL"/>
        </w:rPr>
      </w:pPr>
    </w:p>
    <w:p>
      <w:pPr>
        <w:pBdr>
          <w:top w:val="nil"/>
          <w:left w:val="nil"/>
          <w:bottom w:val="nil"/>
          <w:right w:val="nil"/>
          <w:between w:val="nil"/>
          <w:bar w:val="nil"/>
        </w:pBdr>
        <w:rPr>
          <w:rFonts w:eastAsia="Arial"/>
          <w:bCs/>
          <w:color w:val="000000"/>
          <w:u w:color="000000"/>
          <w:bdr w:val="nil"/>
          <w:lang w:val="es-ES_tradnl" w:eastAsia="es-CL"/>
        </w:rPr>
      </w:pPr>
      <w:r>
        <w:rPr>
          <w:rFonts w:eastAsia="Arial"/>
          <w:bCs/>
          <w:color w:val="000000"/>
          <w:u w:color="000000"/>
          <w:bdr w:val="nil"/>
          <w:lang w:val="es-ES_tradnl" w:eastAsia="es-CL"/>
        </w:rPr>
        <w:tab/>
      </w:r>
      <w:r>
        <w:rPr>
          <w:rFonts w:eastAsia="Arial Unicode MS" w:cs="Arial Unicode MS"/>
          <w:b w:val="0"/>
          <w:color w:val="000000"/>
          <w:u w:color="000000"/>
          <w:bdr w:val="nil"/>
          <w:lang w:val="es-ES_tradnl" w:eastAsia="es-CL"/>
        </w:rPr>
        <w:t xml:space="preserve">- </w:t>
      </w:r>
      <w:r>
        <w:rPr>
          <w:rFonts w:eastAsia="Arial Unicode MS" w:cs="Arial Unicode MS"/>
          <w:bCs/>
          <w:color w:val="000000"/>
          <w:u w:color="000000"/>
          <w:bdr w:val="nil"/>
          <w:lang w:val="es-ES_tradnl" w:eastAsia="es-CL"/>
        </w:rPr>
        <w:t>Gestión de la agenda legislativa en el Congreso Nacional y en las medidas reglamentarias de política económica y social</w:t>
      </w:r>
      <w:r>
        <w:rPr>
          <w:rFonts w:eastAsia="Arial Unicode MS" w:cs="Arial Unicode MS"/>
          <w:b w:val="0"/>
          <w:color w:val="000000"/>
          <w:u w:color="000000"/>
          <w:bdr w:val="nil"/>
          <w:lang w:val="es-ES_tradnl" w:eastAsia="es-CL"/>
        </w:rPr>
        <w:t>, a fin de garantizar el crecimiento sustentable y equitativo, asociado a prioridades del Ministerio de Hacienda y del Programa de Gobierno.</w:t>
      </w:r>
    </w:p>
    <w:p>
      <w:pPr>
        <w:pBdr>
          <w:top w:val="nil"/>
          <w:left w:val="nil"/>
          <w:bottom w:val="nil"/>
          <w:right w:val="nil"/>
          <w:between w:val="nil"/>
          <w:bar w:val="nil"/>
        </w:pBdr>
        <w:rPr>
          <w:rFonts w:eastAsia="Arial"/>
          <w:bCs/>
          <w:color w:val="000000"/>
          <w:u w:color="000000"/>
          <w:bdr w:val="nil"/>
          <w:lang w:val="es-ES_tradnl" w:eastAsia="es-CL"/>
        </w:rPr>
      </w:pPr>
    </w:p>
    <w:p>
      <w:pPr>
        <w:pBdr>
          <w:top w:val="nil"/>
          <w:left w:val="nil"/>
          <w:bottom w:val="nil"/>
          <w:right w:val="nil"/>
          <w:between w:val="nil"/>
          <w:bar w:val="nil"/>
        </w:pBdr>
        <w:rPr>
          <w:rFonts w:eastAsia="Arial"/>
          <w:bCs/>
          <w:color w:val="000000"/>
          <w:u w:color="000000"/>
          <w:bdr w:val="nil"/>
          <w:lang w:val="es-ES_tradnl" w:eastAsia="es-CL"/>
        </w:rPr>
      </w:pPr>
      <w:r>
        <w:rPr>
          <w:rFonts w:eastAsia="Arial"/>
          <w:bCs/>
          <w:color w:val="000000"/>
          <w:u w:color="000000"/>
          <w:bdr w:val="nil"/>
          <w:lang w:val="es-ES_tradnl" w:eastAsia="es-CL"/>
        </w:rPr>
        <w:tab/>
      </w:r>
      <w:r>
        <w:rPr>
          <w:rFonts w:eastAsia="Arial Unicode MS" w:cs="Arial Unicode MS"/>
          <w:b w:val="0"/>
          <w:color w:val="000000"/>
          <w:u w:color="000000"/>
          <w:bdr w:val="nil"/>
          <w:lang w:val="es-ES_tradnl" w:eastAsia="es-CL"/>
        </w:rPr>
        <w:t xml:space="preserve">- </w:t>
      </w:r>
      <w:r>
        <w:rPr>
          <w:rFonts w:eastAsia="Arial Unicode MS" w:cs="Arial Unicode MS"/>
          <w:bCs/>
          <w:color w:val="000000"/>
          <w:u w:color="000000"/>
          <w:bdr w:val="nil"/>
          <w:lang w:val="es-ES_tradnl" w:eastAsia="es-CL"/>
        </w:rPr>
        <w:t xml:space="preserve">Fortalecimiento y consolidación de la coordinación de los Servicios del sector Hacienda, </w:t>
      </w:r>
      <w:r>
        <w:rPr>
          <w:rFonts w:eastAsia="Arial Unicode MS" w:cs="Arial Unicode MS"/>
          <w:b w:val="0"/>
          <w:color w:val="000000"/>
          <w:u w:color="000000"/>
          <w:bdr w:val="nil"/>
          <w:lang w:val="es-ES_tradnl" w:eastAsia="es-CL"/>
        </w:rPr>
        <w:t>para el cumplimiento de la misión y objetivos ministeriales, de los instructivos presidenciales y de los compromisos programáticos (mesas técnicas de trabajo transversal, RRHH, compras, comunicaciones, TI, gestión y productividad, y austeridad en el gasto).</w:t>
      </w:r>
    </w:p>
    <w:p>
      <w:pPr>
        <w:pBdr>
          <w:top w:val="nil"/>
          <w:left w:val="nil"/>
          <w:bottom w:val="nil"/>
          <w:right w:val="nil"/>
          <w:between w:val="nil"/>
          <w:bar w:val="nil"/>
        </w:pBdr>
        <w:rPr>
          <w:rFonts w:eastAsia="Arial"/>
          <w:bCs/>
          <w:color w:val="000000"/>
          <w:u w:color="000000"/>
          <w:bdr w:val="nil"/>
          <w:lang w:val="es-ES_tradnl" w:eastAsia="es-CL"/>
        </w:rPr>
      </w:pPr>
    </w:p>
    <w:p>
      <w:pPr>
        <w:pBdr>
          <w:top w:val="nil"/>
          <w:left w:val="nil"/>
          <w:bottom w:val="nil"/>
          <w:right w:val="nil"/>
          <w:between w:val="nil"/>
          <w:bar w:val="nil"/>
        </w:pBdr>
        <w:rPr>
          <w:rFonts w:eastAsia="Arial"/>
          <w:bCs/>
          <w:color w:val="000000"/>
          <w:u w:color="000000"/>
          <w:bdr w:val="nil"/>
          <w:lang w:val="es-ES_tradnl" w:eastAsia="es-CL"/>
        </w:rPr>
      </w:pPr>
      <w:r>
        <w:rPr>
          <w:rFonts w:eastAsia="Arial"/>
          <w:bCs/>
          <w:color w:val="000000"/>
          <w:u w:color="000000"/>
          <w:bdr w:val="nil"/>
          <w:lang w:val="es-ES_tradnl" w:eastAsia="es-CL"/>
        </w:rPr>
        <w:tab/>
      </w:r>
      <w:r>
        <w:rPr>
          <w:rFonts w:eastAsia="Arial Unicode MS" w:cs="Arial Unicode MS"/>
          <w:b w:val="0"/>
          <w:color w:val="000000"/>
          <w:u w:color="000000"/>
          <w:bdr w:val="nil"/>
          <w:lang w:val="es-ES_tradnl" w:eastAsia="es-CL"/>
        </w:rPr>
        <w:t xml:space="preserve">- </w:t>
      </w:r>
      <w:r>
        <w:rPr>
          <w:rFonts w:eastAsia="Arial Unicode MS" w:cs="Arial Unicode MS"/>
          <w:bCs/>
          <w:color w:val="000000"/>
          <w:u w:color="000000"/>
          <w:bdr w:val="nil"/>
          <w:lang w:val="es-ES_tradnl" w:eastAsia="es-CL"/>
        </w:rPr>
        <w:t>Gestión de la Agenda Internacional</w:t>
      </w:r>
      <w:r>
        <w:rPr>
          <w:rFonts w:eastAsia="Arial Unicode MS" w:cs="Arial Unicode MS"/>
          <w:b w:val="0"/>
          <w:color w:val="000000"/>
          <w:u w:color="000000"/>
          <w:bdr w:val="nil"/>
          <w:lang w:val="es-ES_tradnl" w:eastAsia="es-CL"/>
        </w:rPr>
        <w:t>, en la</w:t>
      </w:r>
      <w:r>
        <w:rPr>
          <w:rFonts w:eastAsia="Arial Unicode MS" w:cs="Arial Unicode MS"/>
          <w:bCs/>
          <w:color w:val="000000"/>
          <w:u w:color="000000"/>
          <w:bdr w:val="nil"/>
          <w:lang w:val="es-ES_tradnl" w:eastAsia="es-CL"/>
        </w:rPr>
        <w:t xml:space="preserve"> </w:t>
      </w:r>
      <w:r>
        <w:rPr>
          <w:rFonts w:eastAsia="Arial Unicode MS" w:cs="Arial Unicode MS"/>
          <w:b w:val="0"/>
          <w:color w:val="000000"/>
          <w:u w:color="000000"/>
          <w:bdr w:val="nil"/>
          <w:lang w:val="es-ES_tradnl" w:eastAsia="es-CL"/>
        </w:rPr>
        <w:t xml:space="preserve">OCDE, en el Grupo de acción financiera contra el lavado de activos de Sudamérica, en el Foro Internacional de Fondos Soberanos, en la Red Internacional de Educación Financiera y Punto Focal, en los Fondos Verdes, entre otros. </w:t>
      </w:r>
    </w:p>
    <w:p>
      <w:pPr>
        <w:pBdr>
          <w:top w:val="nil"/>
          <w:left w:val="nil"/>
          <w:bottom w:val="nil"/>
          <w:right w:val="nil"/>
          <w:between w:val="nil"/>
          <w:bar w:val="nil"/>
        </w:pBdr>
        <w:rPr>
          <w:rFonts w:eastAsia="Arial"/>
          <w:bCs/>
          <w:color w:val="000000"/>
          <w:u w:color="000000"/>
          <w:bdr w:val="nil"/>
          <w:lang w:val="es-ES_tradnl" w:eastAsia="es-CL"/>
        </w:rPr>
      </w:pPr>
    </w:p>
    <w:p>
      <w:pPr>
        <w:pBdr>
          <w:top w:val="nil"/>
          <w:left w:val="nil"/>
          <w:bottom w:val="nil"/>
          <w:right w:val="nil"/>
          <w:between w:val="nil"/>
          <w:bar w:val="nil"/>
        </w:pBdr>
        <w:rPr>
          <w:rFonts w:eastAsia="Arial"/>
          <w:bCs/>
          <w:color w:val="000000"/>
          <w:u w:color="000000"/>
          <w:bdr w:val="nil"/>
          <w:lang w:val="es-ES_tradnl" w:eastAsia="es-CL"/>
        </w:rPr>
      </w:pPr>
      <w:r>
        <w:rPr>
          <w:rFonts w:eastAsia="Arial"/>
          <w:bCs/>
          <w:color w:val="000000"/>
          <w:u w:color="000000"/>
          <w:bdr w:val="nil"/>
          <w:lang w:val="es-ES_tradnl" w:eastAsia="es-CL"/>
        </w:rPr>
        <w:tab/>
      </w:r>
      <w:r>
        <w:rPr>
          <w:rFonts w:eastAsia="Arial Unicode MS" w:cs="Arial Unicode MS"/>
          <w:b w:val="0"/>
          <w:color w:val="000000"/>
          <w:u w:color="000000"/>
          <w:bdr w:val="nil"/>
          <w:lang w:val="es-ES_tradnl" w:eastAsia="es-CL"/>
        </w:rPr>
        <w:t xml:space="preserve">- </w:t>
      </w:r>
      <w:r>
        <w:rPr>
          <w:rFonts w:eastAsia="Arial Unicode MS" w:cs="Arial Unicode MS"/>
          <w:bCs/>
          <w:color w:val="000000"/>
          <w:u w:color="000000"/>
          <w:bdr w:val="nil"/>
          <w:lang w:val="es-ES_tradnl" w:eastAsia="es-CL"/>
        </w:rPr>
        <w:t>Fomento Exportación de Servicios</w:t>
      </w:r>
      <w:r>
        <w:rPr>
          <w:rFonts w:eastAsia="Arial Unicode MS" w:cs="Arial Unicode MS"/>
          <w:b w:val="0"/>
          <w:color w:val="000000"/>
          <w:u w:color="000000"/>
          <w:bdr w:val="nil"/>
          <w:lang w:val="es-ES_tradnl" w:eastAsia="es-CL"/>
        </w:rPr>
        <w:t>, identificando, analizando y evaluando la implementación de medidas que fomenten la exportación de Servicios que resulten viables.</w:t>
      </w:r>
    </w:p>
    <w:p>
      <w:pPr>
        <w:pBdr>
          <w:top w:val="nil"/>
          <w:left w:val="nil"/>
          <w:bottom w:val="nil"/>
          <w:right w:val="nil"/>
          <w:between w:val="nil"/>
          <w:bar w:val="nil"/>
        </w:pBdr>
        <w:rPr>
          <w:rFonts w:eastAsia="Arial"/>
          <w:bCs/>
          <w:color w:val="000000"/>
          <w:u w:color="000000"/>
          <w:bdr w:val="nil"/>
          <w:lang w:val="es-ES_tradnl" w:eastAsia="es-CL"/>
        </w:rPr>
      </w:pPr>
    </w:p>
    <w:p>
      <w:pPr>
        <w:pBdr>
          <w:top w:val="nil"/>
          <w:left w:val="nil"/>
          <w:bottom w:val="nil"/>
          <w:right w:val="nil"/>
          <w:between w:val="nil"/>
          <w:bar w:val="nil"/>
        </w:pBdr>
        <w:rPr>
          <w:rFonts w:eastAsia="Arial"/>
          <w:bCs/>
          <w:color w:val="000000"/>
          <w:u w:color="000000"/>
          <w:bdr w:val="nil"/>
          <w:lang w:val="es-ES_tradnl" w:eastAsia="es-CL"/>
        </w:rPr>
      </w:pPr>
      <w:r>
        <w:rPr>
          <w:rFonts w:eastAsia="Arial Unicode MS" w:cs="Arial Unicode MS"/>
          <w:bCs/>
          <w:color w:val="000000"/>
          <w:u w:color="000000"/>
          <w:bdr w:val="nil"/>
          <w:lang w:val="es-ES_tradnl" w:eastAsia="es-CL"/>
        </w:rPr>
        <w:tab/>
        <w:t>- Despliegue de 22 Medidas de Productividad</w:t>
      </w:r>
      <w:r>
        <w:rPr>
          <w:rFonts w:eastAsia="Arial Unicode MS" w:cs="Arial Unicode MS"/>
          <w:b w:val="0"/>
          <w:color w:val="000000"/>
          <w:u w:color="000000"/>
          <w:bdr w:val="nil"/>
          <w:lang w:val="es-ES_tradnl" w:eastAsia="es-CL"/>
        </w:rPr>
        <w:t>, a fin de producir más con los recursos que se cuenta y mejorar la calidad de vida de los ciudadanos a través de un mayor acceso a bienes y servicios de calidad.</w:t>
      </w:r>
    </w:p>
    <w:p>
      <w:pPr>
        <w:pBdr>
          <w:top w:val="nil"/>
          <w:left w:val="nil"/>
          <w:bottom w:val="nil"/>
          <w:right w:val="nil"/>
          <w:between w:val="nil"/>
          <w:bar w:val="nil"/>
        </w:pBdr>
        <w:rPr>
          <w:rFonts w:eastAsia="Arial"/>
          <w:b w:val="0"/>
          <w:color w:val="000000"/>
          <w:u w:color="000000"/>
          <w:bdr w:val="nil"/>
          <w:lang w:val="es-ES_tradnl" w:eastAsia="es-CL"/>
        </w:rPr>
      </w:pPr>
    </w:p>
    <w:p>
      <w:pPr>
        <w:rPr>
          <w:lang w:val="es-ES_tradnl"/>
        </w:rPr>
      </w:pPr>
      <w:r>
        <w:rPr>
          <w:b w:val="0"/>
          <w:lang w:val="es-ES_tradnl"/>
        </w:rPr>
        <w:tab/>
      </w:r>
      <w:r>
        <w:rPr>
          <w:lang w:val="es-ES_tradnl"/>
        </w:rPr>
        <w:t>Sometido a votación el Capítulo 01, Programa 01, fue aprobado sin enmiendas por la unanimidad de los miembros presentes de la Subcomisión, Honorable Diputado señor De Mussy (Presidente), Honorables Senadores señores Coloma y Tuma, y Honorables Diputados señores Schilling y Silva.</w:t>
      </w:r>
    </w:p>
    <w:p/>
    <w:p/>
    <w:p>
      <w:pPr>
        <w:jc w:val="center"/>
      </w:pPr>
      <w:r>
        <w:t>Programa 06</w:t>
      </w:r>
    </w:p>
    <w:p>
      <w:pPr>
        <w:jc w:val="center"/>
      </w:pPr>
      <w:r>
        <w:t>Unidad Administradora de los Tribunales Tributarios y Aduaneros</w:t>
      </w:r>
    </w:p>
    <w:p>
      <w:pPr>
        <w:jc w:val="center"/>
      </w:pPr>
    </w:p>
    <w:p>
      <w:r>
        <w:tab/>
        <w:t>Considera ingresos y gastos por $ 8.747.790 miles.</w:t>
      </w:r>
    </w:p>
    <w:p/>
    <w:p>
      <w:pPr>
        <w:rPr>
          <w:b w:val="0"/>
        </w:rPr>
      </w:pPr>
      <w:r>
        <w:rPr>
          <w:b w:val="0"/>
        </w:rPr>
        <w:tab/>
        <w:t>El monto de recursos asignados a esta Unidad por la Ley de Presupuestos vigente alcanza a $ 8.753.398 miles, lo que implica una variación de -0,1%.</w:t>
      </w:r>
    </w:p>
    <w:p>
      <w:pPr>
        <w:rPr>
          <w:b w:val="0"/>
        </w:rPr>
      </w:pPr>
    </w:p>
    <w:p>
      <w:pPr>
        <w:rPr>
          <w:rFonts w:eastAsia="Arial"/>
          <w:b w:val="0"/>
          <w:color w:val="000000"/>
          <w:u w:color="000000"/>
          <w:bdr w:val="nil"/>
          <w:lang w:val="es-ES_tradnl" w:eastAsia="es-CL"/>
        </w:rPr>
      </w:pPr>
      <w:r>
        <w:rPr>
          <w:b w:val="0"/>
        </w:rPr>
        <w:tab/>
      </w:r>
      <w:r>
        <w:rPr>
          <w:rFonts w:eastAsia="Arial Unicode MS" w:cs="Arial Unicode MS"/>
          <w:bCs/>
          <w:color w:val="000000"/>
          <w:u w:color="000000"/>
          <w:bdr w:val="nil"/>
          <w:lang w:val="es-ES_tradnl" w:eastAsia="es-CL"/>
        </w:rPr>
        <w:t>El Director de la Unidad Administradora de los Tribunales Tributarios y Aduaneros, señor Sebastián Rivas</w:t>
      </w:r>
      <w:r>
        <w:rPr>
          <w:rFonts w:eastAsia="Arial Unicode MS" w:cs="Arial Unicode MS"/>
          <w:b w:val="0"/>
          <w:color w:val="000000"/>
          <w:u w:color="000000"/>
          <w:bdr w:val="nil"/>
          <w:lang w:val="es-ES_tradnl" w:eastAsia="es-CL"/>
        </w:rPr>
        <w:t>, comenzó su exposición describiendo los lineamientos estratégicos del organismo que encabeza.</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 Asegurar condiciones de acceso de los contribuyentes a la Justicia Tributaria y Aduanera.</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 Optimizar la provisión de bienes y servicios que se entregan a tales órganos jurisdiccionales.</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 Potenciar las competencias de los funcionarios del sistema de dichos tribunales.</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Posteriormente, efectuó una descripción de la variación presupuestaria del organismo en relación con la ley vigente, a través del siguiente recuadro.</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jc w:val="center"/>
        <w:rPr>
          <w:rFonts w:eastAsia="Arial"/>
          <w:bCs/>
          <w:color w:val="000000"/>
          <w:u w:color="000000"/>
          <w:bdr w:val="nil"/>
          <w:lang w:val="es-ES_tradnl" w:eastAsia="es-CL"/>
        </w:rPr>
      </w:pPr>
      <w:r>
        <w:rPr>
          <w:rFonts w:eastAsia="Arial"/>
          <w:bCs/>
          <w:color w:val="000000"/>
          <w:u w:color="000000"/>
          <w:bdr w:val="nil"/>
          <w:lang w:val="es-ES_tradnl" w:eastAsia="es-CL"/>
        </w:rPr>
        <w:t>Proyecto Presupuesto 2017 – Cifras comparadas 2016/2017</w:t>
      </w:r>
    </w:p>
    <w:tbl>
      <w:tblPr>
        <w:tblW w:w="8621" w:type="dxa"/>
        <w:jc w:val="center"/>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4016"/>
        <w:gridCol w:w="1248"/>
        <w:gridCol w:w="1193"/>
        <w:gridCol w:w="180"/>
        <w:gridCol w:w="969"/>
        <w:gridCol w:w="1015"/>
      </w:tblGrid>
      <w:tr>
        <w:tblPrEx>
          <w:tblCellMar>
            <w:top w:w="0" w:type="dxa"/>
            <w:left w:w="0" w:type="dxa"/>
            <w:bottom w:w="0" w:type="dxa"/>
            <w:right w:w="0" w:type="dxa"/>
          </w:tblCellMar>
        </w:tblPrEx>
        <w:trPr>
          <w:trHeight w:val="431"/>
          <w:jc w:val="center"/>
        </w:trPr>
        <w:tc>
          <w:tcPr>
            <w:tcW w:w="4016" w:type="dxa"/>
            <w:tcBorders>
              <w:top w:val="nil"/>
              <w:left w:val="nil"/>
              <w:bottom w:val="nil"/>
              <w:right w:val="single" w:sz="8" w:space="0" w:color="FFFFFF"/>
            </w:tcBorders>
            <w:shd w:val="clear" w:color="auto" w:fill="B9CDE5"/>
            <w:tcMar>
              <w:top w:w="80" w:type="dxa"/>
              <w:left w:w="80" w:type="dxa"/>
              <w:bottom w:w="80" w:type="dxa"/>
              <w:right w:w="80" w:type="dxa"/>
            </w:tcMar>
            <w:vAlign w:val="center"/>
          </w:tcPr>
          <w:p>
            <w:pPr>
              <w:pBdr>
                <w:top w:val="nil"/>
                <w:left w:val="nil"/>
                <w:bottom w:val="nil"/>
                <w:right w:val="nil"/>
                <w:between w:val="nil"/>
                <w:bar w:val="nil"/>
              </w:pBdr>
              <w:tabs>
                <w:tab w:val="clear" w:pos="2835"/>
              </w:tabs>
              <w:jc w:val="left"/>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CAPÍTULO 01 - Programa 06</w:t>
            </w:r>
          </w:p>
        </w:tc>
        <w:tc>
          <w:tcPr>
            <w:tcW w:w="2441" w:type="dxa"/>
            <w:gridSpan w:val="2"/>
            <w:tcBorders>
              <w:top w:val="single" w:sz="8" w:space="0" w:color="FFFFFF"/>
              <w:left w:val="single" w:sz="8" w:space="0" w:color="FFFFFF"/>
              <w:bottom w:val="single" w:sz="8" w:space="0" w:color="FFFFFF"/>
              <w:right w:val="single" w:sz="8" w:space="0" w:color="FFFFFF"/>
            </w:tcBorders>
            <w:shd w:val="clear" w:color="auto" w:fill="B9CDE5"/>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Ley de Presupuesto</w:t>
            </w:r>
          </w:p>
        </w:tc>
        <w:tc>
          <w:tcPr>
            <w:tcW w:w="180"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 </w:t>
            </w:r>
          </w:p>
        </w:tc>
        <w:tc>
          <w:tcPr>
            <w:tcW w:w="1984" w:type="dxa"/>
            <w:gridSpan w:val="2"/>
            <w:tcBorders>
              <w:top w:val="single" w:sz="8" w:space="0" w:color="FFFFFF"/>
              <w:left w:val="single" w:sz="8" w:space="0" w:color="FFFFFF"/>
              <w:bottom w:val="single" w:sz="8" w:space="0" w:color="FFFFFF"/>
              <w:right w:val="single" w:sz="8" w:space="0" w:color="FFFFFF"/>
            </w:tcBorders>
            <w:shd w:val="clear" w:color="auto" w:fill="B9CDE5"/>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Variación</w:t>
            </w:r>
          </w:p>
        </w:tc>
      </w:tr>
      <w:tr>
        <w:tblPrEx>
          <w:tblCellMar>
            <w:top w:w="0" w:type="dxa"/>
            <w:left w:w="0" w:type="dxa"/>
            <w:bottom w:w="0" w:type="dxa"/>
            <w:right w:w="0" w:type="dxa"/>
          </w:tblCellMar>
        </w:tblPrEx>
        <w:trPr>
          <w:trHeight w:val="500"/>
          <w:jc w:val="center"/>
        </w:trPr>
        <w:tc>
          <w:tcPr>
            <w:tcW w:w="4016" w:type="dxa"/>
            <w:vMerge w:val="restart"/>
            <w:tcBorders>
              <w:top w:val="nil"/>
              <w:left w:val="nil"/>
              <w:bottom w:val="single" w:sz="8" w:space="0" w:color="FFFFFF"/>
              <w:right w:val="single" w:sz="8" w:space="0" w:color="FFFFFF"/>
            </w:tcBorders>
            <w:shd w:val="clear" w:color="auto" w:fill="B9CDE5"/>
            <w:tcMar>
              <w:top w:w="80" w:type="dxa"/>
              <w:left w:w="80" w:type="dxa"/>
              <w:bottom w:w="80" w:type="dxa"/>
              <w:right w:w="80" w:type="dxa"/>
            </w:tcMar>
            <w:vAlign w:val="center"/>
          </w:tcPr>
          <w:p>
            <w:pPr>
              <w:pBdr>
                <w:top w:val="nil"/>
                <w:left w:val="nil"/>
                <w:bottom w:val="nil"/>
                <w:right w:val="nil"/>
                <w:between w:val="nil"/>
                <w:bar w:val="nil"/>
              </w:pBdr>
              <w:tabs>
                <w:tab w:val="clear" w:pos="2835"/>
              </w:tabs>
              <w:jc w:val="left"/>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Unidad Administradora de los Tribunales Tributarios y Aduaneros</w:t>
            </w:r>
          </w:p>
        </w:tc>
        <w:tc>
          <w:tcPr>
            <w:tcW w:w="1248" w:type="dxa"/>
            <w:tcBorders>
              <w:top w:val="single" w:sz="8" w:space="0" w:color="FFFFFF"/>
              <w:left w:val="single" w:sz="8" w:space="0" w:color="FFFFFF"/>
              <w:bottom w:val="nil"/>
              <w:right w:val="single" w:sz="8" w:space="0" w:color="FFFFFF"/>
            </w:tcBorders>
            <w:shd w:val="clear" w:color="auto" w:fill="B9CDE5"/>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Año 2016</w:t>
            </w:r>
          </w:p>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ajustada</w:t>
            </w:r>
          </w:p>
        </w:tc>
        <w:tc>
          <w:tcPr>
            <w:tcW w:w="1193" w:type="dxa"/>
            <w:tcBorders>
              <w:top w:val="single" w:sz="8" w:space="0" w:color="FFFFFF"/>
              <w:left w:val="single" w:sz="8" w:space="0" w:color="FFFFFF"/>
              <w:bottom w:val="nil"/>
              <w:right w:val="single" w:sz="8" w:space="0" w:color="FFFFFF"/>
            </w:tcBorders>
            <w:shd w:val="clear" w:color="auto" w:fill="B9CDE5"/>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Año 2017</w:t>
            </w:r>
          </w:p>
        </w:tc>
        <w:tc>
          <w:tcPr>
            <w:tcW w:w="180"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pPr>
              <w:pBdr>
                <w:top w:val="nil"/>
                <w:left w:val="nil"/>
                <w:bottom w:val="nil"/>
                <w:right w:val="nil"/>
                <w:between w:val="nil"/>
                <w:bar w:val="nil"/>
              </w:pBdr>
              <w:tabs>
                <w:tab w:val="clear" w:pos="2835"/>
              </w:tabs>
              <w:jc w:val="left"/>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 </w:t>
            </w:r>
          </w:p>
        </w:tc>
        <w:tc>
          <w:tcPr>
            <w:tcW w:w="969" w:type="dxa"/>
            <w:vMerge w:val="restart"/>
            <w:tcBorders>
              <w:top w:val="single" w:sz="8" w:space="0" w:color="FFFFFF"/>
              <w:left w:val="single" w:sz="8" w:space="0" w:color="FFFFFF"/>
              <w:bottom w:val="single" w:sz="8" w:space="0" w:color="FFFFFF"/>
              <w:right w:val="single" w:sz="8" w:space="0" w:color="FFFFFF"/>
            </w:tcBorders>
            <w:shd w:val="clear" w:color="auto" w:fill="B9CDE5"/>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M$</w:t>
            </w:r>
          </w:p>
        </w:tc>
        <w:tc>
          <w:tcPr>
            <w:tcW w:w="1015" w:type="dxa"/>
            <w:vMerge w:val="restart"/>
            <w:tcBorders>
              <w:top w:val="single" w:sz="8" w:space="0" w:color="FFFFFF"/>
              <w:left w:val="single" w:sz="8" w:space="0" w:color="FFFFFF"/>
              <w:bottom w:val="single" w:sz="8" w:space="0" w:color="FFFFFF"/>
              <w:right w:val="single" w:sz="8" w:space="0" w:color="FFFFFF"/>
            </w:tcBorders>
            <w:shd w:val="clear" w:color="auto" w:fill="B9CDE5"/>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w:t>
            </w:r>
          </w:p>
        </w:tc>
      </w:tr>
      <w:tr>
        <w:tblPrEx>
          <w:tblCellMar>
            <w:top w:w="0" w:type="dxa"/>
            <w:left w:w="0" w:type="dxa"/>
            <w:bottom w:w="0" w:type="dxa"/>
            <w:right w:w="0" w:type="dxa"/>
          </w:tblCellMar>
        </w:tblPrEx>
        <w:trPr>
          <w:trHeight w:val="315"/>
          <w:jc w:val="center"/>
        </w:trPr>
        <w:tc>
          <w:tcPr>
            <w:tcW w:w="4016" w:type="dxa"/>
            <w:vMerge/>
            <w:tcBorders>
              <w:top w:val="nil"/>
              <w:left w:val="nil"/>
              <w:bottom w:val="single" w:sz="8" w:space="0" w:color="FFFFFF"/>
              <w:right w:val="single" w:sz="8" w:space="0" w:color="FFFFFF"/>
            </w:tcBorders>
            <w:shd w:val="clear" w:color="auto" w:fill="B9CDE5"/>
          </w:tcPr>
          <w:p>
            <w:pPr>
              <w:pBdr>
                <w:top w:val="nil"/>
                <w:left w:val="nil"/>
                <w:bottom w:val="nil"/>
                <w:right w:val="nil"/>
                <w:between w:val="nil"/>
                <w:bar w:val="nil"/>
              </w:pBdr>
              <w:rPr>
                <w:rFonts w:eastAsia="Arial"/>
                <w:b w:val="0"/>
                <w:color w:val="000000"/>
                <w:sz w:val="18"/>
                <w:szCs w:val="18"/>
                <w:u w:color="000000"/>
                <w:bdr w:val="nil"/>
                <w:lang w:val="es-ES_tradnl" w:eastAsia="es-CL"/>
              </w:rPr>
            </w:pPr>
          </w:p>
        </w:tc>
        <w:tc>
          <w:tcPr>
            <w:tcW w:w="1248" w:type="dxa"/>
            <w:tcBorders>
              <w:top w:val="nil"/>
              <w:left w:val="single" w:sz="8" w:space="0" w:color="FFFFFF"/>
              <w:bottom w:val="single" w:sz="8" w:space="0" w:color="FFFFFF"/>
              <w:right w:val="single" w:sz="8" w:space="0" w:color="FFFFFF"/>
            </w:tcBorders>
            <w:shd w:val="clear" w:color="auto" w:fill="B9CDE5"/>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(M$ 2017)</w:t>
            </w:r>
          </w:p>
        </w:tc>
        <w:tc>
          <w:tcPr>
            <w:tcW w:w="1193" w:type="dxa"/>
            <w:tcBorders>
              <w:top w:val="nil"/>
              <w:left w:val="single" w:sz="8" w:space="0" w:color="FFFFFF"/>
              <w:bottom w:val="single" w:sz="8" w:space="0" w:color="FFFFFF"/>
              <w:right w:val="single" w:sz="8" w:space="0" w:color="FFFFFF"/>
            </w:tcBorders>
            <w:shd w:val="clear" w:color="auto" w:fill="B9CDE5"/>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(M$ 2017)</w:t>
            </w:r>
          </w:p>
        </w:tc>
        <w:tc>
          <w:tcPr>
            <w:tcW w:w="180"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pPr>
              <w:pBdr>
                <w:top w:val="nil"/>
                <w:left w:val="nil"/>
                <w:bottom w:val="nil"/>
                <w:right w:val="nil"/>
                <w:between w:val="nil"/>
                <w:bar w:val="nil"/>
              </w:pBdr>
              <w:tabs>
                <w:tab w:val="clear" w:pos="2835"/>
              </w:tabs>
              <w:jc w:val="left"/>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 </w:t>
            </w:r>
          </w:p>
        </w:tc>
        <w:tc>
          <w:tcPr>
            <w:tcW w:w="969" w:type="dxa"/>
            <w:vMerge/>
            <w:tcBorders>
              <w:top w:val="single" w:sz="8" w:space="0" w:color="FFFFFF"/>
              <w:left w:val="single" w:sz="8" w:space="0" w:color="FFFFFF"/>
              <w:bottom w:val="single" w:sz="8" w:space="0" w:color="FFFFFF"/>
              <w:right w:val="single" w:sz="8" w:space="0" w:color="FFFFFF"/>
            </w:tcBorders>
            <w:shd w:val="clear" w:color="auto" w:fill="B9CDE5"/>
          </w:tcPr>
          <w:p>
            <w:pPr>
              <w:pBdr>
                <w:top w:val="nil"/>
                <w:left w:val="nil"/>
                <w:bottom w:val="nil"/>
                <w:right w:val="nil"/>
                <w:between w:val="nil"/>
                <w:bar w:val="nil"/>
              </w:pBdr>
              <w:rPr>
                <w:rFonts w:eastAsia="Arial"/>
                <w:b w:val="0"/>
                <w:color w:val="000000"/>
                <w:sz w:val="18"/>
                <w:szCs w:val="18"/>
                <w:u w:color="000000"/>
                <w:bdr w:val="nil"/>
                <w:lang w:val="es-ES_tradnl" w:eastAsia="es-CL"/>
              </w:rPr>
            </w:pPr>
          </w:p>
        </w:tc>
        <w:tc>
          <w:tcPr>
            <w:tcW w:w="1015" w:type="dxa"/>
            <w:vMerge/>
            <w:tcBorders>
              <w:top w:val="single" w:sz="8" w:space="0" w:color="FFFFFF"/>
              <w:left w:val="single" w:sz="8" w:space="0" w:color="FFFFFF"/>
              <w:bottom w:val="single" w:sz="8" w:space="0" w:color="FFFFFF"/>
              <w:right w:val="single" w:sz="8" w:space="0" w:color="FFFFFF"/>
            </w:tcBorders>
            <w:shd w:val="clear" w:color="auto" w:fill="B9CDE5"/>
          </w:tcPr>
          <w:p>
            <w:pPr>
              <w:pBdr>
                <w:top w:val="nil"/>
                <w:left w:val="nil"/>
                <w:bottom w:val="nil"/>
                <w:right w:val="nil"/>
                <w:between w:val="nil"/>
                <w:bar w:val="nil"/>
              </w:pBdr>
              <w:rPr>
                <w:rFonts w:eastAsia="Arial"/>
                <w:b w:val="0"/>
                <w:color w:val="000000"/>
                <w:sz w:val="18"/>
                <w:szCs w:val="18"/>
                <w:u w:color="000000"/>
                <w:bdr w:val="nil"/>
                <w:lang w:val="es-ES_tradnl" w:eastAsia="es-CL"/>
              </w:rPr>
            </w:pPr>
          </w:p>
        </w:tc>
      </w:tr>
      <w:tr>
        <w:tblPrEx>
          <w:tblCellMar>
            <w:top w:w="0" w:type="dxa"/>
            <w:left w:w="0" w:type="dxa"/>
            <w:bottom w:w="0" w:type="dxa"/>
            <w:right w:w="0" w:type="dxa"/>
          </w:tblCellMar>
        </w:tblPrEx>
        <w:trPr>
          <w:trHeight w:val="500"/>
          <w:jc w:val="center"/>
        </w:trPr>
        <w:tc>
          <w:tcPr>
            <w:tcW w:w="4016" w:type="dxa"/>
            <w:tcBorders>
              <w:top w:val="single" w:sz="8" w:space="0" w:color="FFFFFF"/>
              <w:left w:val="single" w:sz="8" w:space="0" w:color="FFFFFF"/>
              <w:bottom w:val="single" w:sz="8" w:space="0" w:color="FFFFFF"/>
              <w:right w:val="single" w:sz="8" w:space="0" w:color="FFFFFF"/>
            </w:tcBorders>
            <w:shd w:val="clear" w:color="auto" w:fill="C6D9F1"/>
            <w:tcMar>
              <w:top w:w="80" w:type="dxa"/>
              <w:left w:w="80" w:type="dxa"/>
              <w:bottom w:w="80" w:type="dxa"/>
              <w:right w:w="80" w:type="dxa"/>
            </w:tcMar>
            <w:vAlign w:val="center"/>
          </w:tcPr>
          <w:p>
            <w:pPr>
              <w:pBdr>
                <w:top w:val="nil"/>
                <w:left w:val="nil"/>
                <w:bottom w:val="nil"/>
                <w:right w:val="nil"/>
                <w:between w:val="nil"/>
                <w:bar w:val="nil"/>
              </w:pBdr>
              <w:tabs>
                <w:tab w:val="clear" w:pos="2835"/>
              </w:tabs>
              <w:jc w:val="left"/>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TOTAL</w:t>
            </w:r>
          </w:p>
        </w:tc>
        <w:tc>
          <w:tcPr>
            <w:tcW w:w="1248" w:type="dxa"/>
            <w:tcBorders>
              <w:top w:val="single" w:sz="8" w:space="0" w:color="FFFFFF"/>
              <w:left w:val="single" w:sz="8" w:space="0" w:color="FFFFFF"/>
              <w:bottom w:val="single" w:sz="8" w:space="0" w:color="FFFFFF"/>
              <w:right w:val="single" w:sz="8" w:space="0" w:color="FFFFFF"/>
            </w:tcBorders>
            <w:shd w:val="clear" w:color="auto" w:fill="C6D9F1"/>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8.753.398</w:t>
            </w:r>
          </w:p>
        </w:tc>
        <w:tc>
          <w:tcPr>
            <w:tcW w:w="1193" w:type="dxa"/>
            <w:tcBorders>
              <w:top w:val="single" w:sz="8" w:space="0" w:color="FFFFFF"/>
              <w:left w:val="single" w:sz="8" w:space="0" w:color="FFFFFF"/>
              <w:bottom w:val="single" w:sz="8" w:space="0" w:color="FFFFFF"/>
              <w:right w:val="single" w:sz="8" w:space="0" w:color="FFFFFF"/>
            </w:tcBorders>
            <w:shd w:val="clear" w:color="auto" w:fill="C6D9F1"/>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8.747.790</w:t>
            </w:r>
          </w:p>
        </w:tc>
        <w:tc>
          <w:tcPr>
            <w:tcW w:w="180"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 </w:t>
            </w:r>
          </w:p>
        </w:tc>
        <w:tc>
          <w:tcPr>
            <w:tcW w:w="969" w:type="dxa"/>
            <w:tcBorders>
              <w:top w:val="single" w:sz="8" w:space="0" w:color="FFFFFF"/>
              <w:left w:val="single" w:sz="8" w:space="0" w:color="FFFFFF"/>
              <w:bottom w:val="single" w:sz="8" w:space="0" w:color="FFFFFF"/>
              <w:right w:val="single" w:sz="8" w:space="0" w:color="FFFFFF"/>
            </w:tcBorders>
            <w:shd w:val="clear" w:color="auto" w:fill="C6D9F1"/>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-5.598</w:t>
            </w:r>
          </w:p>
        </w:tc>
        <w:tc>
          <w:tcPr>
            <w:tcW w:w="1015" w:type="dxa"/>
            <w:tcBorders>
              <w:top w:val="single" w:sz="8" w:space="0" w:color="FFFFFF"/>
              <w:left w:val="single" w:sz="8" w:space="0" w:color="FFFFFF"/>
              <w:bottom w:val="single" w:sz="8" w:space="0" w:color="FFFFFF"/>
              <w:right w:val="single" w:sz="8" w:space="0" w:color="FFFFFF"/>
            </w:tcBorders>
            <w:shd w:val="clear" w:color="auto" w:fill="C6D9F1"/>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-0,1%</w:t>
            </w:r>
          </w:p>
        </w:tc>
      </w:tr>
      <w:tr>
        <w:tblPrEx>
          <w:tblCellMar>
            <w:top w:w="0" w:type="dxa"/>
            <w:left w:w="0" w:type="dxa"/>
            <w:bottom w:w="0" w:type="dxa"/>
            <w:right w:w="0" w:type="dxa"/>
          </w:tblCellMar>
        </w:tblPrEx>
        <w:trPr>
          <w:trHeight w:val="279"/>
          <w:jc w:val="center"/>
        </w:trPr>
        <w:tc>
          <w:tcPr>
            <w:tcW w:w="4016"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lef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Gasto en Personal  (</w:t>
            </w:r>
            <w:r>
              <w:rPr>
                <w:bCs/>
                <w:color w:val="000000"/>
                <w:kern w:val="24"/>
                <w:sz w:val="18"/>
                <w:szCs w:val="18"/>
                <w:u w:color="000000"/>
                <w:bdr w:val="nil"/>
                <w:lang w:val="es-ES_tradnl" w:eastAsia="es-CL"/>
              </w:rPr>
              <w:t>Subtítulo 21</w:t>
            </w:r>
            <w:r>
              <w:rPr>
                <w:b w:val="0"/>
                <w:color w:val="000000"/>
                <w:kern w:val="24"/>
                <w:sz w:val="18"/>
                <w:szCs w:val="18"/>
                <w:u w:color="000000"/>
                <w:bdr w:val="nil"/>
                <w:lang w:val="es-ES_tradnl" w:eastAsia="es-CL"/>
              </w:rPr>
              <w:t>)</w:t>
            </w:r>
          </w:p>
        </w:tc>
        <w:tc>
          <w:tcPr>
            <w:tcW w:w="1248"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1.661.608</w:t>
            </w:r>
          </w:p>
        </w:tc>
        <w:tc>
          <w:tcPr>
            <w:tcW w:w="1193"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1.661.608</w:t>
            </w:r>
          </w:p>
        </w:tc>
        <w:tc>
          <w:tcPr>
            <w:tcW w:w="180"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 </w:t>
            </w:r>
          </w:p>
        </w:tc>
        <w:tc>
          <w:tcPr>
            <w:tcW w:w="969"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0</w:t>
            </w:r>
          </w:p>
        </w:tc>
        <w:tc>
          <w:tcPr>
            <w:tcW w:w="1015"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0,0%</w:t>
            </w:r>
          </w:p>
        </w:tc>
      </w:tr>
      <w:tr>
        <w:tblPrEx>
          <w:tblCellMar>
            <w:top w:w="0" w:type="dxa"/>
            <w:left w:w="0" w:type="dxa"/>
            <w:bottom w:w="0" w:type="dxa"/>
            <w:right w:w="0" w:type="dxa"/>
          </w:tblCellMar>
        </w:tblPrEx>
        <w:trPr>
          <w:trHeight w:val="500"/>
          <w:jc w:val="center"/>
        </w:trPr>
        <w:tc>
          <w:tcPr>
            <w:tcW w:w="4016"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lef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Bienes y Servicios de Consumo  (</w:t>
            </w:r>
            <w:r>
              <w:rPr>
                <w:bCs/>
                <w:color w:val="000000"/>
                <w:kern w:val="24"/>
                <w:sz w:val="18"/>
                <w:szCs w:val="18"/>
                <w:u w:color="000000"/>
                <w:bdr w:val="nil"/>
                <w:lang w:val="es-ES_tradnl" w:eastAsia="es-CL"/>
              </w:rPr>
              <w:t>Subtítulo 22</w:t>
            </w:r>
            <w:r>
              <w:rPr>
                <w:b w:val="0"/>
                <w:color w:val="000000"/>
                <w:kern w:val="24"/>
                <w:sz w:val="18"/>
                <w:szCs w:val="18"/>
                <w:u w:color="000000"/>
                <w:bdr w:val="nil"/>
                <w:lang w:val="es-ES_tradnl" w:eastAsia="es-CL"/>
              </w:rPr>
              <w:t>)</w:t>
            </w:r>
          </w:p>
        </w:tc>
        <w:tc>
          <w:tcPr>
            <w:tcW w:w="1248"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186.605</w:t>
            </w:r>
          </w:p>
        </w:tc>
        <w:tc>
          <w:tcPr>
            <w:tcW w:w="1193"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181.007</w:t>
            </w:r>
          </w:p>
        </w:tc>
        <w:tc>
          <w:tcPr>
            <w:tcW w:w="180"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 </w:t>
            </w:r>
          </w:p>
        </w:tc>
        <w:tc>
          <w:tcPr>
            <w:tcW w:w="969"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-5.598</w:t>
            </w:r>
          </w:p>
        </w:tc>
        <w:tc>
          <w:tcPr>
            <w:tcW w:w="1015"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-3,0%</w:t>
            </w:r>
          </w:p>
        </w:tc>
      </w:tr>
      <w:tr>
        <w:tblPrEx>
          <w:tblCellMar>
            <w:top w:w="0" w:type="dxa"/>
            <w:left w:w="0" w:type="dxa"/>
            <w:bottom w:w="0" w:type="dxa"/>
            <w:right w:w="0" w:type="dxa"/>
          </w:tblCellMar>
        </w:tblPrEx>
        <w:trPr>
          <w:trHeight w:val="600"/>
          <w:jc w:val="center"/>
        </w:trPr>
        <w:tc>
          <w:tcPr>
            <w:tcW w:w="4016"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spacing w:line="340" w:lineRule="atLeast"/>
              <w:jc w:val="lef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Transferencias Corrientes  (</w:t>
            </w:r>
            <w:r>
              <w:rPr>
                <w:bCs/>
                <w:color w:val="000000"/>
                <w:kern w:val="24"/>
                <w:sz w:val="18"/>
                <w:szCs w:val="18"/>
                <w:u w:color="000000"/>
                <w:bdr w:val="nil"/>
                <w:lang w:val="es-ES_tradnl" w:eastAsia="es-CL"/>
              </w:rPr>
              <w:t>Subtítulo 24</w:t>
            </w:r>
            <w:r>
              <w:rPr>
                <w:b w:val="0"/>
                <w:color w:val="000000"/>
                <w:kern w:val="24"/>
                <w:sz w:val="18"/>
                <w:szCs w:val="18"/>
                <w:u w:color="000000"/>
                <w:bdr w:val="nil"/>
                <w:lang w:val="es-ES_tradnl" w:eastAsia="es-CL"/>
              </w:rPr>
              <w:t>)</w:t>
            </w:r>
          </w:p>
        </w:tc>
        <w:tc>
          <w:tcPr>
            <w:tcW w:w="1248"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spacing w:line="340" w:lineRule="atLeast"/>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6.905.175</w:t>
            </w:r>
          </w:p>
        </w:tc>
        <w:tc>
          <w:tcPr>
            <w:tcW w:w="1193"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spacing w:line="340" w:lineRule="atLeast"/>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6.905.175</w:t>
            </w:r>
          </w:p>
        </w:tc>
        <w:tc>
          <w:tcPr>
            <w:tcW w:w="180"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vAlign w:val="center"/>
          </w:tcPr>
          <w:p>
            <w:pPr>
              <w:pBdr>
                <w:top w:val="nil"/>
                <w:left w:val="nil"/>
                <w:bottom w:val="nil"/>
                <w:right w:val="nil"/>
                <w:between w:val="nil"/>
                <w:bar w:val="nil"/>
              </w:pBdr>
              <w:tabs>
                <w:tab w:val="clear" w:pos="2835"/>
              </w:tabs>
              <w:spacing w:line="340" w:lineRule="atLeast"/>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 </w:t>
            </w:r>
          </w:p>
        </w:tc>
        <w:tc>
          <w:tcPr>
            <w:tcW w:w="969"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spacing w:line="340" w:lineRule="atLeast"/>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0</w:t>
            </w:r>
          </w:p>
        </w:tc>
        <w:tc>
          <w:tcPr>
            <w:tcW w:w="1015"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spacing w:line="340" w:lineRule="atLeast"/>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0,0%</w:t>
            </w:r>
          </w:p>
        </w:tc>
      </w:tr>
      <w:tr>
        <w:tblPrEx>
          <w:tblCellMar>
            <w:top w:w="0" w:type="dxa"/>
            <w:left w:w="0" w:type="dxa"/>
            <w:bottom w:w="0" w:type="dxa"/>
            <w:right w:w="0" w:type="dxa"/>
          </w:tblCellMar>
        </w:tblPrEx>
        <w:trPr>
          <w:trHeight w:val="500"/>
          <w:jc w:val="center"/>
        </w:trPr>
        <w:tc>
          <w:tcPr>
            <w:tcW w:w="4016"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lef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Servicio de la Deuda  (</w:t>
            </w:r>
            <w:r>
              <w:rPr>
                <w:bCs/>
                <w:color w:val="000000"/>
                <w:kern w:val="24"/>
                <w:sz w:val="18"/>
                <w:szCs w:val="18"/>
                <w:u w:color="000000"/>
                <w:bdr w:val="nil"/>
                <w:lang w:val="es-ES_tradnl" w:eastAsia="es-CL"/>
              </w:rPr>
              <w:t>Subtítulo 34</w:t>
            </w:r>
            <w:r>
              <w:rPr>
                <w:b w:val="0"/>
                <w:color w:val="000000"/>
                <w:kern w:val="24"/>
                <w:sz w:val="18"/>
                <w:szCs w:val="18"/>
                <w:u w:color="000000"/>
                <w:bdr w:val="nil"/>
                <w:lang w:val="es-ES_tradnl" w:eastAsia="es-CL"/>
              </w:rPr>
              <w:t>)</w:t>
            </w:r>
          </w:p>
        </w:tc>
        <w:tc>
          <w:tcPr>
            <w:tcW w:w="1248"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10</w:t>
            </w:r>
          </w:p>
        </w:tc>
        <w:tc>
          <w:tcPr>
            <w:tcW w:w="1193"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0</w:t>
            </w:r>
          </w:p>
        </w:tc>
        <w:tc>
          <w:tcPr>
            <w:tcW w:w="180"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 </w:t>
            </w:r>
          </w:p>
        </w:tc>
        <w:tc>
          <w:tcPr>
            <w:tcW w:w="969"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-10</w:t>
            </w:r>
          </w:p>
        </w:tc>
        <w:tc>
          <w:tcPr>
            <w:tcW w:w="1015"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-100,0%</w:t>
            </w:r>
          </w:p>
        </w:tc>
      </w:tr>
      <w:tr>
        <w:tblPrEx>
          <w:tblCellMar>
            <w:top w:w="0" w:type="dxa"/>
            <w:left w:w="0" w:type="dxa"/>
            <w:bottom w:w="0" w:type="dxa"/>
            <w:right w:w="0" w:type="dxa"/>
          </w:tblCellMar>
        </w:tblPrEx>
        <w:trPr>
          <w:trHeight w:val="500"/>
          <w:jc w:val="center"/>
        </w:trPr>
        <w:tc>
          <w:tcPr>
            <w:tcW w:w="4016" w:type="dxa"/>
            <w:tcBorders>
              <w:top w:val="single" w:sz="8" w:space="0" w:color="FFFFFF"/>
              <w:left w:val="single" w:sz="8" w:space="0" w:color="FFFFFF"/>
              <w:bottom w:val="single" w:sz="8" w:space="0" w:color="FFFFFF"/>
              <w:right w:val="single" w:sz="8" w:space="0" w:color="FFFFFF"/>
            </w:tcBorders>
            <w:shd w:val="clear" w:color="auto" w:fill="B9CDE5"/>
            <w:tcMar>
              <w:top w:w="80" w:type="dxa"/>
              <w:left w:w="80" w:type="dxa"/>
              <w:bottom w:w="80" w:type="dxa"/>
              <w:right w:w="80" w:type="dxa"/>
            </w:tcMar>
            <w:vAlign w:val="center"/>
          </w:tcPr>
          <w:p>
            <w:pPr>
              <w:pBdr>
                <w:top w:val="nil"/>
                <w:left w:val="nil"/>
                <w:bottom w:val="nil"/>
                <w:right w:val="nil"/>
                <w:between w:val="nil"/>
                <w:bar w:val="nil"/>
              </w:pBdr>
              <w:tabs>
                <w:tab w:val="clear" w:pos="2835"/>
              </w:tabs>
              <w:jc w:val="left"/>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 xml:space="preserve">Gasto neto </w:t>
            </w:r>
            <w:r>
              <w:rPr>
                <w:b w:val="0"/>
                <w:color w:val="000000"/>
                <w:kern w:val="24"/>
                <w:sz w:val="18"/>
                <w:szCs w:val="18"/>
                <w:u w:color="000000"/>
                <w:bdr w:val="nil"/>
                <w:lang w:val="es-ES_tradnl" w:eastAsia="es-CL"/>
              </w:rPr>
              <w:t>(*)</w:t>
            </w:r>
          </w:p>
        </w:tc>
        <w:tc>
          <w:tcPr>
            <w:tcW w:w="1248" w:type="dxa"/>
            <w:tcBorders>
              <w:top w:val="single" w:sz="8" w:space="0" w:color="FFFFFF"/>
              <w:left w:val="single" w:sz="8" w:space="0" w:color="FFFFFF"/>
              <w:bottom w:val="single" w:sz="8" w:space="0" w:color="FFFFFF"/>
              <w:right w:val="single" w:sz="8" w:space="0" w:color="FFFFFF"/>
            </w:tcBorders>
            <w:shd w:val="clear" w:color="auto" w:fill="C6D9F1"/>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8.753.398</w:t>
            </w:r>
          </w:p>
        </w:tc>
        <w:tc>
          <w:tcPr>
            <w:tcW w:w="1193" w:type="dxa"/>
            <w:tcBorders>
              <w:top w:val="single" w:sz="8" w:space="0" w:color="FFFFFF"/>
              <w:left w:val="single" w:sz="8" w:space="0" w:color="FFFFFF"/>
              <w:bottom w:val="single" w:sz="8" w:space="0" w:color="FFFFFF"/>
              <w:right w:val="single" w:sz="8" w:space="0" w:color="FFFFFF"/>
            </w:tcBorders>
            <w:shd w:val="clear" w:color="auto" w:fill="C6D9F1"/>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8.747.790</w:t>
            </w:r>
          </w:p>
        </w:tc>
        <w:tc>
          <w:tcPr>
            <w:tcW w:w="180"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 </w:t>
            </w:r>
          </w:p>
        </w:tc>
        <w:tc>
          <w:tcPr>
            <w:tcW w:w="969" w:type="dxa"/>
            <w:tcBorders>
              <w:top w:val="single" w:sz="8" w:space="0" w:color="FFFFFF"/>
              <w:left w:val="single" w:sz="8" w:space="0" w:color="FFFFFF"/>
              <w:bottom w:val="single" w:sz="8" w:space="0" w:color="FFFFFF"/>
              <w:right w:val="single" w:sz="8" w:space="0" w:color="FFFFFF"/>
            </w:tcBorders>
            <w:shd w:val="clear" w:color="auto" w:fill="C6D9F1"/>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-5.598</w:t>
            </w:r>
          </w:p>
        </w:tc>
        <w:tc>
          <w:tcPr>
            <w:tcW w:w="1015" w:type="dxa"/>
            <w:tcBorders>
              <w:top w:val="single" w:sz="8" w:space="0" w:color="FFFFFF"/>
              <w:left w:val="single" w:sz="8" w:space="0" w:color="FFFFFF"/>
              <w:bottom w:val="single" w:sz="8" w:space="0" w:color="FFFFFF"/>
              <w:right w:val="single" w:sz="8" w:space="0" w:color="FFFFFF"/>
            </w:tcBorders>
            <w:shd w:val="clear" w:color="auto" w:fill="C6D9F1"/>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-0,1%</w:t>
            </w:r>
          </w:p>
        </w:tc>
      </w:tr>
    </w:tbl>
    <w:p>
      <w:pPr>
        <w:widowControl w:val="0"/>
        <w:pBdr>
          <w:top w:val="nil"/>
          <w:left w:val="nil"/>
          <w:bottom w:val="nil"/>
          <w:right w:val="nil"/>
          <w:between w:val="nil"/>
          <w:bar w:val="nil"/>
        </w:pBdr>
        <w:jc w:val="center"/>
        <w:rPr>
          <w:rFonts w:eastAsia="Arial"/>
          <w:bCs/>
          <w:color w:val="000000"/>
          <w:sz w:val="18"/>
          <w:szCs w:val="18"/>
          <w:u w:color="000000"/>
          <w:bdr w:val="nil"/>
          <w:lang w:val="es-ES_tradnl" w:eastAsia="es-CL"/>
        </w:rPr>
      </w:pPr>
    </w:p>
    <w:p>
      <w:pPr>
        <w:pBdr>
          <w:top w:val="nil"/>
          <w:left w:val="nil"/>
          <w:bottom w:val="nil"/>
          <w:right w:val="nil"/>
          <w:between w:val="nil"/>
          <w:bar w:val="nil"/>
        </w:pBdr>
        <w:rPr>
          <w:rFonts w:eastAsia="Arial"/>
          <w:bCs/>
          <w:color w:val="000000"/>
          <w:sz w:val="22"/>
          <w:szCs w:val="22"/>
          <w:u w:color="000000"/>
          <w:bdr w:val="nil"/>
          <w:lang w:val="es-ES_tradnl" w:eastAsia="es-CL"/>
        </w:rPr>
      </w:pPr>
      <w:r>
        <w:rPr>
          <w:rFonts w:eastAsia="Arial Unicode MS" w:cs="Arial Unicode MS"/>
          <w:bCs/>
          <w:color w:val="000000"/>
          <w:sz w:val="22"/>
          <w:szCs w:val="22"/>
          <w:u w:color="000000"/>
          <w:bdr w:val="nil"/>
          <w:lang w:val="es-ES_tradnl" w:eastAsia="es-CL"/>
        </w:rPr>
        <w:t>(*) Gasto de Estado de Operaciones = GASTOS-(Subt.25+30+32+34+35) + Ítem25.01+Intereses y Otros Gastos Financieros de Deuda</w:t>
      </w:r>
    </w:p>
    <w:p>
      <w:pPr>
        <w:pBdr>
          <w:top w:val="nil"/>
          <w:left w:val="nil"/>
          <w:bottom w:val="nil"/>
          <w:right w:val="nil"/>
          <w:between w:val="nil"/>
          <w:bar w:val="nil"/>
        </w:pBdr>
        <w:rPr>
          <w:rFonts w:eastAsia="Arial"/>
          <w:b w:val="0"/>
          <w:color w:val="000000"/>
          <w:sz w:val="22"/>
          <w:szCs w:val="22"/>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w:b w:val="0"/>
          <w:color w:val="000000"/>
          <w:sz w:val="22"/>
          <w:szCs w:val="22"/>
          <w:u w:color="000000"/>
          <w:bdr w:val="nil"/>
          <w:lang w:val="es-ES_tradnl" w:eastAsia="es-CL"/>
        </w:rPr>
        <w:tab/>
      </w:r>
      <w:r>
        <w:rPr>
          <w:rFonts w:eastAsia="Arial Unicode MS" w:cs="Arial Unicode MS"/>
          <w:b w:val="0"/>
          <w:color w:val="000000"/>
          <w:u w:color="000000"/>
          <w:bdr w:val="nil"/>
          <w:lang w:val="es-ES_tradnl" w:eastAsia="es-CL"/>
        </w:rPr>
        <w:t>En este punto, indicó que el organismo presenta un presupuesto de continuidad, el cual, sin perjuicio de ello, asegura el correcto funcionamiento tanto de los aludidos tribunales como de la propia unidad de la cual es titular.</w:t>
      </w:r>
    </w:p>
    <w:p>
      <w:pPr>
        <w:pBdr>
          <w:top w:val="nil"/>
          <w:left w:val="nil"/>
          <w:bottom w:val="nil"/>
          <w:right w:val="nil"/>
          <w:between w:val="nil"/>
          <w:bar w:val="nil"/>
        </w:pBdr>
        <w:rPr>
          <w:rFonts w:eastAsia="Arial"/>
          <w:b w:val="0"/>
          <w:color w:val="000000"/>
          <w:sz w:val="22"/>
          <w:szCs w:val="22"/>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w:b w:val="0"/>
          <w:color w:val="000000"/>
          <w:sz w:val="22"/>
          <w:szCs w:val="22"/>
          <w:u w:color="000000"/>
          <w:bdr w:val="nil"/>
          <w:lang w:val="es-ES_tradnl" w:eastAsia="es-CL"/>
        </w:rPr>
        <w:tab/>
      </w:r>
      <w:r>
        <w:rPr>
          <w:rFonts w:eastAsia="Arial Unicode MS" w:cs="Arial Unicode MS"/>
          <w:b w:val="0"/>
          <w:color w:val="000000"/>
          <w:u w:color="000000"/>
          <w:bdr w:val="nil"/>
          <w:lang w:val="es-ES_tradnl" w:eastAsia="es-CL"/>
        </w:rPr>
        <w:t>En seguida, realizó algunos comentarios acerca de los Subtítulos 21, 22 y 24.</w:t>
      </w:r>
    </w:p>
    <w:p>
      <w:pPr>
        <w:pBdr>
          <w:top w:val="nil"/>
          <w:left w:val="nil"/>
          <w:bottom w:val="nil"/>
          <w:right w:val="nil"/>
          <w:between w:val="nil"/>
          <w:bar w:val="nil"/>
        </w:pBdr>
        <w:rPr>
          <w:rFonts w:eastAsia="Arial"/>
          <w:b w:val="0"/>
          <w:color w:val="000000"/>
          <w:sz w:val="22"/>
          <w:szCs w:val="22"/>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sz w:val="22"/>
          <w:szCs w:val="22"/>
          <w:u w:color="000000"/>
          <w:bdr w:val="nil"/>
          <w:lang w:val="es-ES_tradnl" w:eastAsia="es-CL"/>
        </w:rPr>
        <w:tab/>
        <w:t xml:space="preserve">- </w:t>
      </w:r>
      <w:r>
        <w:rPr>
          <w:rFonts w:eastAsia="Arial Unicode MS" w:cs="Arial Unicode MS"/>
          <w:bCs/>
          <w:color w:val="000000"/>
          <w:u w:color="000000"/>
          <w:bdr w:val="nil"/>
          <w:lang w:val="es-ES_tradnl" w:eastAsia="es-CL"/>
        </w:rPr>
        <w:t xml:space="preserve">Subtítulo 21, Gasto en Personal: </w:t>
      </w:r>
      <w:r>
        <w:rPr>
          <w:rFonts w:eastAsia="Arial Unicode MS" w:cs="Arial Unicode MS"/>
          <w:b w:val="0"/>
          <w:color w:val="000000"/>
          <w:u w:color="000000"/>
          <w:bdr w:val="nil"/>
          <w:lang w:val="es-ES_tradnl" w:eastAsia="es-CL"/>
        </w:rPr>
        <w:t>no registra variación.</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 xml:space="preserve">- </w:t>
      </w:r>
      <w:r>
        <w:rPr>
          <w:rFonts w:eastAsia="Arial Unicode MS" w:cs="Arial Unicode MS"/>
          <w:bCs/>
          <w:color w:val="000000"/>
          <w:u w:color="000000"/>
          <w:bdr w:val="nil"/>
          <w:lang w:val="es-ES_tradnl" w:eastAsia="es-CL"/>
        </w:rPr>
        <w:t xml:space="preserve">Subtítulo 22, Bienes y Servicios de Consumo: </w:t>
      </w:r>
      <w:r>
        <w:rPr>
          <w:rFonts w:eastAsia="Arial Unicode MS" w:cs="Arial Unicode MS"/>
          <w:b w:val="0"/>
          <w:color w:val="000000"/>
          <w:u w:color="000000"/>
          <w:bdr w:val="nil"/>
          <w:lang w:val="es-ES_tradnl" w:eastAsia="es-CL"/>
        </w:rPr>
        <w:t>se observa una disminución del 3% correspondiente al ajuste presupuestario proyectado.</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 xml:space="preserve">- </w:t>
      </w:r>
      <w:r>
        <w:rPr>
          <w:rFonts w:eastAsia="Arial Unicode MS" w:cs="Arial Unicode MS"/>
          <w:bCs/>
          <w:color w:val="000000"/>
          <w:u w:color="000000"/>
          <w:bdr w:val="nil"/>
          <w:lang w:val="es-ES_tradnl" w:eastAsia="es-CL"/>
        </w:rPr>
        <w:t>Subtítulo 24, Transferencias Corrientes: n</w:t>
      </w:r>
      <w:r>
        <w:rPr>
          <w:rFonts w:eastAsia="Arial Unicode MS" w:cs="Arial Unicode MS"/>
          <w:b w:val="0"/>
          <w:color w:val="000000"/>
          <w:u w:color="000000"/>
          <w:bdr w:val="nil"/>
          <w:lang w:val="es-ES_tradnl" w:eastAsia="es-CL"/>
        </w:rPr>
        <w:t>o presenta variación.</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jc w:val="center"/>
        <w:rPr>
          <w:rFonts w:eastAsia="Arial"/>
          <w:bCs/>
          <w:color w:val="000000"/>
          <w:u w:color="000000"/>
          <w:bdr w:val="nil"/>
          <w:lang w:val="es-ES_tradnl" w:eastAsia="es-CL"/>
        </w:rPr>
      </w:pPr>
      <w:r>
        <w:rPr>
          <w:rFonts w:eastAsia="Arial"/>
          <w:bCs/>
          <w:color w:val="000000"/>
          <w:u w:color="000000"/>
          <w:bdr w:val="nil"/>
          <w:lang w:val="es-ES_tradnl" w:eastAsia="es-CL"/>
        </w:rPr>
        <w:t>Metas estratégicas 2017</w:t>
      </w:r>
    </w:p>
    <w:p>
      <w:pPr>
        <w:pBdr>
          <w:top w:val="nil"/>
          <w:left w:val="nil"/>
          <w:bottom w:val="nil"/>
          <w:right w:val="nil"/>
          <w:between w:val="nil"/>
          <w:bar w:val="nil"/>
        </w:pBdr>
        <w:jc w:val="center"/>
        <w:rPr>
          <w:rFonts w:eastAsia="Arial"/>
          <w:bCs/>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Por último, para concluir con su presentación, describió las metas estratégicas del órgano que encabeza para el año 2017.</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Cs/>
          <w:color w:val="000000"/>
          <w:u w:color="000000"/>
          <w:bdr w:val="nil"/>
          <w:lang w:val="es-ES_tradnl" w:eastAsia="es-CL"/>
        </w:rPr>
      </w:pPr>
      <w:r>
        <w:rPr>
          <w:rFonts w:eastAsia="Arial Unicode MS" w:cs="Arial Unicode MS"/>
          <w:b w:val="0"/>
          <w:color w:val="000000"/>
          <w:u w:color="000000"/>
          <w:bdr w:val="nil"/>
          <w:lang w:val="es-ES_tradnl" w:eastAsia="es-CL"/>
        </w:rPr>
        <w:tab/>
        <w:t>- Gestionar y proveer los bienes y servicios para los Tribunales Tributarios y Aduaneros en forma proactiva, con calidad y excelencia, en el marco normativo legal y presupuestario.</w:t>
      </w:r>
    </w:p>
    <w:p>
      <w:pPr>
        <w:pBdr>
          <w:top w:val="nil"/>
          <w:left w:val="nil"/>
          <w:bottom w:val="nil"/>
          <w:right w:val="nil"/>
          <w:between w:val="nil"/>
          <w:bar w:val="nil"/>
        </w:pBdr>
        <w:rPr>
          <w:rFonts w:eastAsia="Arial"/>
          <w:bCs/>
          <w:color w:val="000000"/>
          <w:u w:color="000000"/>
          <w:bdr w:val="nil"/>
          <w:lang w:val="es-ES_tradnl" w:eastAsia="es-CL"/>
        </w:rPr>
      </w:pPr>
    </w:p>
    <w:p>
      <w:pPr>
        <w:pBdr>
          <w:top w:val="nil"/>
          <w:left w:val="nil"/>
          <w:bottom w:val="nil"/>
          <w:right w:val="nil"/>
          <w:between w:val="nil"/>
          <w:bar w:val="nil"/>
        </w:pBdr>
        <w:rPr>
          <w:rFonts w:eastAsia="Arial"/>
          <w:bCs/>
          <w:color w:val="000000"/>
          <w:u w:color="000000"/>
          <w:bdr w:val="nil"/>
          <w:lang w:val="es-ES_tradnl" w:eastAsia="es-CL"/>
        </w:rPr>
      </w:pPr>
      <w:r>
        <w:rPr>
          <w:rFonts w:eastAsia="Arial"/>
          <w:bCs/>
          <w:color w:val="000000"/>
          <w:u w:color="000000"/>
          <w:bdr w:val="nil"/>
          <w:lang w:val="es-ES_tradnl" w:eastAsia="es-CL"/>
        </w:rPr>
        <w:tab/>
      </w:r>
      <w:r>
        <w:rPr>
          <w:rFonts w:eastAsia="Arial Unicode MS" w:cs="Arial Unicode MS"/>
          <w:b w:val="0"/>
          <w:color w:val="000000"/>
          <w:u w:color="000000"/>
          <w:bdr w:val="nil"/>
          <w:lang w:val="es-ES_tradnl" w:eastAsia="es-CL"/>
        </w:rPr>
        <w:t>- Mejorar continuamente el acceso a la Justicia Tributaria y Aduanera a los contribuyentes y a la ciudadanía.</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Cs/>
          <w:color w:val="000000"/>
          <w:u w:color="000000"/>
          <w:bdr w:val="nil"/>
          <w:lang w:val="es-ES_tradnl" w:eastAsia="es-CL"/>
        </w:rPr>
      </w:pPr>
      <w:r>
        <w:rPr>
          <w:rFonts w:eastAsia="Arial"/>
          <w:bCs/>
          <w:color w:val="000000"/>
          <w:u w:color="000000"/>
          <w:bdr w:val="nil"/>
          <w:lang w:val="es-ES_tradnl" w:eastAsia="es-CL"/>
        </w:rPr>
        <w:tab/>
      </w:r>
      <w:r>
        <w:rPr>
          <w:rFonts w:eastAsia="Arial Unicode MS" w:cs="Arial Unicode MS"/>
          <w:b w:val="0"/>
          <w:color w:val="000000"/>
          <w:u w:color="000000"/>
          <w:bdr w:val="nil"/>
          <w:lang w:val="es-ES_tradnl" w:eastAsia="es-CL"/>
        </w:rPr>
        <w:t>- Proponer y asistir, con observancia a la independencia de los mencionados tribunales, en el desarrollo de políticas y buenas prácticas que permitan el fortalecimiento de su gestión.</w:t>
      </w:r>
    </w:p>
    <w:p>
      <w:pPr>
        <w:pBdr>
          <w:top w:val="nil"/>
          <w:left w:val="nil"/>
          <w:bottom w:val="nil"/>
          <w:right w:val="nil"/>
          <w:between w:val="nil"/>
          <w:bar w:val="nil"/>
        </w:pBdr>
        <w:rPr>
          <w:rFonts w:eastAsia="Arial"/>
          <w:bCs/>
          <w:color w:val="000000"/>
          <w:u w:color="000000"/>
          <w:bdr w:val="nil"/>
          <w:lang w:val="es-ES_tradnl" w:eastAsia="es-CL"/>
        </w:rPr>
      </w:pPr>
    </w:p>
    <w:p>
      <w:pPr>
        <w:pBdr>
          <w:top w:val="nil"/>
          <w:left w:val="nil"/>
          <w:bottom w:val="nil"/>
          <w:right w:val="nil"/>
          <w:between w:val="nil"/>
          <w:bar w:val="nil"/>
        </w:pBdr>
        <w:rPr>
          <w:rFonts w:eastAsia="Arial"/>
          <w:bCs/>
          <w:color w:val="000000"/>
          <w:u w:color="000000"/>
          <w:bdr w:val="nil"/>
          <w:lang w:val="es-ES_tradnl" w:eastAsia="es-CL"/>
        </w:rPr>
      </w:pPr>
      <w:r>
        <w:rPr>
          <w:rFonts w:eastAsia="Arial"/>
          <w:bCs/>
          <w:color w:val="000000"/>
          <w:u w:color="000000"/>
          <w:bdr w:val="nil"/>
          <w:lang w:val="es-ES_tradnl" w:eastAsia="es-CL"/>
        </w:rPr>
        <w:tab/>
      </w:r>
      <w:r>
        <w:rPr>
          <w:rFonts w:eastAsia="Arial Unicode MS" w:cs="Arial Unicode MS"/>
          <w:b w:val="0"/>
          <w:color w:val="000000"/>
          <w:u w:color="000000"/>
          <w:bdr w:val="nil"/>
          <w:lang w:val="es-ES_tradnl" w:eastAsia="es-CL"/>
        </w:rPr>
        <w:t>- Instalar una cultura organizacional, con valores de la gestión pública, orientada al cliente.</w:t>
      </w:r>
    </w:p>
    <w:p>
      <w:pPr>
        <w:rPr>
          <w:lang w:val="es-ES_tradnl"/>
        </w:rPr>
      </w:pPr>
    </w:p>
    <w:p>
      <w:pPr>
        <w:rPr>
          <w:lang w:val="es-ES_tradnl"/>
        </w:rPr>
      </w:pPr>
      <w:r>
        <w:tab/>
      </w:r>
      <w:r>
        <w:rPr>
          <w:lang w:val="es-ES_tradnl"/>
        </w:rPr>
        <w:t>Sometido a votación el Capítulo 01, Programa 06, fue aprobado sin enmiendas por la unanimidad de los miembros presentes de la Subcomisión, Honorable Diputado señor De Mussy (Presidente), Honorables Senadores señores Coloma y Tuma, y Honorables Diputados señores Schilling y Silva.</w:t>
      </w:r>
    </w:p>
    <w:p>
      <w:pPr>
        <w:rPr>
          <w:lang w:val="es-ES_tradnl"/>
        </w:rPr>
      </w:pPr>
    </w:p>
    <w:p/>
    <w:p>
      <w:pPr>
        <w:jc w:val="center"/>
      </w:pPr>
      <w:r>
        <w:t>Programa 07</w:t>
      </w:r>
    </w:p>
    <w:p>
      <w:pPr>
        <w:jc w:val="center"/>
      </w:pPr>
      <w:r>
        <w:t>Sistema Integrado de Comercio Exterior (SICEX)</w:t>
      </w:r>
    </w:p>
    <w:p/>
    <w:p>
      <w:r>
        <w:tab/>
        <w:t>Considera ingresos y gastos por $ 4.161.145 miles.</w:t>
      </w:r>
    </w:p>
    <w:p>
      <w:pPr>
        <w:rPr>
          <w:b w:val="0"/>
        </w:rPr>
      </w:pPr>
    </w:p>
    <w:p>
      <w:pPr>
        <w:rPr>
          <w:b w:val="0"/>
        </w:rPr>
      </w:pPr>
      <w:r>
        <w:rPr>
          <w:b w:val="0"/>
        </w:rPr>
        <w:tab/>
        <w:t>El monto de recursos asignados a este Programa por la Ley de Presupuestos vigente alcanza a $ 2.918.378 miles, lo que implica una variación de 42,6%.</w:t>
      </w:r>
    </w:p>
    <w:p>
      <w:pPr>
        <w:rPr>
          <w:b w:val="0"/>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Cs/>
          <w:color w:val="000000"/>
          <w:u w:color="000000"/>
          <w:bdr w:val="nil"/>
          <w:lang w:val="es-ES_tradnl" w:eastAsia="es-CL"/>
        </w:rPr>
        <w:tab/>
        <w:t>La Directora del Sistema Integrado de Comercio Exterior (SICEX), señora Bárbara Matamala</w:t>
      </w:r>
      <w:r>
        <w:rPr>
          <w:rFonts w:eastAsia="Arial Unicode MS" w:cs="Arial Unicode MS"/>
          <w:b w:val="0"/>
          <w:color w:val="000000"/>
          <w:u w:color="000000"/>
          <w:bdr w:val="nil"/>
          <w:lang w:val="es-ES_tradnl" w:eastAsia="es-CL"/>
        </w:rPr>
        <w:t>, comenzó su presentación indicando los dos lineamientos del programa que dirige.</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 Masificación de SICEX como canal prioritario para exportar e importar.</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 Participación en la incorporación de nuevos documentos electrónicos en la interoperabilidad de las ventanillas únicas de Colombia, México, Perú dentro del marco de la Alianza del Pacífico. En este punto señaló que entre dichos países y Chile, desde junio del año en curso se puede efectuar el intercambio de los certificados fitosanitarios, documentos a los cuales se pretende agregar, durante el 2017, los certificados de origen y los datos de la declaración aduanera.</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Posteriormente, describió la variación presupuestaria del programa, en comparación al contemplado en la ley vigente, a través de la siguiente lámina.</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jc w:val="center"/>
        <w:rPr>
          <w:rFonts w:eastAsia="Arial"/>
          <w:bCs/>
          <w:color w:val="000000"/>
          <w:u w:color="000000"/>
          <w:bdr w:val="nil"/>
          <w:lang w:val="es-ES_tradnl" w:eastAsia="es-CL"/>
        </w:rPr>
      </w:pPr>
      <w:r>
        <w:rPr>
          <w:rFonts w:eastAsia="Arial"/>
          <w:bCs/>
          <w:color w:val="000000"/>
          <w:u w:color="000000"/>
          <w:bdr w:val="nil"/>
          <w:lang w:val="es-ES_tradnl" w:eastAsia="es-CL"/>
        </w:rPr>
        <w:t>Proyecto SICEX - Programa 07</w:t>
      </w:r>
    </w:p>
    <w:p>
      <w:pPr>
        <w:pBdr>
          <w:top w:val="nil"/>
          <w:left w:val="nil"/>
          <w:bottom w:val="nil"/>
          <w:right w:val="nil"/>
          <w:between w:val="nil"/>
          <w:bar w:val="nil"/>
        </w:pBdr>
        <w:jc w:val="center"/>
        <w:rPr>
          <w:rFonts w:eastAsia="Arial"/>
          <w:bCs/>
          <w:color w:val="000000"/>
          <w:u w:color="000000"/>
          <w:bdr w:val="nil"/>
          <w:lang w:val="es-ES_tradnl" w:eastAsia="es-CL"/>
        </w:rPr>
      </w:pPr>
      <w:r>
        <w:rPr>
          <w:rFonts w:eastAsia="Arial"/>
          <w:bCs/>
          <w:color w:val="000000"/>
          <w:u w:color="000000"/>
          <w:bdr w:val="nil"/>
          <w:lang w:val="es-ES_tradnl" w:eastAsia="es-CL"/>
        </w:rPr>
        <w:t>Proyecto Presupuesto 2017 – Cifras comparadas 2016/2017</w:t>
      </w:r>
    </w:p>
    <w:tbl>
      <w:tblPr>
        <w:tblW w:w="8271" w:type="dxa"/>
        <w:jc w:val="center"/>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3857"/>
        <w:gridCol w:w="1204"/>
        <w:gridCol w:w="1134"/>
        <w:gridCol w:w="180"/>
        <w:gridCol w:w="1137"/>
        <w:gridCol w:w="759"/>
      </w:tblGrid>
      <w:tr>
        <w:tblPrEx>
          <w:tblCellMar>
            <w:top w:w="0" w:type="dxa"/>
            <w:left w:w="0" w:type="dxa"/>
            <w:bottom w:w="0" w:type="dxa"/>
            <w:right w:w="0" w:type="dxa"/>
          </w:tblCellMar>
        </w:tblPrEx>
        <w:trPr>
          <w:trHeight w:val="462"/>
          <w:jc w:val="center"/>
        </w:trPr>
        <w:tc>
          <w:tcPr>
            <w:tcW w:w="3857" w:type="dxa"/>
            <w:tcBorders>
              <w:top w:val="nil"/>
              <w:left w:val="nil"/>
              <w:bottom w:val="nil"/>
              <w:right w:val="single" w:sz="8" w:space="0" w:color="FFFFFF"/>
            </w:tcBorders>
            <w:shd w:val="clear" w:color="auto" w:fill="B9CDE5"/>
            <w:tcMar>
              <w:top w:w="80" w:type="dxa"/>
              <w:left w:w="80" w:type="dxa"/>
              <w:bottom w:w="80" w:type="dxa"/>
              <w:right w:w="80" w:type="dxa"/>
            </w:tcMar>
            <w:vAlign w:val="center"/>
          </w:tcPr>
          <w:p>
            <w:pPr>
              <w:pBdr>
                <w:top w:val="nil"/>
                <w:left w:val="nil"/>
                <w:bottom w:val="nil"/>
                <w:right w:val="nil"/>
                <w:between w:val="nil"/>
                <w:bar w:val="nil"/>
              </w:pBdr>
              <w:tabs>
                <w:tab w:val="clear" w:pos="2835"/>
              </w:tabs>
              <w:jc w:val="left"/>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CAPÍTULO 01 - Programa 07</w:t>
            </w:r>
          </w:p>
        </w:tc>
        <w:tc>
          <w:tcPr>
            <w:tcW w:w="2338" w:type="dxa"/>
            <w:gridSpan w:val="2"/>
            <w:tcBorders>
              <w:top w:val="single" w:sz="8" w:space="0" w:color="FFFFFF"/>
              <w:left w:val="single" w:sz="8" w:space="0" w:color="FFFFFF"/>
              <w:bottom w:val="single" w:sz="8" w:space="0" w:color="FFFFFF"/>
              <w:right w:val="single" w:sz="8" w:space="0" w:color="FFFFFF"/>
            </w:tcBorders>
            <w:shd w:val="clear" w:color="auto" w:fill="B9CDE5"/>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Ley de Presupuesto</w:t>
            </w:r>
          </w:p>
        </w:tc>
        <w:tc>
          <w:tcPr>
            <w:tcW w:w="180"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 </w:t>
            </w:r>
          </w:p>
        </w:tc>
        <w:tc>
          <w:tcPr>
            <w:tcW w:w="1896" w:type="dxa"/>
            <w:gridSpan w:val="2"/>
            <w:tcBorders>
              <w:top w:val="single" w:sz="8" w:space="0" w:color="FFFFFF"/>
              <w:left w:val="single" w:sz="8" w:space="0" w:color="FFFFFF"/>
              <w:bottom w:val="single" w:sz="8" w:space="0" w:color="FFFFFF"/>
              <w:right w:val="single" w:sz="8" w:space="0" w:color="FFFFFF"/>
            </w:tcBorders>
            <w:shd w:val="clear" w:color="auto" w:fill="B9CDE5"/>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Variación</w:t>
            </w:r>
          </w:p>
        </w:tc>
      </w:tr>
      <w:tr>
        <w:tblPrEx>
          <w:tblCellMar>
            <w:top w:w="0" w:type="dxa"/>
            <w:left w:w="0" w:type="dxa"/>
            <w:bottom w:w="0" w:type="dxa"/>
            <w:right w:w="0" w:type="dxa"/>
          </w:tblCellMar>
        </w:tblPrEx>
        <w:trPr>
          <w:trHeight w:val="500"/>
          <w:jc w:val="center"/>
        </w:trPr>
        <w:tc>
          <w:tcPr>
            <w:tcW w:w="3857" w:type="dxa"/>
            <w:vMerge w:val="restart"/>
            <w:tcBorders>
              <w:top w:val="nil"/>
              <w:left w:val="nil"/>
              <w:bottom w:val="single" w:sz="8" w:space="0" w:color="FFFFFF"/>
              <w:right w:val="single" w:sz="8" w:space="0" w:color="FFFFFF"/>
            </w:tcBorders>
            <w:shd w:val="clear" w:color="auto" w:fill="B9CDE5"/>
            <w:tcMar>
              <w:top w:w="80" w:type="dxa"/>
              <w:left w:w="80" w:type="dxa"/>
              <w:bottom w:w="80" w:type="dxa"/>
              <w:right w:w="80" w:type="dxa"/>
            </w:tcMar>
            <w:vAlign w:val="center"/>
          </w:tcPr>
          <w:p>
            <w:pPr>
              <w:pBdr>
                <w:top w:val="nil"/>
                <w:left w:val="nil"/>
                <w:bottom w:val="nil"/>
                <w:right w:val="nil"/>
                <w:between w:val="nil"/>
                <w:bar w:val="nil"/>
              </w:pBdr>
              <w:tabs>
                <w:tab w:val="clear" w:pos="2835"/>
              </w:tabs>
              <w:jc w:val="left"/>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SISTEMA INTEGRADO DE COMERCIO EXTERIOR (SICEX)</w:t>
            </w:r>
          </w:p>
        </w:tc>
        <w:tc>
          <w:tcPr>
            <w:tcW w:w="1204" w:type="dxa"/>
            <w:tcBorders>
              <w:top w:val="single" w:sz="8" w:space="0" w:color="FFFFFF"/>
              <w:left w:val="single" w:sz="8" w:space="0" w:color="FFFFFF"/>
              <w:bottom w:val="nil"/>
              <w:right w:val="single" w:sz="8" w:space="0" w:color="FFFFFF"/>
            </w:tcBorders>
            <w:shd w:val="clear" w:color="auto" w:fill="B9CDE5"/>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Año 2016</w:t>
            </w:r>
          </w:p>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ajustada</w:t>
            </w:r>
          </w:p>
        </w:tc>
        <w:tc>
          <w:tcPr>
            <w:tcW w:w="1134" w:type="dxa"/>
            <w:tcBorders>
              <w:top w:val="single" w:sz="8" w:space="0" w:color="FFFFFF"/>
              <w:left w:val="single" w:sz="8" w:space="0" w:color="FFFFFF"/>
              <w:bottom w:val="nil"/>
              <w:right w:val="single" w:sz="8" w:space="0" w:color="FFFFFF"/>
            </w:tcBorders>
            <w:shd w:val="clear" w:color="auto" w:fill="B9CDE5"/>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Año 2017</w:t>
            </w:r>
          </w:p>
        </w:tc>
        <w:tc>
          <w:tcPr>
            <w:tcW w:w="180"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pPr>
              <w:pBdr>
                <w:top w:val="nil"/>
                <w:left w:val="nil"/>
                <w:bottom w:val="nil"/>
                <w:right w:val="nil"/>
                <w:between w:val="nil"/>
                <w:bar w:val="nil"/>
              </w:pBdr>
              <w:tabs>
                <w:tab w:val="clear" w:pos="2835"/>
              </w:tabs>
              <w:jc w:val="left"/>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 </w:t>
            </w:r>
          </w:p>
        </w:tc>
        <w:tc>
          <w:tcPr>
            <w:tcW w:w="1137" w:type="dxa"/>
            <w:vMerge w:val="restart"/>
            <w:tcBorders>
              <w:top w:val="single" w:sz="8" w:space="0" w:color="FFFFFF"/>
              <w:left w:val="single" w:sz="8" w:space="0" w:color="FFFFFF"/>
              <w:bottom w:val="single" w:sz="8" w:space="0" w:color="FFFFFF"/>
              <w:right w:val="single" w:sz="8" w:space="0" w:color="FFFFFF"/>
            </w:tcBorders>
            <w:shd w:val="clear" w:color="auto" w:fill="B9CDE5"/>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M$</w:t>
            </w:r>
          </w:p>
        </w:tc>
        <w:tc>
          <w:tcPr>
            <w:tcW w:w="759" w:type="dxa"/>
            <w:vMerge w:val="restart"/>
            <w:tcBorders>
              <w:top w:val="single" w:sz="8" w:space="0" w:color="FFFFFF"/>
              <w:left w:val="single" w:sz="8" w:space="0" w:color="FFFFFF"/>
              <w:bottom w:val="single" w:sz="8" w:space="0" w:color="FFFFFF"/>
              <w:right w:val="single" w:sz="8" w:space="0" w:color="FFFFFF"/>
            </w:tcBorders>
            <w:shd w:val="clear" w:color="auto" w:fill="B9CDE5"/>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w:t>
            </w:r>
          </w:p>
        </w:tc>
      </w:tr>
      <w:tr>
        <w:tblPrEx>
          <w:tblCellMar>
            <w:top w:w="0" w:type="dxa"/>
            <w:left w:w="0" w:type="dxa"/>
            <w:bottom w:w="0" w:type="dxa"/>
            <w:right w:w="0" w:type="dxa"/>
          </w:tblCellMar>
        </w:tblPrEx>
        <w:trPr>
          <w:trHeight w:val="500"/>
          <w:jc w:val="center"/>
        </w:trPr>
        <w:tc>
          <w:tcPr>
            <w:tcW w:w="3857" w:type="dxa"/>
            <w:vMerge/>
            <w:tcBorders>
              <w:top w:val="nil"/>
              <w:left w:val="nil"/>
              <w:bottom w:val="single" w:sz="8" w:space="0" w:color="FFFFFF"/>
              <w:right w:val="single" w:sz="8" w:space="0" w:color="FFFFFF"/>
            </w:tcBorders>
            <w:shd w:val="clear" w:color="auto" w:fill="B9CDE5"/>
          </w:tcPr>
          <w:p>
            <w:pPr>
              <w:pBdr>
                <w:top w:val="nil"/>
                <w:left w:val="nil"/>
                <w:bottom w:val="nil"/>
                <w:right w:val="nil"/>
                <w:between w:val="nil"/>
                <w:bar w:val="nil"/>
              </w:pBdr>
              <w:rPr>
                <w:rFonts w:eastAsia="Arial"/>
                <w:b w:val="0"/>
                <w:color w:val="000000"/>
                <w:sz w:val="18"/>
                <w:szCs w:val="18"/>
                <w:u w:color="000000"/>
                <w:bdr w:val="nil"/>
                <w:lang w:val="es-ES_tradnl" w:eastAsia="es-CL"/>
              </w:rPr>
            </w:pPr>
          </w:p>
        </w:tc>
        <w:tc>
          <w:tcPr>
            <w:tcW w:w="1204" w:type="dxa"/>
            <w:tcBorders>
              <w:top w:val="nil"/>
              <w:left w:val="single" w:sz="8" w:space="0" w:color="FFFFFF"/>
              <w:bottom w:val="single" w:sz="8" w:space="0" w:color="FFFFFF"/>
              <w:right w:val="single" w:sz="8" w:space="0" w:color="FFFFFF"/>
            </w:tcBorders>
            <w:shd w:val="clear" w:color="auto" w:fill="B9CDE5"/>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(M$ 2017)</w:t>
            </w:r>
          </w:p>
        </w:tc>
        <w:tc>
          <w:tcPr>
            <w:tcW w:w="1134" w:type="dxa"/>
            <w:tcBorders>
              <w:top w:val="nil"/>
              <w:left w:val="single" w:sz="8" w:space="0" w:color="FFFFFF"/>
              <w:bottom w:val="single" w:sz="8" w:space="0" w:color="FFFFFF"/>
              <w:right w:val="single" w:sz="8" w:space="0" w:color="FFFFFF"/>
            </w:tcBorders>
            <w:shd w:val="clear" w:color="auto" w:fill="B9CDE5"/>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(M$ 2017)</w:t>
            </w:r>
          </w:p>
        </w:tc>
        <w:tc>
          <w:tcPr>
            <w:tcW w:w="180"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pPr>
              <w:pBdr>
                <w:top w:val="nil"/>
                <w:left w:val="nil"/>
                <w:bottom w:val="nil"/>
                <w:right w:val="nil"/>
                <w:between w:val="nil"/>
                <w:bar w:val="nil"/>
              </w:pBdr>
              <w:tabs>
                <w:tab w:val="clear" w:pos="2835"/>
              </w:tabs>
              <w:jc w:val="left"/>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 </w:t>
            </w:r>
          </w:p>
        </w:tc>
        <w:tc>
          <w:tcPr>
            <w:tcW w:w="1137" w:type="dxa"/>
            <w:vMerge/>
            <w:tcBorders>
              <w:top w:val="single" w:sz="8" w:space="0" w:color="FFFFFF"/>
              <w:left w:val="single" w:sz="8" w:space="0" w:color="FFFFFF"/>
              <w:bottom w:val="single" w:sz="8" w:space="0" w:color="FFFFFF"/>
              <w:right w:val="single" w:sz="8" w:space="0" w:color="FFFFFF"/>
            </w:tcBorders>
            <w:shd w:val="clear" w:color="auto" w:fill="B9CDE5"/>
          </w:tcPr>
          <w:p>
            <w:pPr>
              <w:pBdr>
                <w:top w:val="nil"/>
                <w:left w:val="nil"/>
                <w:bottom w:val="nil"/>
                <w:right w:val="nil"/>
                <w:between w:val="nil"/>
                <w:bar w:val="nil"/>
              </w:pBdr>
              <w:rPr>
                <w:rFonts w:eastAsia="Arial"/>
                <w:b w:val="0"/>
                <w:color w:val="000000"/>
                <w:sz w:val="18"/>
                <w:szCs w:val="18"/>
                <w:u w:color="000000"/>
                <w:bdr w:val="nil"/>
                <w:lang w:val="es-ES_tradnl" w:eastAsia="es-CL"/>
              </w:rPr>
            </w:pPr>
          </w:p>
        </w:tc>
        <w:tc>
          <w:tcPr>
            <w:tcW w:w="759" w:type="dxa"/>
            <w:vMerge/>
            <w:tcBorders>
              <w:top w:val="single" w:sz="8" w:space="0" w:color="FFFFFF"/>
              <w:left w:val="single" w:sz="8" w:space="0" w:color="FFFFFF"/>
              <w:bottom w:val="single" w:sz="8" w:space="0" w:color="FFFFFF"/>
              <w:right w:val="single" w:sz="8" w:space="0" w:color="FFFFFF"/>
            </w:tcBorders>
            <w:shd w:val="clear" w:color="auto" w:fill="B9CDE5"/>
          </w:tcPr>
          <w:p>
            <w:pPr>
              <w:pBdr>
                <w:top w:val="nil"/>
                <w:left w:val="nil"/>
                <w:bottom w:val="nil"/>
                <w:right w:val="nil"/>
                <w:between w:val="nil"/>
                <w:bar w:val="nil"/>
              </w:pBdr>
              <w:rPr>
                <w:rFonts w:eastAsia="Arial"/>
                <w:b w:val="0"/>
                <w:color w:val="000000"/>
                <w:sz w:val="18"/>
                <w:szCs w:val="18"/>
                <w:u w:color="000000"/>
                <w:bdr w:val="nil"/>
                <w:lang w:val="es-ES_tradnl" w:eastAsia="es-CL"/>
              </w:rPr>
            </w:pPr>
          </w:p>
        </w:tc>
      </w:tr>
      <w:tr>
        <w:tblPrEx>
          <w:tblCellMar>
            <w:top w:w="0" w:type="dxa"/>
            <w:left w:w="0" w:type="dxa"/>
            <w:bottom w:w="0" w:type="dxa"/>
            <w:right w:w="0" w:type="dxa"/>
          </w:tblCellMar>
        </w:tblPrEx>
        <w:trPr>
          <w:trHeight w:val="500"/>
          <w:jc w:val="center"/>
        </w:trPr>
        <w:tc>
          <w:tcPr>
            <w:tcW w:w="3857" w:type="dxa"/>
            <w:tcBorders>
              <w:top w:val="single" w:sz="8" w:space="0" w:color="FFFFFF"/>
              <w:left w:val="single" w:sz="8" w:space="0" w:color="FFFFFF"/>
              <w:bottom w:val="single" w:sz="8" w:space="0" w:color="FFFFFF"/>
              <w:right w:val="single" w:sz="8" w:space="0" w:color="FFFFFF"/>
            </w:tcBorders>
            <w:shd w:val="clear" w:color="auto" w:fill="C6D9F1"/>
            <w:tcMar>
              <w:top w:w="80" w:type="dxa"/>
              <w:left w:w="80" w:type="dxa"/>
              <w:bottom w:w="80" w:type="dxa"/>
              <w:right w:w="80" w:type="dxa"/>
            </w:tcMar>
            <w:vAlign w:val="center"/>
          </w:tcPr>
          <w:p>
            <w:pPr>
              <w:pBdr>
                <w:top w:val="nil"/>
                <w:left w:val="nil"/>
                <w:bottom w:val="nil"/>
                <w:right w:val="nil"/>
                <w:between w:val="nil"/>
                <w:bar w:val="nil"/>
              </w:pBdr>
              <w:tabs>
                <w:tab w:val="clear" w:pos="2835"/>
              </w:tabs>
              <w:jc w:val="left"/>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TOTAL</w:t>
            </w:r>
          </w:p>
        </w:tc>
        <w:tc>
          <w:tcPr>
            <w:tcW w:w="1204" w:type="dxa"/>
            <w:tcBorders>
              <w:top w:val="single" w:sz="8" w:space="0" w:color="FFFFFF"/>
              <w:left w:val="single" w:sz="8" w:space="0" w:color="FFFFFF"/>
              <w:bottom w:val="single" w:sz="8" w:space="0" w:color="FFFFFF"/>
              <w:right w:val="single" w:sz="8" w:space="0" w:color="FFFFFF"/>
            </w:tcBorders>
            <w:shd w:val="clear" w:color="auto" w:fill="C6D9F1"/>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2.918.378</w:t>
            </w:r>
          </w:p>
        </w:tc>
        <w:tc>
          <w:tcPr>
            <w:tcW w:w="1134" w:type="dxa"/>
            <w:tcBorders>
              <w:top w:val="single" w:sz="8" w:space="0" w:color="FFFFFF"/>
              <w:left w:val="single" w:sz="8" w:space="0" w:color="FFFFFF"/>
              <w:bottom w:val="single" w:sz="8" w:space="0" w:color="FFFFFF"/>
              <w:right w:val="single" w:sz="8" w:space="0" w:color="FFFFFF"/>
            </w:tcBorders>
            <w:shd w:val="clear" w:color="auto" w:fill="C6D9F1"/>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4.161.145</w:t>
            </w:r>
          </w:p>
        </w:tc>
        <w:tc>
          <w:tcPr>
            <w:tcW w:w="180"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 </w:t>
            </w:r>
          </w:p>
        </w:tc>
        <w:tc>
          <w:tcPr>
            <w:tcW w:w="1137" w:type="dxa"/>
            <w:tcBorders>
              <w:top w:val="single" w:sz="8" w:space="0" w:color="FFFFFF"/>
              <w:left w:val="single" w:sz="8" w:space="0" w:color="FFFFFF"/>
              <w:bottom w:val="single" w:sz="8" w:space="0" w:color="FFFFFF"/>
              <w:right w:val="single" w:sz="8" w:space="0" w:color="FFFFFF"/>
            </w:tcBorders>
            <w:shd w:val="clear" w:color="auto" w:fill="C6D9F1"/>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1.242.767</w:t>
            </w:r>
          </w:p>
        </w:tc>
        <w:tc>
          <w:tcPr>
            <w:tcW w:w="759" w:type="dxa"/>
            <w:tcBorders>
              <w:top w:val="single" w:sz="8" w:space="0" w:color="FFFFFF"/>
              <w:left w:val="single" w:sz="8" w:space="0" w:color="FFFFFF"/>
              <w:bottom w:val="single" w:sz="8" w:space="0" w:color="FFFFFF"/>
              <w:right w:val="single" w:sz="8" w:space="0" w:color="FFFFFF"/>
            </w:tcBorders>
            <w:shd w:val="clear" w:color="auto" w:fill="C6D9F1"/>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42,6%</w:t>
            </w:r>
          </w:p>
        </w:tc>
      </w:tr>
      <w:tr>
        <w:tblPrEx>
          <w:tblCellMar>
            <w:top w:w="0" w:type="dxa"/>
            <w:left w:w="0" w:type="dxa"/>
            <w:bottom w:w="0" w:type="dxa"/>
            <w:right w:w="0" w:type="dxa"/>
          </w:tblCellMar>
        </w:tblPrEx>
        <w:trPr>
          <w:trHeight w:val="370"/>
          <w:jc w:val="center"/>
        </w:trPr>
        <w:tc>
          <w:tcPr>
            <w:tcW w:w="3857"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lef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Gasto en Personal  (</w:t>
            </w:r>
            <w:r>
              <w:rPr>
                <w:bCs/>
                <w:color w:val="000000"/>
                <w:kern w:val="24"/>
                <w:sz w:val="18"/>
                <w:szCs w:val="18"/>
                <w:u w:color="000000"/>
                <w:bdr w:val="nil"/>
                <w:lang w:val="es-ES_tradnl" w:eastAsia="es-CL"/>
              </w:rPr>
              <w:t>Subtítulo 21</w:t>
            </w:r>
            <w:r>
              <w:rPr>
                <w:b w:val="0"/>
                <w:color w:val="000000"/>
                <w:kern w:val="24"/>
                <w:sz w:val="18"/>
                <w:szCs w:val="18"/>
                <w:u w:color="000000"/>
                <w:bdr w:val="nil"/>
                <w:lang w:val="es-ES_tradnl" w:eastAsia="es-CL"/>
              </w:rPr>
              <w:t>)</w:t>
            </w:r>
          </w:p>
        </w:tc>
        <w:tc>
          <w:tcPr>
            <w:tcW w:w="1204"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409.237</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390.477</w:t>
            </w:r>
          </w:p>
        </w:tc>
        <w:tc>
          <w:tcPr>
            <w:tcW w:w="180"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 </w:t>
            </w:r>
          </w:p>
        </w:tc>
        <w:tc>
          <w:tcPr>
            <w:tcW w:w="1137"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-18.760</w:t>
            </w:r>
          </w:p>
        </w:tc>
        <w:tc>
          <w:tcPr>
            <w:tcW w:w="759"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-4,6%</w:t>
            </w:r>
          </w:p>
        </w:tc>
      </w:tr>
      <w:tr>
        <w:tblPrEx>
          <w:tblCellMar>
            <w:top w:w="0" w:type="dxa"/>
            <w:left w:w="0" w:type="dxa"/>
            <w:bottom w:w="0" w:type="dxa"/>
            <w:right w:w="0" w:type="dxa"/>
          </w:tblCellMar>
        </w:tblPrEx>
        <w:trPr>
          <w:trHeight w:val="500"/>
          <w:jc w:val="center"/>
        </w:trPr>
        <w:tc>
          <w:tcPr>
            <w:tcW w:w="3857"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lef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Bienes y Servicios de Consumo  (</w:t>
            </w:r>
            <w:r>
              <w:rPr>
                <w:bCs/>
                <w:color w:val="000000"/>
                <w:kern w:val="24"/>
                <w:sz w:val="18"/>
                <w:szCs w:val="18"/>
                <w:u w:color="000000"/>
                <w:bdr w:val="nil"/>
                <w:lang w:val="es-ES_tradnl" w:eastAsia="es-CL"/>
              </w:rPr>
              <w:t>Subtítulo 22</w:t>
            </w:r>
            <w:r>
              <w:rPr>
                <w:b w:val="0"/>
                <w:color w:val="000000"/>
                <w:kern w:val="24"/>
                <w:sz w:val="18"/>
                <w:szCs w:val="18"/>
                <w:u w:color="000000"/>
                <w:bdr w:val="nil"/>
                <w:lang w:val="es-ES_tradnl" w:eastAsia="es-CL"/>
              </w:rPr>
              <w:t>)</w:t>
            </w:r>
          </w:p>
        </w:tc>
        <w:tc>
          <w:tcPr>
            <w:tcW w:w="1204"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1.167.555</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1.648.407</w:t>
            </w:r>
          </w:p>
        </w:tc>
        <w:tc>
          <w:tcPr>
            <w:tcW w:w="180"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 </w:t>
            </w:r>
          </w:p>
        </w:tc>
        <w:tc>
          <w:tcPr>
            <w:tcW w:w="1137"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480.852</w:t>
            </w:r>
          </w:p>
        </w:tc>
        <w:tc>
          <w:tcPr>
            <w:tcW w:w="759"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41,2%</w:t>
            </w:r>
          </w:p>
        </w:tc>
      </w:tr>
      <w:tr>
        <w:tblPrEx>
          <w:tblCellMar>
            <w:top w:w="0" w:type="dxa"/>
            <w:left w:w="0" w:type="dxa"/>
            <w:bottom w:w="0" w:type="dxa"/>
            <w:right w:w="0" w:type="dxa"/>
          </w:tblCellMar>
        </w:tblPrEx>
        <w:trPr>
          <w:trHeight w:val="500"/>
          <w:jc w:val="center"/>
        </w:trPr>
        <w:tc>
          <w:tcPr>
            <w:tcW w:w="3857"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lef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 xml:space="preserve">Transferencias Corrientes  </w:t>
            </w:r>
            <w:r>
              <w:rPr>
                <w:bCs/>
                <w:color w:val="000000"/>
                <w:kern w:val="24"/>
                <w:sz w:val="18"/>
                <w:szCs w:val="18"/>
                <w:u w:color="000000"/>
                <w:bdr w:val="nil"/>
                <w:lang w:val="es-ES_tradnl" w:eastAsia="es-CL"/>
              </w:rPr>
              <w:t>(Subtítulo 24)</w:t>
            </w:r>
          </w:p>
        </w:tc>
        <w:tc>
          <w:tcPr>
            <w:tcW w:w="1204"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 </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283.250</w:t>
            </w:r>
          </w:p>
        </w:tc>
        <w:tc>
          <w:tcPr>
            <w:tcW w:w="180"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 </w:t>
            </w:r>
          </w:p>
        </w:tc>
        <w:tc>
          <w:tcPr>
            <w:tcW w:w="1137"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283.250</w:t>
            </w:r>
          </w:p>
        </w:tc>
        <w:tc>
          <w:tcPr>
            <w:tcW w:w="759"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100,0%</w:t>
            </w:r>
          </w:p>
        </w:tc>
      </w:tr>
      <w:tr>
        <w:tblPrEx>
          <w:tblCellMar>
            <w:top w:w="0" w:type="dxa"/>
            <w:left w:w="0" w:type="dxa"/>
            <w:bottom w:w="0" w:type="dxa"/>
            <w:right w:w="0" w:type="dxa"/>
          </w:tblCellMar>
        </w:tblPrEx>
        <w:trPr>
          <w:trHeight w:val="500"/>
          <w:jc w:val="center"/>
        </w:trPr>
        <w:tc>
          <w:tcPr>
            <w:tcW w:w="3857"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lef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Adquisición de Activos no financieros  (</w:t>
            </w:r>
            <w:r>
              <w:rPr>
                <w:bCs/>
                <w:color w:val="000000"/>
                <w:kern w:val="24"/>
                <w:sz w:val="18"/>
                <w:szCs w:val="18"/>
                <w:u w:color="000000"/>
                <w:bdr w:val="nil"/>
                <w:lang w:val="es-ES_tradnl" w:eastAsia="es-CL"/>
              </w:rPr>
              <w:t>Subtítulo 29</w:t>
            </w:r>
            <w:r>
              <w:rPr>
                <w:b w:val="0"/>
                <w:color w:val="000000"/>
                <w:kern w:val="24"/>
                <w:sz w:val="18"/>
                <w:szCs w:val="18"/>
                <w:u w:color="000000"/>
                <w:bdr w:val="nil"/>
                <w:lang w:val="es-ES_tradnl" w:eastAsia="es-CL"/>
              </w:rPr>
              <w:t>)</w:t>
            </w:r>
          </w:p>
        </w:tc>
        <w:tc>
          <w:tcPr>
            <w:tcW w:w="1204"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1.276.966</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 </w:t>
            </w:r>
          </w:p>
        </w:tc>
        <w:tc>
          <w:tcPr>
            <w:tcW w:w="180"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 </w:t>
            </w:r>
          </w:p>
        </w:tc>
        <w:tc>
          <w:tcPr>
            <w:tcW w:w="1137"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-1.276.966</w:t>
            </w:r>
          </w:p>
        </w:tc>
        <w:tc>
          <w:tcPr>
            <w:tcW w:w="759"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-100,0%</w:t>
            </w:r>
          </w:p>
        </w:tc>
      </w:tr>
      <w:tr>
        <w:tblPrEx>
          <w:tblCellMar>
            <w:top w:w="0" w:type="dxa"/>
            <w:left w:w="0" w:type="dxa"/>
            <w:bottom w:w="0" w:type="dxa"/>
            <w:right w:w="0" w:type="dxa"/>
          </w:tblCellMar>
        </w:tblPrEx>
        <w:trPr>
          <w:trHeight w:val="500"/>
          <w:jc w:val="center"/>
        </w:trPr>
        <w:tc>
          <w:tcPr>
            <w:tcW w:w="3857"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lef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Servicio de la Deuda  (</w:t>
            </w:r>
            <w:r>
              <w:rPr>
                <w:bCs/>
                <w:color w:val="000000"/>
                <w:kern w:val="24"/>
                <w:sz w:val="18"/>
                <w:szCs w:val="18"/>
                <w:u w:color="000000"/>
                <w:bdr w:val="nil"/>
                <w:lang w:val="es-ES_tradnl" w:eastAsia="es-CL"/>
              </w:rPr>
              <w:t>Subtítulo 34</w:t>
            </w:r>
            <w:r>
              <w:rPr>
                <w:b w:val="0"/>
                <w:color w:val="000000"/>
                <w:kern w:val="24"/>
                <w:sz w:val="18"/>
                <w:szCs w:val="18"/>
                <w:u w:color="000000"/>
                <w:bdr w:val="nil"/>
                <w:lang w:val="es-ES_tradnl" w:eastAsia="es-CL"/>
              </w:rPr>
              <w:t>)</w:t>
            </w:r>
          </w:p>
        </w:tc>
        <w:tc>
          <w:tcPr>
            <w:tcW w:w="1204"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64.620</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1.839.011</w:t>
            </w:r>
          </w:p>
        </w:tc>
        <w:tc>
          <w:tcPr>
            <w:tcW w:w="180"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 </w:t>
            </w:r>
          </w:p>
        </w:tc>
        <w:tc>
          <w:tcPr>
            <w:tcW w:w="1137"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1.774.391</w:t>
            </w:r>
          </w:p>
        </w:tc>
        <w:tc>
          <w:tcPr>
            <w:tcW w:w="759"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2745,9%</w:t>
            </w:r>
          </w:p>
        </w:tc>
      </w:tr>
      <w:tr>
        <w:tblPrEx>
          <w:tblCellMar>
            <w:top w:w="0" w:type="dxa"/>
            <w:left w:w="0" w:type="dxa"/>
            <w:bottom w:w="0" w:type="dxa"/>
            <w:right w:w="0" w:type="dxa"/>
          </w:tblCellMar>
        </w:tblPrEx>
        <w:trPr>
          <w:trHeight w:val="500"/>
          <w:jc w:val="center"/>
        </w:trPr>
        <w:tc>
          <w:tcPr>
            <w:tcW w:w="3857" w:type="dxa"/>
            <w:tcBorders>
              <w:top w:val="single" w:sz="8" w:space="0" w:color="FFFFFF"/>
              <w:left w:val="single" w:sz="8" w:space="0" w:color="FFFFFF"/>
              <w:bottom w:val="single" w:sz="8" w:space="0" w:color="FFFFFF"/>
              <w:right w:val="single" w:sz="8" w:space="0" w:color="FFFFFF"/>
            </w:tcBorders>
            <w:shd w:val="clear" w:color="auto" w:fill="B9CDE5"/>
            <w:tcMar>
              <w:top w:w="80" w:type="dxa"/>
              <w:left w:w="80" w:type="dxa"/>
              <w:bottom w:w="80" w:type="dxa"/>
              <w:right w:w="80" w:type="dxa"/>
            </w:tcMar>
            <w:vAlign w:val="center"/>
          </w:tcPr>
          <w:p>
            <w:pPr>
              <w:pBdr>
                <w:top w:val="nil"/>
                <w:left w:val="nil"/>
                <w:bottom w:val="nil"/>
                <w:right w:val="nil"/>
                <w:between w:val="nil"/>
                <w:bar w:val="nil"/>
              </w:pBdr>
              <w:tabs>
                <w:tab w:val="clear" w:pos="2835"/>
              </w:tabs>
              <w:jc w:val="left"/>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 xml:space="preserve">Gasto neto </w:t>
            </w:r>
            <w:r>
              <w:rPr>
                <w:b w:val="0"/>
                <w:color w:val="000000"/>
                <w:kern w:val="24"/>
                <w:sz w:val="18"/>
                <w:szCs w:val="18"/>
                <w:u w:color="000000"/>
                <w:bdr w:val="nil"/>
                <w:lang w:val="es-ES_tradnl" w:eastAsia="es-CL"/>
              </w:rPr>
              <w:t>(*)</w:t>
            </w:r>
          </w:p>
        </w:tc>
        <w:tc>
          <w:tcPr>
            <w:tcW w:w="1204" w:type="dxa"/>
            <w:tcBorders>
              <w:top w:val="single" w:sz="8" w:space="0" w:color="FFFFFF"/>
              <w:left w:val="single" w:sz="8" w:space="0" w:color="FFFFFF"/>
              <w:bottom w:val="single" w:sz="8" w:space="0" w:color="FFFFFF"/>
              <w:right w:val="single" w:sz="8" w:space="0" w:color="FFFFFF"/>
            </w:tcBorders>
            <w:shd w:val="clear" w:color="auto" w:fill="B9CDE5"/>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2.918.368</w:t>
            </w:r>
          </w:p>
        </w:tc>
        <w:tc>
          <w:tcPr>
            <w:tcW w:w="1134" w:type="dxa"/>
            <w:tcBorders>
              <w:top w:val="single" w:sz="8" w:space="0" w:color="FFFFFF"/>
              <w:left w:val="single" w:sz="8" w:space="0" w:color="FFFFFF"/>
              <w:bottom w:val="single" w:sz="8" w:space="0" w:color="FFFFFF"/>
              <w:right w:val="single" w:sz="8" w:space="0" w:color="FFFFFF"/>
            </w:tcBorders>
            <w:shd w:val="clear" w:color="auto" w:fill="B9CDE5"/>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2.396.538</w:t>
            </w:r>
          </w:p>
        </w:tc>
        <w:tc>
          <w:tcPr>
            <w:tcW w:w="180"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 </w:t>
            </w:r>
          </w:p>
        </w:tc>
        <w:tc>
          <w:tcPr>
            <w:tcW w:w="1137" w:type="dxa"/>
            <w:tcBorders>
              <w:top w:val="single" w:sz="8" w:space="0" w:color="FFFFFF"/>
              <w:left w:val="single" w:sz="8" w:space="0" w:color="FFFFFF"/>
              <w:bottom w:val="single" w:sz="8" w:space="0" w:color="FFFFFF"/>
              <w:right w:val="single" w:sz="8" w:space="0" w:color="FFFFFF"/>
            </w:tcBorders>
            <w:shd w:val="clear" w:color="auto" w:fill="B9CDE5"/>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-521.840</w:t>
            </w:r>
          </w:p>
        </w:tc>
        <w:tc>
          <w:tcPr>
            <w:tcW w:w="759" w:type="dxa"/>
            <w:tcBorders>
              <w:top w:val="single" w:sz="8" w:space="0" w:color="FFFFFF"/>
              <w:left w:val="single" w:sz="8" w:space="0" w:color="FFFFFF"/>
              <w:bottom w:val="single" w:sz="8" w:space="0" w:color="FFFFFF"/>
              <w:right w:val="single" w:sz="8" w:space="0" w:color="FFFFFF"/>
            </w:tcBorders>
            <w:shd w:val="clear" w:color="auto" w:fill="B9CDE5"/>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-17,9%</w:t>
            </w:r>
          </w:p>
        </w:tc>
      </w:tr>
    </w:tbl>
    <w:p>
      <w:pPr>
        <w:widowControl w:val="0"/>
        <w:pBdr>
          <w:top w:val="nil"/>
          <w:left w:val="nil"/>
          <w:bottom w:val="nil"/>
          <w:right w:val="nil"/>
          <w:between w:val="nil"/>
          <w:bar w:val="nil"/>
        </w:pBdr>
        <w:jc w:val="center"/>
        <w:rPr>
          <w:rFonts w:eastAsia="Arial"/>
          <w:bCs/>
          <w:color w:val="000000"/>
          <w:u w:color="000000"/>
          <w:bdr w:val="nil"/>
          <w:lang w:val="es-ES_tradnl" w:eastAsia="es-CL"/>
        </w:rPr>
      </w:pPr>
    </w:p>
    <w:p>
      <w:pPr>
        <w:pBdr>
          <w:top w:val="nil"/>
          <w:left w:val="nil"/>
          <w:bottom w:val="nil"/>
          <w:right w:val="nil"/>
          <w:between w:val="nil"/>
          <w:bar w:val="nil"/>
        </w:pBdr>
        <w:rPr>
          <w:rFonts w:eastAsia="Arial"/>
          <w:bCs/>
          <w:color w:val="000000"/>
          <w:u w:color="000000"/>
          <w:bdr w:val="nil"/>
          <w:lang w:val="es-ES_tradnl" w:eastAsia="es-CL"/>
        </w:rPr>
      </w:pPr>
      <w:r>
        <w:rPr>
          <w:rFonts w:eastAsia="Arial Unicode MS" w:cs="Arial Unicode MS"/>
          <w:bCs/>
          <w:color w:val="000000"/>
          <w:u w:color="000000"/>
          <w:bdr w:val="nil"/>
          <w:lang w:val="es-ES_tradnl" w:eastAsia="es-CL"/>
        </w:rPr>
        <w:t>(*) Gasto de Estado de Operaciones = GASTOS-(Subt.25+30+32+34+35) + Ítem25.01+Intereses y Otros Gastos Financieros de Deuda</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A este respecto, realizó las explicaciones que a continuación se expresan en lo referente a la aludida variación presupuestaria, respecto de cada uno de los Subtítulos del programa.</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 xml:space="preserve">- </w:t>
      </w:r>
      <w:r>
        <w:rPr>
          <w:rFonts w:eastAsia="Arial Unicode MS" w:cs="Arial Unicode MS"/>
          <w:bCs/>
          <w:color w:val="000000"/>
          <w:u w:color="000000"/>
          <w:bdr w:val="nil"/>
          <w:lang w:val="es-ES_tradnl" w:eastAsia="es-CL"/>
        </w:rPr>
        <w:t>Subtítulo 21: Gasto en Personal</w:t>
      </w:r>
      <w:r>
        <w:rPr>
          <w:rFonts w:eastAsia="Arial Unicode MS" w:cs="Arial Unicode MS"/>
          <w:b w:val="0"/>
          <w:color w:val="000000"/>
          <w:u w:color="000000"/>
          <w:bdr w:val="nil"/>
          <w:lang w:val="es-ES_tradnl" w:eastAsia="es-CL"/>
        </w:rPr>
        <w:t>: disminuye debido a la reducción de 12 profesionales, en tanto el programa entra a su etapa de operación plena.</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 xml:space="preserve">- </w:t>
      </w:r>
      <w:r>
        <w:rPr>
          <w:rFonts w:eastAsia="Arial Unicode MS" w:cs="Arial Unicode MS"/>
          <w:bCs/>
          <w:color w:val="000000"/>
          <w:u w:color="000000"/>
          <w:bdr w:val="nil"/>
          <w:lang w:val="es-ES_tradnl" w:eastAsia="es-CL"/>
        </w:rPr>
        <w:t>Subtítulo 22: Bienes y Servicios de Consumo</w:t>
      </w:r>
      <w:r>
        <w:rPr>
          <w:rFonts w:eastAsia="Arial Unicode MS" w:cs="Arial Unicode MS"/>
          <w:b w:val="0"/>
          <w:color w:val="000000"/>
          <w:u w:color="000000"/>
          <w:bdr w:val="nil"/>
          <w:lang w:val="es-ES_tradnl" w:eastAsia="es-CL"/>
        </w:rPr>
        <w:t>: a contar del 2017, los recursos solicitados corresponden a la continuidad operativa básica del sistema (servicios de soporte, mantención y operación de todos sus módulos).</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 xml:space="preserve">- </w:t>
      </w:r>
      <w:r>
        <w:rPr>
          <w:rFonts w:eastAsia="Arial Unicode MS" w:cs="Arial Unicode MS"/>
          <w:bCs/>
          <w:color w:val="000000"/>
          <w:u w:color="000000"/>
          <w:bdr w:val="nil"/>
          <w:lang w:val="es-ES_tradnl" w:eastAsia="es-CL"/>
        </w:rPr>
        <w:t xml:space="preserve">Subtítulo 24 Transferencias Corrientes: </w:t>
      </w:r>
      <w:r>
        <w:rPr>
          <w:rFonts w:eastAsia="Arial Unicode MS" w:cs="Arial Unicode MS"/>
          <w:b w:val="0"/>
          <w:color w:val="000000"/>
          <w:u w:color="000000"/>
          <w:bdr w:val="nil"/>
          <w:lang w:val="es-ES_tradnl" w:eastAsia="es-CL"/>
        </w:rPr>
        <w:t>el aumento dice relación con los recursos que se proyectan transferir a la Corporación Chilena del Cobre (COCHILCO) y al Servicio Nacional de Pesca y Acuicultura (SERNAPESCA), para la integración de sus plataformas al sistema, contando con una disponibilidad de 24x7 del Servicio.</w:t>
      </w:r>
      <w:r>
        <w:rPr>
          <w:rFonts w:eastAsia="Arial Unicode MS" w:cs="Arial Unicode MS"/>
          <w:bCs/>
          <w:color w:val="000000"/>
          <w:u w:color="000000"/>
          <w:bdr w:val="nil"/>
          <w:lang w:val="es-ES_tradnl" w:eastAsia="es-CL"/>
        </w:rPr>
        <w:t xml:space="preserve"> </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 xml:space="preserve">- </w:t>
      </w:r>
      <w:r>
        <w:rPr>
          <w:rFonts w:eastAsia="Arial Unicode MS" w:cs="Arial Unicode MS"/>
          <w:bCs/>
          <w:color w:val="000000"/>
          <w:u w:color="000000"/>
          <w:bdr w:val="nil"/>
          <w:lang w:val="es-ES_tradnl" w:eastAsia="es-CL"/>
        </w:rPr>
        <w:t xml:space="preserve">Subtítulo 29: Adquisición de activos no financieros: </w:t>
      </w:r>
      <w:r>
        <w:rPr>
          <w:rFonts w:eastAsia="Arial Unicode MS" w:cs="Arial Unicode MS"/>
          <w:b w:val="0"/>
          <w:color w:val="000000"/>
          <w:u w:color="000000"/>
          <w:bdr w:val="nil"/>
          <w:lang w:val="es-ES_tradnl" w:eastAsia="es-CL"/>
        </w:rPr>
        <w:t>la disminución en un 100% de este Subtítulo obedece a la conclusión de la fase de desarrollo, en el año 2016, de inversiones informáticas, por lo que no se requiere de las mismas para 2017.</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 xml:space="preserve">- </w:t>
      </w:r>
      <w:r>
        <w:rPr>
          <w:rFonts w:eastAsia="Arial Unicode MS" w:cs="Arial Unicode MS"/>
          <w:bCs/>
          <w:color w:val="000000"/>
          <w:u w:color="000000"/>
          <w:bdr w:val="nil"/>
          <w:lang w:val="es-ES_tradnl" w:eastAsia="es-CL"/>
        </w:rPr>
        <w:t>Subtítulo 34: Servicio de la Deuda</w:t>
      </w:r>
      <w:r>
        <w:rPr>
          <w:rFonts w:eastAsia="Arial Unicode MS" w:cs="Arial Unicode MS"/>
          <w:b w:val="0"/>
          <w:color w:val="000000"/>
          <w:u w:color="000000"/>
          <w:bdr w:val="nil"/>
          <w:lang w:val="es-ES_tradnl" w:eastAsia="es-CL"/>
        </w:rPr>
        <w:t>: el alto incremento se debe al inicio del pago del crédito al BID (el cual se extenderá desde el año 2017 al año 2019), el cual brindó los recursos necesarios para el despliegue del programa en comento.</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Por último, indicó las metas estratégicas del programa que dirige para el año 2017.</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 xml:space="preserve">- </w:t>
      </w:r>
      <w:r>
        <w:rPr>
          <w:rFonts w:eastAsia="Arial Unicode MS" w:cs="Arial Unicode MS"/>
          <w:bCs/>
          <w:color w:val="000000"/>
          <w:u w:color="000000"/>
          <w:bdr w:val="nil"/>
          <w:lang w:val="es-ES_tradnl" w:eastAsia="es-CL"/>
        </w:rPr>
        <w:t xml:space="preserve">Masificación de SICEX como canal prioritario para exportar e importar: </w:t>
      </w:r>
      <w:r>
        <w:rPr>
          <w:rFonts w:eastAsia="Arial Unicode MS" w:cs="Arial Unicode MS"/>
          <w:b w:val="0"/>
          <w:color w:val="000000"/>
          <w:u w:color="000000"/>
          <w:bdr w:val="nil"/>
          <w:lang w:val="es-ES_tradnl" w:eastAsia="es-CL"/>
        </w:rPr>
        <w:t>fomentando el aumento del uso de SICEX, extendiéndose a un número cada vez mayor de usuarios (agentes de aduanas y exportadores), a través de una campaña de difusión e incorporando mejoras al proceso aduanero sólo a través de SICEX, en un trabajo conjunto con el Servicio Nacional de Aduanas.</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 xml:space="preserve">- </w:t>
      </w:r>
      <w:r>
        <w:rPr>
          <w:rFonts w:eastAsia="Arial Unicode MS" w:cs="Arial Unicode MS"/>
          <w:bCs/>
          <w:color w:val="000000"/>
          <w:u w:color="000000"/>
          <w:bdr w:val="nil"/>
          <w:lang w:val="es-ES_tradnl" w:eastAsia="es-CL"/>
        </w:rPr>
        <w:t>Red de Ventanillas Únicas de la Alianza del Pacífico</w:t>
      </w:r>
      <w:r>
        <w:rPr>
          <w:rFonts w:eastAsia="Arial Unicode MS" w:cs="Arial Unicode MS"/>
          <w:b w:val="0"/>
          <w:color w:val="000000"/>
          <w:u w:color="000000"/>
          <w:bdr w:val="nil"/>
          <w:lang w:val="es-ES_tradnl" w:eastAsia="es-CL"/>
        </w:rPr>
        <w:t>: durante el 2017 se continuará el trabajo con Perú, México, Colombia para que, además del certificado fitosanitario, nuevos documentos sean intercambiados electrónicamente a través de las ventanillas de los países (certificado de origen y datos de declaración aduanera).</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Cs/>
          <w:color w:val="000000"/>
          <w:u w:color="000000"/>
          <w:bdr w:val="nil"/>
          <w:lang w:val="es-ES_tradnl" w:eastAsia="es-CL"/>
        </w:rPr>
      </w:pPr>
      <w:r>
        <w:rPr>
          <w:rFonts w:eastAsia="Arial"/>
          <w:b w:val="0"/>
          <w:color w:val="000000"/>
          <w:u w:color="000000"/>
          <w:bdr w:val="nil"/>
          <w:lang w:val="es-ES_tradnl" w:eastAsia="es-CL"/>
        </w:rPr>
        <w:tab/>
      </w:r>
      <w:r>
        <w:rPr>
          <w:rFonts w:eastAsia="Arial Unicode MS" w:cs="Arial Unicode MS"/>
          <w:bCs/>
          <w:color w:val="000000"/>
          <w:u w:color="000000"/>
          <w:bdr w:val="nil"/>
          <w:lang w:val="es-ES_tradnl" w:eastAsia="es-CL"/>
        </w:rPr>
        <w:t>Luego de la exposición antes descrita, los Honorables señores Senadores y Diputados efectuaron las siguientes preguntas.</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w:b w:val="0"/>
          <w:color w:val="000000"/>
          <w:u w:color="000000"/>
          <w:bdr w:val="nil"/>
          <w:lang w:val="es-ES_tradnl" w:eastAsia="es-CL"/>
        </w:rPr>
        <w:tab/>
      </w:r>
      <w:r>
        <w:rPr>
          <w:rFonts w:eastAsia="Arial Unicode MS" w:cs="Arial Unicode MS"/>
          <w:bCs/>
          <w:color w:val="000000"/>
          <w:u w:color="000000"/>
          <w:bdr w:val="nil"/>
          <w:lang w:val="es-ES_tradnl" w:eastAsia="es-CL"/>
        </w:rPr>
        <w:t>El Honorable Diputado señor Silva</w:t>
      </w:r>
      <w:r>
        <w:rPr>
          <w:rFonts w:eastAsia="Arial Unicode MS" w:cs="Arial Unicode MS"/>
          <w:b w:val="0"/>
          <w:color w:val="000000"/>
          <w:u w:color="000000"/>
          <w:bdr w:val="nil"/>
          <w:lang w:val="es-ES_tradnl" w:eastAsia="es-CL"/>
        </w:rPr>
        <w:t>, consultó por el desarrollo de los objetivos concretos que SICEX pretende alcanzar.</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w:b w:val="0"/>
          <w:color w:val="000000"/>
          <w:u w:color="000000"/>
          <w:bdr w:val="nil"/>
          <w:lang w:val="es-ES_tradnl" w:eastAsia="es-CL"/>
        </w:rPr>
        <w:tab/>
      </w:r>
      <w:r>
        <w:rPr>
          <w:rFonts w:eastAsia="Arial Unicode MS" w:cs="Arial Unicode MS"/>
          <w:bCs/>
          <w:color w:val="000000"/>
          <w:u w:color="000000"/>
          <w:bdr w:val="nil"/>
          <w:lang w:val="es-ES_tradnl" w:eastAsia="es-CL"/>
        </w:rPr>
        <w:t>La Directora del Sistema Integrado de Comercio Exterior (SICEX), señora Bárbara Matamala</w:t>
      </w:r>
      <w:r>
        <w:rPr>
          <w:rFonts w:eastAsia="Arial Unicode MS" w:cs="Arial Unicode MS"/>
          <w:b w:val="0"/>
          <w:color w:val="000000"/>
          <w:u w:color="000000"/>
          <w:bdr w:val="nil"/>
          <w:lang w:val="es-ES_tradnl" w:eastAsia="es-CL"/>
        </w:rPr>
        <w:t>, respondiendo a la pregunta formulada por el Honorable Diputado señor Silva, indicó que existe una planificación que persigue la consecución de objetivos a través de los siguientes indicadores: el número de transacciones (se comenzó en un principio sólo con importaciones y luego se añadieron las exportaciones), en donde se consideran los porcentajes sobre el número de exportaciones, sobre el valor FOB</w:t>
      </w:r>
      <w:r>
        <w:rPr>
          <w:rFonts w:eastAsia="Arial"/>
          <w:b w:val="0"/>
          <w:color w:val="000000"/>
          <w:u w:color="000000"/>
          <w:bdr w:val="nil"/>
          <w:vertAlign w:val="superscript"/>
          <w:lang w:val="es-ES_tradnl" w:eastAsia="es-CL"/>
        </w:rPr>
        <w:footnoteReference w:id="1"/>
      </w:r>
      <w:r>
        <w:rPr>
          <w:rFonts w:eastAsia="Arial Unicode MS" w:cs="Arial Unicode MS"/>
          <w:b w:val="0"/>
          <w:color w:val="000000"/>
          <w:u w:color="000000"/>
          <w:bdr w:val="nil"/>
          <w:lang w:val="es-ES_tradnl" w:eastAsia="es-CL"/>
        </w:rPr>
        <w:t xml:space="preserve"> en dólares de estas últimas y otro sobre la cantidad de empresas exportadoras. En este punto, señaló que se espera llegar a un 35-40% al mes de diciembre del año en curso, para luego arribar hasta un 90% a lo largo de un año (de septiembre de 2016 a septiembre de 2017).</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w:b w:val="0"/>
          <w:color w:val="000000"/>
          <w:u w:color="000000"/>
          <w:bdr w:val="nil"/>
          <w:lang w:val="es-ES_tradnl" w:eastAsia="es-CL"/>
        </w:rPr>
        <w:tab/>
      </w:r>
      <w:r>
        <w:rPr>
          <w:rFonts w:eastAsia="Arial Unicode MS" w:cs="Arial Unicode MS"/>
          <w:bCs/>
          <w:color w:val="000000"/>
          <w:u w:color="000000"/>
          <w:bdr w:val="nil"/>
          <w:lang w:val="es-ES_tradnl" w:eastAsia="es-CL"/>
        </w:rPr>
        <w:t>El Honorable Diputado señor Silva</w:t>
      </w:r>
      <w:r>
        <w:rPr>
          <w:rFonts w:eastAsia="Arial Unicode MS" w:cs="Arial Unicode MS"/>
          <w:b w:val="0"/>
          <w:color w:val="000000"/>
          <w:u w:color="000000"/>
          <w:bdr w:val="nil"/>
          <w:lang w:val="es-ES_tradnl" w:eastAsia="es-CL"/>
        </w:rPr>
        <w:t>, preguntó acerca del estado actual del programa.</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w:b w:val="0"/>
          <w:color w:val="000000"/>
          <w:u w:color="000000"/>
          <w:bdr w:val="nil"/>
          <w:lang w:val="es-ES_tradnl" w:eastAsia="es-CL"/>
        </w:rPr>
        <w:tab/>
      </w:r>
      <w:r>
        <w:rPr>
          <w:rFonts w:eastAsia="Arial Unicode MS" w:cs="Arial Unicode MS"/>
          <w:bCs/>
          <w:color w:val="000000"/>
          <w:u w:color="000000"/>
          <w:bdr w:val="nil"/>
          <w:lang w:val="es-ES_tradnl" w:eastAsia="es-CL"/>
        </w:rPr>
        <w:t>La Directora del Sistema Integrado de Comercio Exterior (SICEX), señora Bárbara Matamala</w:t>
      </w:r>
      <w:r>
        <w:rPr>
          <w:rFonts w:eastAsia="Arial Unicode MS" w:cs="Arial Unicode MS"/>
          <w:b w:val="0"/>
          <w:color w:val="000000"/>
          <w:u w:color="000000"/>
          <w:bdr w:val="nil"/>
          <w:lang w:val="es-ES_tradnl" w:eastAsia="es-CL"/>
        </w:rPr>
        <w:t>, expresó que la plataforma se encuentra desarrollada, desde abril del presente año, acciones tendientes a incorporar a los agentes de aduana (principal cliente) en aquélla. Así, expresó que un 40% de estos últimos se encuentran habilitados para operar digital y tecnológicamente en tal plataforma, de los cuales la mitad ya han realizado operaciones o transacciones en el sistema, las que han abarcado puertos terrestres, marítimos y aéreos y respecto a mercancías como frutas, vinos y materias forestales, a las cuales se pretenden incorporar el cobre y pescados.</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w:b w:val="0"/>
          <w:color w:val="000000"/>
          <w:u w:color="000000"/>
          <w:bdr w:val="nil"/>
          <w:lang w:val="es-ES_tradnl" w:eastAsia="es-CL"/>
        </w:rPr>
        <w:tab/>
      </w:r>
      <w:r>
        <w:rPr>
          <w:rFonts w:eastAsia="Arial"/>
          <w:b w:val="0"/>
          <w:color w:val="000000"/>
          <w:u w:color="000000"/>
          <w:bdr w:val="nil"/>
          <w:lang w:val="es-ES_tradnl" w:eastAsia="es-CL"/>
        </w:rPr>
        <w:tab/>
      </w:r>
      <w:r>
        <w:rPr>
          <w:rFonts w:eastAsia="Arial Unicode MS" w:cs="Arial Unicode MS"/>
          <w:bCs/>
          <w:color w:val="000000"/>
          <w:u w:color="000000"/>
          <w:bdr w:val="nil"/>
          <w:lang w:val="es-ES_tradnl" w:eastAsia="es-CL"/>
        </w:rPr>
        <w:t>El Honorable Diputado señor Silva</w:t>
      </w:r>
      <w:r>
        <w:rPr>
          <w:rFonts w:eastAsia="Arial Unicode MS" w:cs="Arial Unicode MS"/>
          <w:b w:val="0"/>
          <w:color w:val="000000"/>
          <w:u w:color="000000"/>
          <w:bdr w:val="nil"/>
          <w:lang w:val="es-ES_tradnl" w:eastAsia="es-CL"/>
        </w:rPr>
        <w:t>, consultó por el impacto concreto del programa, en términos de ganancias para el comercio exterior.</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w:b w:val="0"/>
          <w:color w:val="000000"/>
          <w:u w:color="000000"/>
          <w:bdr w:val="nil"/>
          <w:lang w:val="es-ES_tradnl" w:eastAsia="es-CL"/>
        </w:rPr>
        <w:tab/>
      </w:r>
      <w:r>
        <w:rPr>
          <w:rFonts w:eastAsia="Arial Unicode MS" w:cs="Arial Unicode MS"/>
          <w:bCs/>
          <w:color w:val="000000"/>
          <w:u w:color="000000"/>
          <w:bdr w:val="nil"/>
          <w:lang w:val="es-ES_tradnl" w:eastAsia="es-CL"/>
        </w:rPr>
        <w:t>La Directora del Sistema Integrado de Comercio Exterior (SICEX), señora Bárbara Matamala</w:t>
      </w:r>
      <w:r>
        <w:rPr>
          <w:rFonts w:eastAsia="Arial Unicode MS" w:cs="Arial Unicode MS"/>
          <w:b w:val="0"/>
          <w:color w:val="000000"/>
          <w:u w:color="000000"/>
          <w:bdr w:val="nil"/>
          <w:lang w:val="es-ES_tradnl" w:eastAsia="es-CL"/>
        </w:rPr>
        <w:t>, manifestó que si bien la plataforma pretende impulsar la productividad del país, ella pretende generar ahorro de costos en dinero y tiempo para los operadores del sistema.</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w:b w:val="0"/>
          <w:color w:val="000000"/>
          <w:u w:color="000000"/>
          <w:bdr w:val="nil"/>
          <w:lang w:val="es-ES_tradnl" w:eastAsia="es-CL"/>
        </w:rPr>
        <w:tab/>
      </w:r>
      <w:r>
        <w:rPr>
          <w:rFonts w:eastAsia="Arial Unicode MS" w:cs="Arial Unicode MS"/>
          <w:bCs/>
          <w:color w:val="000000"/>
          <w:u w:color="000000"/>
          <w:bdr w:val="nil"/>
          <w:lang w:val="es-ES_tradnl" w:eastAsia="es-CL"/>
        </w:rPr>
        <w:t>El Honorable Diputado señor Silva</w:t>
      </w:r>
      <w:r>
        <w:rPr>
          <w:rFonts w:eastAsia="Arial Unicode MS" w:cs="Arial Unicode MS"/>
          <w:b w:val="0"/>
          <w:color w:val="000000"/>
          <w:u w:color="000000"/>
          <w:bdr w:val="nil"/>
          <w:lang w:val="es-ES_tradnl" w:eastAsia="es-CL"/>
        </w:rPr>
        <w:t>, en conformidad a lo anterior, solicitó una minuta que, precisamente, informe acerca del ahorro de costos en dinero y tiempo en los agentes económicos del comercio exterior.</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w:b w:val="0"/>
          <w:color w:val="000000"/>
          <w:u w:color="000000"/>
          <w:bdr w:val="nil"/>
          <w:lang w:val="es-ES_tradnl" w:eastAsia="es-CL"/>
        </w:rPr>
        <w:tab/>
      </w:r>
      <w:r>
        <w:rPr>
          <w:rFonts w:eastAsia="Arial Unicode MS" w:cs="Arial Unicode MS"/>
          <w:bCs/>
          <w:color w:val="000000"/>
          <w:u w:color="000000"/>
          <w:bdr w:val="nil"/>
          <w:lang w:val="es-ES_tradnl" w:eastAsia="es-CL"/>
        </w:rPr>
        <w:t>El Presidente de la Subcomisión, Honorable Diputado señor De Mussy</w:t>
      </w:r>
      <w:r>
        <w:rPr>
          <w:rFonts w:eastAsia="Arial Unicode MS" w:cs="Arial Unicode MS"/>
          <w:b w:val="0"/>
          <w:color w:val="000000"/>
          <w:u w:color="000000"/>
          <w:bdr w:val="nil"/>
          <w:lang w:val="es-ES_tradnl" w:eastAsia="es-CL"/>
        </w:rPr>
        <w:t>, solicitó precisar el incremento (de un 41,2%) del Subtítulo 22.</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Asimismo, consultó qué finalidad persiguen, en concreto, las transferencias corrientes que se efectuarán tanto a COCHILCO como a SERNAPESCA.</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w:b w:val="0"/>
          <w:color w:val="000000"/>
          <w:u w:color="000000"/>
          <w:bdr w:val="nil"/>
          <w:lang w:val="es-ES_tradnl" w:eastAsia="es-CL"/>
        </w:rPr>
        <w:tab/>
      </w:r>
      <w:r>
        <w:rPr>
          <w:rFonts w:eastAsia="Arial Unicode MS" w:cs="Arial Unicode MS"/>
          <w:bCs/>
          <w:color w:val="000000"/>
          <w:u w:color="000000"/>
          <w:bdr w:val="nil"/>
          <w:lang w:val="es-ES_tradnl" w:eastAsia="es-CL"/>
        </w:rPr>
        <w:t>La Directora del Sistema Integrado de Comercio Exterior (SICEX), señora Bárbara Matamala</w:t>
      </w:r>
      <w:r>
        <w:rPr>
          <w:rFonts w:eastAsia="Arial Unicode MS" w:cs="Arial Unicode MS"/>
          <w:b w:val="0"/>
          <w:color w:val="000000"/>
          <w:u w:color="000000"/>
          <w:bdr w:val="nil"/>
          <w:lang w:val="es-ES_tradnl" w:eastAsia="es-CL"/>
        </w:rPr>
        <w:t>, respondiendo a la primera consulta, del Diputado señor De Mussy,  señaló que dicho incremento responde al soporte que se debe efectuar al sistema, en tanto entrar el mismo a su fase de operación plena, y a su mantención en caso de existir modificaciones legales que impliquen cambios en los procesos.</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A su vez, en lo referente a la segunda pregunta, expresó que si bien tales organismos cuentan con plataformas tecnológicas, no presentan la suficiente capacidad para procesar aumentos en el número de operaciones, lo cual, al ser SICEX una red interoperable, podría afectar a todo el sistema.</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Por ello, agregó, es que al momento de efectuarse la transferencia respectiva, se suscribe un convenio entre SICEX y el respectivo organismo, en donde se establece que los montos entregados sólo se destinarán a tal efecto, para lo cual aquéllos, a través del sistema de contratación pública, deberán adquirir los servicios de una empresa informática que amplíe las capacidades operativas de sus plataformas.</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 xml:space="preserve">Por otra parte, y antes de entrar en la discusión y análisis del próximo programa, se hace presente que el </w:t>
      </w:r>
      <w:r>
        <w:rPr>
          <w:rFonts w:eastAsia="Arial Unicode MS" w:cs="Arial Unicode MS"/>
          <w:bCs/>
          <w:color w:val="000000"/>
          <w:u w:color="000000"/>
          <w:bdr w:val="nil"/>
          <w:lang w:val="es-ES_tradnl" w:eastAsia="es-CL"/>
        </w:rPr>
        <w:t>Honorable Diputado señor Silva</w:t>
      </w:r>
      <w:r>
        <w:rPr>
          <w:rFonts w:eastAsia="Arial Unicode MS" w:cs="Arial Unicode MS"/>
          <w:b w:val="0"/>
          <w:color w:val="000000"/>
          <w:u w:color="000000"/>
          <w:bdr w:val="nil"/>
          <w:lang w:val="es-ES_tradnl" w:eastAsia="es-CL"/>
        </w:rPr>
        <w:t>, solicitó una minuta en la que se informen los factores que explican la rotación en la dotación efectiva del personal.</w:t>
      </w:r>
    </w:p>
    <w:p>
      <w:pPr>
        <w:rPr>
          <w:b w:val="0"/>
          <w:lang w:val="es-ES_tradnl"/>
        </w:rPr>
      </w:pPr>
    </w:p>
    <w:p>
      <w:pPr>
        <w:rPr>
          <w:b w:val="0"/>
          <w:lang w:val="es-ES_tradnl"/>
        </w:rPr>
      </w:pPr>
    </w:p>
    <w:p>
      <w:pPr>
        <w:rPr>
          <w:lang w:val="es-ES_tradnl"/>
        </w:rPr>
      </w:pPr>
      <w:r>
        <w:rPr>
          <w:lang w:val="es-ES_tradnl"/>
        </w:rPr>
        <w:tab/>
        <w:t>Sometido a votación el Capítulo 01, Programa 07, fue aprobado sin enmiendas por la unanimidad de los miembros presentes de la Subcomisión, Honorable Diputado señor De Mussy (Presidente), Honorables Senadores señores Coloma y Tuma, y Honorables Diputados señores Schilling y Silva.</w:t>
      </w:r>
    </w:p>
    <w:p>
      <w:pPr>
        <w:rPr>
          <w:b w:val="0"/>
          <w:lang w:val="es-ES_tradnl"/>
        </w:rPr>
      </w:pPr>
    </w:p>
    <w:p>
      <w:pPr>
        <w:rPr>
          <w:b w:val="0"/>
          <w:lang w:val="es-ES_tradnl"/>
        </w:rPr>
      </w:pPr>
    </w:p>
    <w:p>
      <w:pPr>
        <w:rPr>
          <w:b w:val="0"/>
          <w:lang w:val="es-ES_tradnl"/>
        </w:rPr>
      </w:pPr>
    </w:p>
    <w:p/>
    <w:p/>
    <w:p>
      <w:pPr>
        <w:jc w:val="center"/>
      </w:pPr>
      <w:r>
        <w:t>Programa 08</w:t>
      </w:r>
    </w:p>
    <w:p>
      <w:pPr>
        <w:jc w:val="center"/>
      </w:pPr>
      <w:r>
        <w:t>Programa de Modernización Sector Público</w:t>
      </w:r>
    </w:p>
    <w:p/>
    <w:p>
      <w:r>
        <w:tab/>
        <w:t>Considera ingresos y gastos por $ 8.444.254 miles.</w:t>
      </w:r>
    </w:p>
    <w:p>
      <w:pPr>
        <w:rPr>
          <w:b w:val="0"/>
        </w:rPr>
      </w:pPr>
    </w:p>
    <w:p>
      <w:pPr>
        <w:rPr>
          <w:b w:val="0"/>
        </w:rPr>
      </w:pPr>
    </w:p>
    <w:p>
      <w:pPr>
        <w:rPr>
          <w:b w:val="0"/>
        </w:rPr>
      </w:pPr>
      <w:r>
        <w:rPr>
          <w:b w:val="0"/>
        </w:rPr>
        <w:tab/>
        <w:t>El monto de recursos asignados a este Programa por la Ley de Presupuestos vigente alcanza a $ 5.634.242 miles, lo que implica una variación de 49,9%.</w:t>
      </w:r>
    </w:p>
    <w:p>
      <w:pPr>
        <w:rPr>
          <w:b w:val="0"/>
        </w:rPr>
      </w:pPr>
    </w:p>
    <w:p>
      <w:pPr>
        <w:rPr>
          <w:b w:val="0"/>
        </w:rPr>
      </w:pPr>
    </w:p>
    <w:p>
      <w:pPr>
        <w:rPr>
          <w:rFonts w:eastAsia="Arial"/>
          <w:b w:val="0"/>
          <w:color w:val="000000"/>
          <w:u w:color="000000"/>
          <w:bdr w:val="nil"/>
          <w:lang w:val="es-ES_tradnl" w:eastAsia="es-CL"/>
        </w:rPr>
      </w:pPr>
      <w:r>
        <w:rPr>
          <w:b w:val="0"/>
        </w:rPr>
        <w:tab/>
      </w:r>
      <w:r>
        <w:rPr>
          <w:rFonts w:eastAsia="Arial Unicode MS" w:cs="Arial Unicode MS"/>
          <w:bCs/>
          <w:color w:val="000000"/>
          <w:u w:color="000000"/>
          <w:bdr w:val="nil"/>
          <w:lang w:val="es-ES_tradnl" w:eastAsia="es-CL"/>
        </w:rPr>
        <w:t>El Director del Programa de Modernización del Sector Público, señor José Inostroza</w:t>
      </w:r>
      <w:r>
        <w:rPr>
          <w:rFonts w:eastAsia="Arial Unicode MS" w:cs="Arial Unicode MS"/>
          <w:b w:val="0"/>
          <w:color w:val="000000"/>
          <w:u w:color="000000"/>
          <w:bdr w:val="nil"/>
          <w:lang w:val="es-ES_tradnl" w:eastAsia="es-CL"/>
        </w:rPr>
        <w:t>, comenzó su presentación describiendo los lineamientos estratégicos del programa que dirige.</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w:bCs/>
          <w:color w:val="000000"/>
          <w:u w:color="000000"/>
          <w:bdr w:val="nil"/>
          <w:lang w:val="es-ES_tradnl" w:eastAsia="es-CL"/>
        </w:rPr>
        <w:tab/>
      </w:r>
      <w:r>
        <w:rPr>
          <w:rFonts w:eastAsia="Arial Unicode MS" w:cs="Arial Unicode MS"/>
          <w:b w:val="0"/>
          <w:color w:val="000000"/>
          <w:u w:color="000000"/>
          <w:bdr w:val="nil"/>
          <w:lang w:val="es-ES_tradnl" w:eastAsia="es-CL"/>
        </w:rPr>
        <w:t xml:space="preserve">- </w:t>
      </w:r>
      <w:r>
        <w:rPr>
          <w:rFonts w:eastAsia="Arial Unicode MS" w:cs="Arial Unicode MS"/>
          <w:bCs/>
          <w:color w:val="000000"/>
          <w:u w:color="000000"/>
          <w:bdr w:val="nil"/>
          <w:lang w:val="es-ES_tradnl" w:eastAsia="es-CL"/>
        </w:rPr>
        <w:t>OBJETIVO GENERAL</w:t>
      </w:r>
      <w:r>
        <w:rPr>
          <w:rFonts w:eastAsia="Arial Unicode MS" w:cs="Arial Unicode MS"/>
          <w:b w:val="0"/>
          <w:color w:val="000000"/>
          <w:u w:color="000000"/>
          <w:bdr w:val="nil"/>
          <w:lang w:val="es-ES_tradnl" w:eastAsia="es-CL"/>
        </w:rPr>
        <w:t>: contribuir a la satisfacción usuaria con los servicios públicos.</w:t>
      </w:r>
    </w:p>
    <w:p>
      <w:pPr>
        <w:pBdr>
          <w:top w:val="nil"/>
          <w:left w:val="nil"/>
          <w:bottom w:val="nil"/>
          <w:right w:val="nil"/>
          <w:between w:val="nil"/>
          <w:bar w:val="nil"/>
        </w:pBdr>
        <w:rPr>
          <w:rFonts w:eastAsia="Arial"/>
          <w:bCs/>
          <w:color w:val="000000"/>
          <w:u w:color="000000"/>
          <w:bdr w:val="nil"/>
          <w:lang w:val="es-ES_tradnl" w:eastAsia="es-CL"/>
        </w:rPr>
      </w:pPr>
    </w:p>
    <w:p>
      <w:pPr>
        <w:pBdr>
          <w:top w:val="nil"/>
          <w:left w:val="nil"/>
          <w:bottom w:val="nil"/>
          <w:right w:val="nil"/>
          <w:between w:val="nil"/>
          <w:bar w:val="nil"/>
        </w:pBdr>
        <w:rPr>
          <w:rFonts w:eastAsia="Arial"/>
          <w:bCs/>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w:bCs/>
          <w:color w:val="000000"/>
          <w:u w:color="000000"/>
          <w:bdr w:val="nil"/>
          <w:lang w:val="es-ES_tradnl" w:eastAsia="es-CL"/>
        </w:rPr>
        <w:tab/>
      </w:r>
      <w:r>
        <w:rPr>
          <w:rFonts w:eastAsia="Arial Unicode MS" w:cs="Arial Unicode MS"/>
          <w:b w:val="0"/>
          <w:color w:val="000000"/>
          <w:u w:color="000000"/>
          <w:bdr w:val="nil"/>
          <w:lang w:val="es-ES_tradnl" w:eastAsia="es-CL"/>
        </w:rPr>
        <w:t xml:space="preserve">- </w:t>
      </w:r>
      <w:r>
        <w:rPr>
          <w:rFonts w:eastAsia="Arial Unicode MS" w:cs="Arial Unicode MS"/>
          <w:bCs/>
          <w:color w:val="000000"/>
          <w:u w:color="000000"/>
          <w:bdr w:val="nil"/>
          <w:lang w:val="es-ES_tradnl" w:eastAsia="es-CL"/>
        </w:rPr>
        <w:t xml:space="preserve">OBJETIVO ESPECÍFICO: </w:t>
      </w:r>
      <w:r>
        <w:rPr>
          <w:rFonts w:eastAsia="Arial Unicode MS" w:cs="Arial Unicode MS"/>
          <w:b w:val="0"/>
          <w:color w:val="000000"/>
          <w:u w:color="000000"/>
          <w:bdr w:val="nil"/>
          <w:lang w:val="es-ES_tradnl" w:eastAsia="es-CL"/>
        </w:rPr>
        <w:t>mejorar la efectividad y eficiencia de las entidades públicas.</w:t>
      </w:r>
    </w:p>
    <w:p>
      <w:pPr>
        <w:pBdr>
          <w:top w:val="nil"/>
          <w:left w:val="nil"/>
          <w:bottom w:val="nil"/>
          <w:right w:val="nil"/>
          <w:between w:val="nil"/>
          <w:bar w:val="nil"/>
        </w:pBdr>
        <w:rPr>
          <w:rFonts w:eastAsia="Arial"/>
          <w:bCs/>
          <w:color w:val="000000"/>
          <w:u w:color="000000"/>
          <w:bdr w:val="nil"/>
          <w:lang w:val="es-ES_tradnl" w:eastAsia="es-CL"/>
        </w:rPr>
      </w:pPr>
    </w:p>
    <w:p>
      <w:pPr>
        <w:pBdr>
          <w:top w:val="nil"/>
          <w:left w:val="nil"/>
          <w:bottom w:val="nil"/>
          <w:right w:val="nil"/>
          <w:between w:val="nil"/>
          <w:bar w:val="nil"/>
        </w:pBdr>
        <w:rPr>
          <w:rFonts w:eastAsia="Arial"/>
          <w:bCs/>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w:bCs/>
          <w:color w:val="000000"/>
          <w:u w:color="000000"/>
          <w:bdr w:val="nil"/>
          <w:lang w:val="es-ES_tradnl" w:eastAsia="es-CL"/>
        </w:rPr>
        <w:tab/>
      </w:r>
      <w:r>
        <w:rPr>
          <w:rFonts w:eastAsia="Arial Unicode MS" w:cs="Arial Unicode MS"/>
          <w:b w:val="0"/>
          <w:color w:val="000000"/>
          <w:u w:color="000000"/>
          <w:bdr w:val="nil"/>
          <w:lang w:val="es-ES_tradnl" w:eastAsia="es-CL"/>
        </w:rPr>
        <w:t xml:space="preserve">- </w:t>
      </w:r>
      <w:r>
        <w:rPr>
          <w:rFonts w:eastAsia="Arial Unicode MS" w:cs="Arial Unicode MS"/>
          <w:bCs/>
          <w:color w:val="000000"/>
          <w:u w:color="000000"/>
          <w:bdr w:val="nil"/>
          <w:lang w:val="es-ES_tradnl" w:eastAsia="es-CL"/>
        </w:rPr>
        <w:t>LÍNEAS DE ACCIÓN/VALOR AGREGADO</w:t>
      </w:r>
      <w:r>
        <w:rPr>
          <w:rFonts w:eastAsia="Arial Unicode MS" w:cs="Arial Unicode MS"/>
          <w:b w:val="0"/>
          <w:color w:val="000000"/>
          <w:u w:color="000000"/>
          <w:bdr w:val="nil"/>
          <w:lang w:val="es-ES_tradnl" w:eastAsia="es-CL"/>
        </w:rPr>
        <w:t>: i) diagnósticos robustos de problemas (desarrollados en 5 o 6 meses) y capacidades de gestión, especificación de causas y efectos de las problemáticas; ii) formulación, aprobación, control de gestión, apoyo y asistencia técnica en la ejecución de proyectos y iii) gestión del conocimiento (concentración de ingenierías de información y tecnológicas) y evaluación, a fin de proveer de tales  insumos a aquellas instituciones públicas que presentan complejidades en este ámbito.</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Unicode MS" w:cs="Arial Unicode MS"/>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Posteriormente, a través de la lámina que a continuación se presenta, expresó que ella representa una imagen del sistema proactive, el cual muestra el avance y estado de los diferentes proyectos a cargo del programa, portal al cual, en aproximadamente dos meses más, la ciudadanía podrá libremente ingresar a sus contenidos.</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w:b w:val="0"/>
          <w:noProof/>
          <w:color w:val="000000"/>
          <w:u w:color="000000"/>
          <w:bdr w:val="nil"/>
          <w:lang w:eastAsia="es-CL"/>
        </w:rPr>
        <w:pict>
          <v:shape id="_x0000_i1029" type="#_x0000_t75" style="width:413.15pt;height:229.4pt;visibility:visible">
            <v:imagedata r:id="rId12" o:title=""/>
          </v:shape>
        </w:pict>
      </w:r>
    </w:p>
    <w:p>
      <w:pPr>
        <w:pBdr>
          <w:top w:val="nil"/>
          <w:left w:val="nil"/>
          <w:bottom w:val="nil"/>
          <w:right w:val="nil"/>
          <w:between w:val="nil"/>
          <w:bar w:val="nil"/>
        </w:pBdr>
        <w:rPr>
          <w:rFonts w:eastAsia="Arial"/>
          <w:bCs/>
          <w:color w:val="000000"/>
          <w:u w:color="000000"/>
          <w:bdr w:val="nil"/>
          <w:lang w:val="es-ES_tradnl" w:eastAsia="es-CL"/>
        </w:rPr>
      </w:pPr>
    </w:p>
    <w:p>
      <w:pPr>
        <w:pBdr>
          <w:top w:val="nil"/>
          <w:left w:val="nil"/>
          <w:bottom w:val="nil"/>
          <w:right w:val="nil"/>
          <w:between w:val="nil"/>
          <w:bar w:val="nil"/>
        </w:pBdr>
        <w:rPr>
          <w:rFonts w:eastAsia="Arial"/>
          <w:bCs/>
          <w:color w:val="000000"/>
          <w:u w:color="000000"/>
          <w:bdr w:val="nil"/>
          <w:lang w:val="es-ES_tradnl" w:eastAsia="es-CL"/>
        </w:rPr>
      </w:pPr>
      <w:r>
        <w:rPr>
          <w:rFonts w:eastAsia="Arial"/>
          <w:bCs/>
          <w:color w:val="000000"/>
          <w:u w:color="000000"/>
          <w:bdr w:val="nil"/>
          <w:lang w:val="es-ES_tradnl" w:eastAsia="es-CL"/>
        </w:rPr>
        <w:tab/>
        <w:t>En seguida, presentó una lámina con las cifras comparadas entre el presupuesto del año 2016 y el del 2017, con las variaciones porcentuales:</w:t>
      </w:r>
    </w:p>
    <w:p>
      <w:pPr>
        <w:pBdr>
          <w:top w:val="nil"/>
          <w:left w:val="nil"/>
          <w:bottom w:val="nil"/>
          <w:right w:val="nil"/>
          <w:between w:val="nil"/>
          <w:bar w:val="nil"/>
        </w:pBdr>
        <w:rPr>
          <w:rFonts w:eastAsia="Arial"/>
          <w:bCs/>
          <w:color w:val="000000"/>
          <w:u w:color="000000"/>
          <w:bdr w:val="nil"/>
          <w:lang w:val="es-ES_tradnl" w:eastAsia="es-CL"/>
        </w:rPr>
      </w:pPr>
    </w:p>
    <w:p>
      <w:pPr>
        <w:pBdr>
          <w:top w:val="nil"/>
          <w:left w:val="nil"/>
          <w:bottom w:val="nil"/>
          <w:right w:val="nil"/>
          <w:between w:val="nil"/>
          <w:bar w:val="nil"/>
        </w:pBdr>
        <w:jc w:val="center"/>
        <w:rPr>
          <w:rFonts w:eastAsia="Arial"/>
          <w:b w:val="0"/>
          <w:color w:val="000000"/>
          <w:u w:color="000000"/>
          <w:bdr w:val="nil"/>
          <w:lang w:val="es-ES_tradnl" w:eastAsia="es-CL"/>
        </w:rPr>
      </w:pPr>
      <w:r>
        <w:rPr>
          <w:rFonts w:eastAsia="Arial"/>
          <w:bCs/>
          <w:color w:val="000000"/>
          <w:u w:color="000000"/>
          <w:bdr w:val="nil"/>
          <w:lang w:val="es-ES_tradnl" w:eastAsia="es-CL"/>
        </w:rPr>
        <w:t>Proyecto Presupuesto 2017 – Cifras comparadas 2016/2017</w:t>
      </w:r>
    </w:p>
    <w:tbl>
      <w:tblPr>
        <w:tblW w:w="9627" w:type="dxa"/>
        <w:jc w:val="center"/>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4502"/>
        <w:gridCol w:w="1403"/>
        <w:gridCol w:w="1338"/>
        <w:gridCol w:w="180"/>
        <w:gridCol w:w="1088"/>
        <w:gridCol w:w="1116"/>
      </w:tblGrid>
      <w:tr>
        <w:tblPrEx>
          <w:tblCellMar>
            <w:top w:w="0" w:type="dxa"/>
            <w:left w:w="0" w:type="dxa"/>
            <w:bottom w:w="0" w:type="dxa"/>
            <w:right w:w="0" w:type="dxa"/>
          </w:tblCellMar>
        </w:tblPrEx>
        <w:trPr>
          <w:trHeight w:val="318"/>
          <w:jc w:val="center"/>
        </w:trPr>
        <w:tc>
          <w:tcPr>
            <w:tcW w:w="4512" w:type="dxa"/>
            <w:tcBorders>
              <w:top w:val="nil"/>
              <w:left w:val="nil"/>
              <w:bottom w:val="nil"/>
              <w:right w:val="single" w:sz="8" w:space="0" w:color="FFFFFF"/>
            </w:tcBorders>
            <w:shd w:val="clear" w:color="auto" w:fill="B9CDE5"/>
            <w:tcMar>
              <w:top w:w="80" w:type="dxa"/>
              <w:left w:w="80" w:type="dxa"/>
              <w:bottom w:w="80" w:type="dxa"/>
              <w:right w:w="80" w:type="dxa"/>
            </w:tcMar>
            <w:vAlign w:val="center"/>
          </w:tcPr>
          <w:p>
            <w:pPr>
              <w:pBdr>
                <w:top w:val="nil"/>
                <w:left w:val="nil"/>
                <w:bottom w:val="nil"/>
                <w:right w:val="nil"/>
                <w:between w:val="nil"/>
                <w:bar w:val="nil"/>
              </w:pBdr>
              <w:tabs>
                <w:tab w:val="clear" w:pos="2835"/>
              </w:tabs>
              <w:jc w:val="left"/>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CAPÍTULO 01 - Programa 08</w:t>
            </w:r>
          </w:p>
        </w:tc>
        <w:tc>
          <w:tcPr>
            <w:tcW w:w="2747" w:type="dxa"/>
            <w:gridSpan w:val="2"/>
            <w:tcBorders>
              <w:top w:val="single" w:sz="8" w:space="0" w:color="FFFFFF"/>
              <w:left w:val="single" w:sz="8" w:space="0" w:color="FFFFFF"/>
              <w:bottom w:val="single" w:sz="8" w:space="0" w:color="FFFFFF"/>
              <w:right w:val="single" w:sz="8" w:space="0" w:color="FFFFFF"/>
            </w:tcBorders>
            <w:shd w:val="clear" w:color="auto" w:fill="B9CDE5"/>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Ley de Presupuesto</w:t>
            </w:r>
          </w:p>
        </w:tc>
        <w:tc>
          <w:tcPr>
            <w:tcW w:w="160"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 </w:t>
            </w:r>
          </w:p>
        </w:tc>
        <w:tc>
          <w:tcPr>
            <w:tcW w:w="2208" w:type="dxa"/>
            <w:gridSpan w:val="2"/>
            <w:tcBorders>
              <w:top w:val="single" w:sz="8" w:space="0" w:color="FFFFFF"/>
              <w:left w:val="single" w:sz="8" w:space="0" w:color="FFFFFF"/>
              <w:bottom w:val="single" w:sz="8" w:space="0" w:color="FFFFFF"/>
              <w:right w:val="single" w:sz="8" w:space="0" w:color="FFFFFF"/>
            </w:tcBorders>
            <w:shd w:val="clear" w:color="auto" w:fill="B9CDE5"/>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Variación</w:t>
            </w:r>
          </w:p>
        </w:tc>
      </w:tr>
      <w:tr>
        <w:tblPrEx>
          <w:tblCellMar>
            <w:top w:w="0" w:type="dxa"/>
            <w:left w:w="0" w:type="dxa"/>
            <w:bottom w:w="0" w:type="dxa"/>
            <w:right w:w="0" w:type="dxa"/>
          </w:tblCellMar>
        </w:tblPrEx>
        <w:trPr>
          <w:trHeight w:val="500"/>
          <w:jc w:val="center"/>
        </w:trPr>
        <w:tc>
          <w:tcPr>
            <w:tcW w:w="4512" w:type="dxa"/>
            <w:vMerge w:val="restart"/>
            <w:tcBorders>
              <w:top w:val="nil"/>
              <w:left w:val="nil"/>
              <w:bottom w:val="single" w:sz="8" w:space="0" w:color="FFFFFF"/>
              <w:right w:val="single" w:sz="8" w:space="0" w:color="FFFFFF"/>
            </w:tcBorders>
            <w:shd w:val="clear" w:color="auto" w:fill="B9CDE5"/>
            <w:tcMar>
              <w:top w:w="80" w:type="dxa"/>
              <w:left w:w="80" w:type="dxa"/>
              <w:bottom w:w="80" w:type="dxa"/>
              <w:right w:w="80" w:type="dxa"/>
            </w:tcMar>
            <w:vAlign w:val="center"/>
          </w:tcPr>
          <w:p>
            <w:pPr>
              <w:pBdr>
                <w:top w:val="nil"/>
                <w:left w:val="nil"/>
                <w:bottom w:val="nil"/>
                <w:right w:val="nil"/>
                <w:between w:val="nil"/>
                <w:bar w:val="nil"/>
              </w:pBdr>
              <w:tabs>
                <w:tab w:val="clear" w:pos="2835"/>
              </w:tabs>
              <w:jc w:val="left"/>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PROGRAMA DE MODERNIZACIÓN SECTOR PÚBLICO</w:t>
            </w:r>
          </w:p>
        </w:tc>
        <w:tc>
          <w:tcPr>
            <w:tcW w:w="1406" w:type="dxa"/>
            <w:tcBorders>
              <w:top w:val="single" w:sz="8" w:space="0" w:color="FFFFFF"/>
              <w:left w:val="single" w:sz="8" w:space="0" w:color="FFFFFF"/>
              <w:bottom w:val="nil"/>
              <w:right w:val="single" w:sz="8" w:space="0" w:color="FFFFFF"/>
            </w:tcBorders>
            <w:shd w:val="clear" w:color="auto" w:fill="B9CDE5"/>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Año 2016</w:t>
            </w:r>
          </w:p>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ajustada</w:t>
            </w:r>
          </w:p>
        </w:tc>
        <w:tc>
          <w:tcPr>
            <w:tcW w:w="1340" w:type="dxa"/>
            <w:tcBorders>
              <w:top w:val="single" w:sz="8" w:space="0" w:color="FFFFFF"/>
              <w:left w:val="single" w:sz="8" w:space="0" w:color="FFFFFF"/>
              <w:bottom w:val="nil"/>
              <w:right w:val="single" w:sz="8" w:space="0" w:color="FFFFFF"/>
            </w:tcBorders>
            <w:shd w:val="clear" w:color="auto" w:fill="B9CDE5"/>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Año 2017</w:t>
            </w:r>
          </w:p>
        </w:tc>
        <w:tc>
          <w:tcPr>
            <w:tcW w:w="160"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pPr>
              <w:pBdr>
                <w:top w:val="nil"/>
                <w:left w:val="nil"/>
                <w:bottom w:val="nil"/>
                <w:right w:val="nil"/>
                <w:between w:val="nil"/>
                <w:bar w:val="nil"/>
              </w:pBdr>
              <w:tabs>
                <w:tab w:val="clear" w:pos="2835"/>
              </w:tabs>
              <w:jc w:val="left"/>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 </w:t>
            </w:r>
          </w:p>
        </w:tc>
        <w:tc>
          <w:tcPr>
            <w:tcW w:w="1090" w:type="dxa"/>
            <w:vMerge w:val="restart"/>
            <w:tcBorders>
              <w:top w:val="single" w:sz="8" w:space="0" w:color="FFFFFF"/>
              <w:left w:val="single" w:sz="8" w:space="0" w:color="FFFFFF"/>
              <w:bottom w:val="single" w:sz="8" w:space="0" w:color="FFFFFF"/>
              <w:right w:val="single" w:sz="8" w:space="0" w:color="FFFFFF"/>
            </w:tcBorders>
            <w:shd w:val="clear" w:color="auto" w:fill="B9CDE5"/>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M$</w:t>
            </w:r>
          </w:p>
        </w:tc>
        <w:tc>
          <w:tcPr>
            <w:tcW w:w="1118" w:type="dxa"/>
            <w:vMerge w:val="restart"/>
            <w:tcBorders>
              <w:top w:val="single" w:sz="8" w:space="0" w:color="FFFFFF"/>
              <w:left w:val="single" w:sz="8" w:space="0" w:color="FFFFFF"/>
              <w:bottom w:val="single" w:sz="8" w:space="0" w:color="FFFFFF"/>
              <w:right w:val="single" w:sz="8" w:space="0" w:color="FFFFFF"/>
            </w:tcBorders>
            <w:shd w:val="clear" w:color="auto" w:fill="B9CDE5"/>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w:t>
            </w:r>
          </w:p>
        </w:tc>
      </w:tr>
      <w:tr>
        <w:tblPrEx>
          <w:tblCellMar>
            <w:top w:w="0" w:type="dxa"/>
            <w:left w:w="0" w:type="dxa"/>
            <w:bottom w:w="0" w:type="dxa"/>
            <w:right w:w="0" w:type="dxa"/>
          </w:tblCellMar>
        </w:tblPrEx>
        <w:trPr>
          <w:trHeight w:val="278"/>
          <w:jc w:val="center"/>
        </w:trPr>
        <w:tc>
          <w:tcPr>
            <w:tcW w:w="4512" w:type="dxa"/>
            <w:vMerge/>
            <w:tcBorders>
              <w:top w:val="nil"/>
              <w:left w:val="nil"/>
              <w:bottom w:val="single" w:sz="8" w:space="0" w:color="FFFFFF"/>
              <w:right w:val="single" w:sz="8" w:space="0" w:color="FFFFFF"/>
            </w:tcBorders>
            <w:shd w:val="clear" w:color="auto" w:fill="B9CDE5"/>
          </w:tcPr>
          <w:p>
            <w:pPr>
              <w:pBdr>
                <w:top w:val="nil"/>
                <w:left w:val="nil"/>
                <w:bottom w:val="nil"/>
                <w:right w:val="nil"/>
                <w:between w:val="nil"/>
                <w:bar w:val="nil"/>
              </w:pBdr>
              <w:rPr>
                <w:rFonts w:eastAsia="Arial"/>
                <w:b w:val="0"/>
                <w:color w:val="000000"/>
                <w:sz w:val="18"/>
                <w:szCs w:val="18"/>
                <w:u w:color="000000"/>
                <w:bdr w:val="nil"/>
                <w:lang w:val="es-ES_tradnl" w:eastAsia="es-CL"/>
              </w:rPr>
            </w:pPr>
          </w:p>
        </w:tc>
        <w:tc>
          <w:tcPr>
            <w:tcW w:w="1406" w:type="dxa"/>
            <w:tcBorders>
              <w:top w:val="nil"/>
              <w:left w:val="single" w:sz="8" w:space="0" w:color="FFFFFF"/>
              <w:bottom w:val="single" w:sz="8" w:space="0" w:color="FFFFFF"/>
              <w:right w:val="single" w:sz="8" w:space="0" w:color="FFFFFF"/>
            </w:tcBorders>
            <w:shd w:val="clear" w:color="auto" w:fill="B9CDE5"/>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(M$ 2017)</w:t>
            </w:r>
          </w:p>
        </w:tc>
        <w:tc>
          <w:tcPr>
            <w:tcW w:w="1340" w:type="dxa"/>
            <w:tcBorders>
              <w:top w:val="nil"/>
              <w:left w:val="single" w:sz="8" w:space="0" w:color="FFFFFF"/>
              <w:bottom w:val="single" w:sz="8" w:space="0" w:color="FFFFFF"/>
              <w:right w:val="single" w:sz="8" w:space="0" w:color="FFFFFF"/>
            </w:tcBorders>
            <w:shd w:val="clear" w:color="auto" w:fill="B9CDE5"/>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(M$ 2017)</w:t>
            </w:r>
          </w:p>
        </w:tc>
        <w:tc>
          <w:tcPr>
            <w:tcW w:w="160"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pPr>
              <w:pBdr>
                <w:top w:val="nil"/>
                <w:left w:val="nil"/>
                <w:bottom w:val="nil"/>
                <w:right w:val="nil"/>
                <w:between w:val="nil"/>
                <w:bar w:val="nil"/>
              </w:pBdr>
              <w:tabs>
                <w:tab w:val="clear" w:pos="2835"/>
              </w:tabs>
              <w:jc w:val="left"/>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 </w:t>
            </w:r>
          </w:p>
        </w:tc>
        <w:tc>
          <w:tcPr>
            <w:tcW w:w="1090" w:type="dxa"/>
            <w:vMerge/>
            <w:tcBorders>
              <w:top w:val="single" w:sz="8" w:space="0" w:color="FFFFFF"/>
              <w:left w:val="single" w:sz="8" w:space="0" w:color="FFFFFF"/>
              <w:bottom w:val="single" w:sz="8" w:space="0" w:color="FFFFFF"/>
              <w:right w:val="single" w:sz="8" w:space="0" w:color="FFFFFF"/>
            </w:tcBorders>
            <w:shd w:val="clear" w:color="auto" w:fill="B9CDE5"/>
          </w:tcPr>
          <w:p>
            <w:pPr>
              <w:pBdr>
                <w:top w:val="nil"/>
                <w:left w:val="nil"/>
                <w:bottom w:val="nil"/>
                <w:right w:val="nil"/>
                <w:between w:val="nil"/>
                <w:bar w:val="nil"/>
              </w:pBdr>
              <w:rPr>
                <w:rFonts w:eastAsia="Arial"/>
                <w:b w:val="0"/>
                <w:color w:val="000000"/>
                <w:sz w:val="18"/>
                <w:szCs w:val="18"/>
                <w:u w:color="000000"/>
                <w:bdr w:val="nil"/>
                <w:lang w:val="es-ES_tradnl" w:eastAsia="es-CL"/>
              </w:rPr>
            </w:pPr>
          </w:p>
        </w:tc>
        <w:tc>
          <w:tcPr>
            <w:tcW w:w="1118" w:type="dxa"/>
            <w:vMerge/>
            <w:tcBorders>
              <w:top w:val="single" w:sz="8" w:space="0" w:color="FFFFFF"/>
              <w:left w:val="single" w:sz="8" w:space="0" w:color="FFFFFF"/>
              <w:bottom w:val="single" w:sz="8" w:space="0" w:color="FFFFFF"/>
              <w:right w:val="single" w:sz="8" w:space="0" w:color="FFFFFF"/>
            </w:tcBorders>
            <w:shd w:val="clear" w:color="auto" w:fill="B9CDE5"/>
          </w:tcPr>
          <w:p>
            <w:pPr>
              <w:pBdr>
                <w:top w:val="nil"/>
                <w:left w:val="nil"/>
                <w:bottom w:val="nil"/>
                <w:right w:val="nil"/>
                <w:between w:val="nil"/>
                <w:bar w:val="nil"/>
              </w:pBdr>
              <w:rPr>
                <w:rFonts w:eastAsia="Arial"/>
                <w:b w:val="0"/>
                <w:color w:val="000000"/>
                <w:sz w:val="18"/>
                <w:szCs w:val="18"/>
                <w:u w:color="000000"/>
                <w:bdr w:val="nil"/>
                <w:lang w:val="es-ES_tradnl" w:eastAsia="es-CL"/>
              </w:rPr>
            </w:pPr>
          </w:p>
        </w:tc>
      </w:tr>
      <w:tr>
        <w:tblPrEx>
          <w:tblCellMar>
            <w:top w:w="0" w:type="dxa"/>
            <w:left w:w="0" w:type="dxa"/>
            <w:bottom w:w="0" w:type="dxa"/>
            <w:right w:w="0" w:type="dxa"/>
          </w:tblCellMar>
        </w:tblPrEx>
        <w:trPr>
          <w:trHeight w:val="383"/>
          <w:jc w:val="center"/>
        </w:trPr>
        <w:tc>
          <w:tcPr>
            <w:tcW w:w="4512" w:type="dxa"/>
            <w:tcBorders>
              <w:top w:val="single" w:sz="8" w:space="0" w:color="FFFFFF"/>
              <w:left w:val="single" w:sz="8" w:space="0" w:color="FFFFFF"/>
              <w:bottom w:val="single" w:sz="8" w:space="0" w:color="FFFFFF"/>
              <w:right w:val="single" w:sz="8" w:space="0" w:color="FFFFFF"/>
            </w:tcBorders>
            <w:shd w:val="clear" w:color="auto" w:fill="C6D9F1"/>
            <w:tcMar>
              <w:top w:w="80" w:type="dxa"/>
              <w:left w:w="80" w:type="dxa"/>
              <w:bottom w:w="80" w:type="dxa"/>
              <w:right w:w="80" w:type="dxa"/>
            </w:tcMar>
            <w:vAlign w:val="center"/>
          </w:tcPr>
          <w:p>
            <w:pPr>
              <w:pBdr>
                <w:top w:val="nil"/>
                <w:left w:val="nil"/>
                <w:bottom w:val="nil"/>
                <w:right w:val="nil"/>
                <w:between w:val="nil"/>
                <w:bar w:val="nil"/>
              </w:pBdr>
              <w:tabs>
                <w:tab w:val="clear" w:pos="2835"/>
              </w:tabs>
              <w:jc w:val="left"/>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TOTAL</w:t>
            </w:r>
          </w:p>
        </w:tc>
        <w:tc>
          <w:tcPr>
            <w:tcW w:w="1406" w:type="dxa"/>
            <w:tcBorders>
              <w:top w:val="single" w:sz="8" w:space="0" w:color="FFFFFF"/>
              <w:left w:val="single" w:sz="8" w:space="0" w:color="FFFFFF"/>
              <w:bottom w:val="single" w:sz="8" w:space="0" w:color="FFFFFF"/>
              <w:right w:val="single" w:sz="8" w:space="0" w:color="FFFFFF"/>
            </w:tcBorders>
            <w:shd w:val="clear" w:color="auto" w:fill="C6D9F1"/>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5.634.242</w:t>
            </w:r>
          </w:p>
        </w:tc>
        <w:tc>
          <w:tcPr>
            <w:tcW w:w="1340" w:type="dxa"/>
            <w:tcBorders>
              <w:top w:val="single" w:sz="8" w:space="0" w:color="FFFFFF"/>
              <w:left w:val="single" w:sz="8" w:space="0" w:color="FFFFFF"/>
              <w:bottom w:val="single" w:sz="8" w:space="0" w:color="FFFFFF"/>
              <w:right w:val="single" w:sz="8" w:space="0" w:color="FFFFFF"/>
            </w:tcBorders>
            <w:shd w:val="clear" w:color="auto" w:fill="C6D9F1"/>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8.444.254</w:t>
            </w:r>
          </w:p>
        </w:tc>
        <w:tc>
          <w:tcPr>
            <w:tcW w:w="160"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 </w:t>
            </w:r>
          </w:p>
        </w:tc>
        <w:tc>
          <w:tcPr>
            <w:tcW w:w="1090" w:type="dxa"/>
            <w:tcBorders>
              <w:top w:val="single" w:sz="8" w:space="0" w:color="FFFFFF"/>
              <w:left w:val="single" w:sz="8" w:space="0" w:color="FFFFFF"/>
              <w:bottom w:val="single" w:sz="8" w:space="0" w:color="FFFFFF"/>
              <w:right w:val="single" w:sz="8" w:space="0" w:color="FFFFFF"/>
            </w:tcBorders>
            <w:shd w:val="clear" w:color="auto" w:fill="C6D9F1"/>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2.810.012</w:t>
            </w:r>
          </w:p>
        </w:tc>
        <w:tc>
          <w:tcPr>
            <w:tcW w:w="1118" w:type="dxa"/>
            <w:tcBorders>
              <w:top w:val="single" w:sz="8" w:space="0" w:color="FFFFFF"/>
              <w:left w:val="single" w:sz="8" w:space="0" w:color="FFFFFF"/>
              <w:bottom w:val="single" w:sz="8" w:space="0" w:color="FFFFFF"/>
              <w:right w:val="single" w:sz="8" w:space="0" w:color="FFFFFF"/>
            </w:tcBorders>
            <w:shd w:val="clear" w:color="auto" w:fill="C6D9F1"/>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49,9%</w:t>
            </w:r>
          </w:p>
        </w:tc>
      </w:tr>
      <w:tr>
        <w:tblPrEx>
          <w:tblCellMar>
            <w:top w:w="0" w:type="dxa"/>
            <w:left w:w="0" w:type="dxa"/>
            <w:bottom w:w="0" w:type="dxa"/>
            <w:right w:w="0" w:type="dxa"/>
          </w:tblCellMar>
        </w:tblPrEx>
        <w:trPr>
          <w:trHeight w:val="391"/>
          <w:jc w:val="center"/>
        </w:trPr>
        <w:tc>
          <w:tcPr>
            <w:tcW w:w="4512"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lef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Gasto en Personal  (</w:t>
            </w:r>
            <w:r>
              <w:rPr>
                <w:bCs/>
                <w:color w:val="000000"/>
                <w:kern w:val="24"/>
                <w:sz w:val="18"/>
                <w:szCs w:val="18"/>
                <w:u w:color="000000"/>
                <w:bdr w:val="nil"/>
                <w:lang w:val="es-ES_tradnl" w:eastAsia="es-CL"/>
              </w:rPr>
              <w:t>Subtítulo 21</w:t>
            </w:r>
            <w:r>
              <w:rPr>
                <w:b w:val="0"/>
                <w:color w:val="000000"/>
                <w:kern w:val="24"/>
                <w:sz w:val="18"/>
                <w:szCs w:val="18"/>
                <w:u w:color="000000"/>
                <w:bdr w:val="nil"/>
                <w:lang w:val="es-ES_tradnl" w:eastAsia="es-CL"/>
              </w:rPr>
              <w:t>)</w:t>
            </w:r>
          </w:p>
        </w:tc>
        <w:tc>
          <w:tcPr>
            <w:tcW w:w="1406"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316.177</w:t>
            </w:r>
          </w:p>
        </w:tc>
        <w:tc>
          <w:tcPr>
            <w:tcW w:w="1340"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361.648</w:t>
            </w:r>
          </w:p>
        </w:tc>
        <w:tc>
          <w:tcPr>
            <w:tcW w:w="160"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 </w:t>
            </w:r>
          </w:p>
        </w:tc>
        <w:tc>
          <w:tcPr>
            <w:tcW w:w="1090"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45.471</w:t>
            </w:r>
          </w:p>
        </w:tc>
        <w:tc>
          <w:tcPr>
            <w:tcW w:w="1118"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14,4%</w:t>
            </w:r>
          </w:p>
        </w:tc>
      </w:tr>
      <w:tr>
        <w:tblPrEx>
          <w:tblCellMar>
            <w:top w:w="0" w:type="dxa"/>
            <w:left w:w="0" w:type="dxa"/>
            <w:bottom w:w="0" w:type="dxa"/>
            <w:right w:w="0" w:type="dxa"/>
          </w:tblCellMar>
        </w:tblPrEx>
        <w:trPr>
          <w:trHeight w:val="385"/>
          <w:jc w:val="center"/>
        </w:trPr>
        <w:tc>
          <w:tcPr>
            <w:tcW w:w="4512"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lef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Bienes y Servicios de Consumo  (</w:t>
            </w:r>
            <w:r>
              <w:rPr>
                <w:bCs/>
                <w:color w:val="000000"/>
                <w:kern w:val="24"/>
                <w:sz w:val="18"/>
                <w:szCs w:val="18"/>
                <w:u w:color="000000"/>
                <w:bdr w:val="nil"/>
                <w:lang w:val="es-ES_tradnl" w:eastAsia="es-CL"/>
              </w:rPr>
              <w:t>Subtítulo 22</w:t>
            </w:r>
            <w:r>
              <w:rPr>
                <w:b w:val="0"/>
                <w:color w:val="000000"/>
                <w:kern w:val="24"/>
                <w:sz w:val="18"/>
                <w:szCs w:val="18"/>
                <w:u w:color="000000"/>
                <w:bdr w:val="nil"/>
                <w:lang w:val="es-ES_tradnl" w:eastAsia="es-CL"/>
              </w:rPr>
              <w:t>)</w:t>
            </w:r>
          </w:p>
        </w:tc>
        <w:tc>
          <w:tcPr>
            <w:tcW w:w="1406"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488.817</w:t>
            </w:r>
          </w:p>
        </w:tc>
        <w:tc>
          <w:tcPr>
            <w:tcW w:w="1340"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468.727</w:t>
            </w:r>
          </w:p>
        </w:tc>
        <w:tc>
          <w:tcPr>
            <w:tcW w:w="160"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 </w:t>
            </w:r>
          </w:p>
        </w:tc>
        <w:tc>
          <w:tcPr>
            <w:tcW w:w="1090"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-20.090</w:t>
            </w:r>
          </w:p>
        </w:tc>
        <w:tc>
          <w:tcPr>
            <w:tcW w:w="1118"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-4,1%</w:t>
            </w:r>
          </w:p>
        </w:tc>
      </w:tr>
      <w:tr>
        <w:tblPrEx>
          <w:tblCellMar>
            <w:top w:w="0" w:type="dxa"/>
            <w:left w:w="0" w:type="dxa"/>
            <w:bottom w:w="0" w:type="dxa"/>
            <w:right w:w="0" w:type="dxa"/>
          </w:tblCellMar>
        </w:tblPrEx>
        <w:trPr>
          <w:trHeight w:val="500"/>
          <w:jc w:val="center"/>
        </w:trPr>
        <w:tc>
          <w:tcPr>
            <w:tcW w:w="4512"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lef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 xml:space="preserve">Transferencias Corrientes  </w:t>
            </w:r>
            <w:r>
              <w:rPr>
                <w:bCs/>
                <w:color w:val="000000"/>
                <w:kern w:val="24"/>
                <w:sz w:val="18"/>
                <w:szCs w:val="18"/>
                <w:u w:color="000000"/>
                <w:bdr w:val="nil"/>
                <w:lang w:val="es-ES_tradnl" w:eastAsia="es-CL"/>
              </w:rPr>
              <w:t>(Subtítulo 24)</w:t>
            </w:r>
          </w:p>
        </w:tc>
        <w:tc>
          <w:tcPr>
            <w:tcW w:w="1406"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4.710.072</w:t>
            </w:r>
          </w:p>
        </w:tc>
        <w:tc>
          <w:tcPr>
            <w:tcW w:w="1340"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7.353.301</w:t>
            </w:r>
          </w:p>
        </w:tc>
        <w:tc>
          <w:tcPr>
            <w:tcW w:w="160"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 </w:t>
            </w:r>
          </w:p>
        </w:tc>
        <w:tc>
          <w:tcPr>
            <w:tcW w:w="1090"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2.643.229</w:t>
            </w:r>
          </w:p>
        </w:tc>
        <w:tc>
          <w:tcPr>
            <w:tcW w:w="1118"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56,1%</w:t>
            </w:r>
          </w:p>
        </w:tc>
      </w:tr>
      <w:tr>
        <w:tblPrEx>
          <w:tblCellMar>
            <w:top w:w="0" w:type="dxa"/>
            <w:left w:w="0" w:type="dxa"/>
            <w:bottom w:w="0" w:type="dxa"/>
            <w:right w:w="0" w:type="dxa"/>
          </w:tblCellMar>
        </w:tblPrEx>
        <w:trPr>
          <w:trHeight w:val="500"/>
          <w:jc w:val="center"/>
        </w:trPr>
        <w:tc>
          <w:tcPr>
            <w:tcW w:w="4512"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lef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Adquisición de Activos no financieros  (</w:t>
            </w:r>
            <w:r>
              <w:rPr>
                <w:bCs/>
                <w:color w:val="000000"/>
                <w:kern w:val="24"/>
                <w:sz w:val="18"/>
                <w:szCs w:val="18"/>
                <w:u w:color="000000"/>
                <w:bdr w:val="nil"/>
                <w:lang w:val="es-ES_tradnl" w:eastAsia="es-CL"/>
              </w:rPr>
              <w:t>Subtítulo 29</w:t>
            </w:r>
            <w:r>
              <w:rPr>
                <w:b w:val="0"/>
                <w:color w:val="000000"/>
                <w:kern w:val="24"/>
                <w:sz w:val="18"/>
                <w:szCs w:val="18"/>
                <w:u w:color="000000"/>
                <w:bdr w:val="nil"/>
                <w:lang w:val="es-ES_tradnl" w:eastAsia="es-CL"/>
              </w:rPr>
              <w:t>)</w:t>
            </w:r>
          </w:p>
        </w:tc>
        <w:tc>
          <w:tcPr>
            <w:tcW w:w="1406"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11.089</w:t>
            </w:r>
          </w:p>
        </w:tc>
        <w:tc>
          <w:tcPr>
            <w:tcW w:w="1340"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5.356</w:t>
            </w:r>
          </w:p>
        </w:tc>
        <w:tc>
          <w:tcPr>
            <w:tcW w:w="160"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 </w:t>
            </w:r>
          </w:p>
        </w:tc>
        <w:tc>
          <w:tcPr>
            <w:tcW w:w="1090"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-5.733</w:t>
            </w:r>
          </w:p>
        </w:tc>
        <w:tc>
          <w:tcPr>
            <w:tcW w:w="1118"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-51,7%</w:t>
            </w:r>
          </w:p>
        </w:tc>
      </w:tr>
      <w:tr>
        <w:tblPrEx>
          <w:tblCellMar>
            <w:top w:w="0" w:type="dxa"/>
            <w:left w:w="0" w:type="dxa"/>
            <w:bottom w:w="0" w:type="dxa"/>
            <w:right w:w="0" w:type="dxa"/>
          </w:tblCellMar>
        </w:tblPrEx>
        <w:trPr>
          <w:trHeight w:val="500"/>
          <w:jc w:val="center"/>
        </w:trPr>
        <w:tc>
          <w:tcPr>
            <w:tcW w:w="4512"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lef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Servicio de la Deuda  (</w:t>
            </w:r>
            <w:r>
              <w:rPr>
                <w:bCs/>
                <w:color w:val="000000"/>
                <w:kern w:val="24"/>
                <w:sz w:val="18"/>
                <w:szCs w:val="18"/>
                <w:u w:color="000000"/>
                <w:bdr w:val="nil"/>
                <w:lang w:val="es-ES_tradnl" w:eastAsia="es-CL"/>
              </w:rPr>
              <w:t>Subtítulo 34</w:t>
            </w:r>
            <w:r>
              <w:rPr>
                <w:b w:val="0"/>
                <w:color w:val="000000"/>
                <w:kern w:val="24"/>
                <w:sz w:val="18"/>
                <w:szCs w:val="18"/>
                <w:u w:color="000000"/>
                <w:bdr w:val="nil"/>
                <w:lang w:val="es-ES_tradnl" w:eastAsia="es-CL"/>
              </w:rPr>
              <w:t>)</w:t>
            </w:r>
          </w:p>
        </w:tc>
        <w:tc>
          <w:tcPr>
            <w:tcW w:w="1406"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108.087</w:t>
            </w:r>
          </w:p>
        </w:tc>
        <w:tc>
          <w:tcPr>
            <w:tcW w:w="1340"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255.222</w:t>
            </w:r>
          </w:p>
        </w:tc>
        <w:tc>
          <w:tcPr>
            <w:tcW w:w="160"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 </w:t>
            </w:r>
          </w:p>
        </w:tc>
        <w:tc>
          <w:tcPr>
            <w:tcW w:w="1090"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147.135</w:t>
            </w:r>
          </w:p>
        </w:tc>
        <w:tc>
          <w:tcPr>
            <w:tcW w:w="1118"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136,1%</w:t>
            </w:r>
          </w:p>
        </w:tc>
      </w:tr>
      <w:tr>
        <w:tblPrEx>
          <w:tblCellMar>
            <w:top w:w="0" w:type="dxa"/>
            <w:left w:w="0" w:type="dxa"/>
            <w:bottom w:w="0" w:type="dxa"/>
            <w:right w:w="0" w:type="dxa"/>
          </w:tblCellMar>
        </w:tblPrEx>
        <w:trPr>
          <w:trHeight w:val="500"/>
          <w:jc w:val="center"/>
        </w:trPr>
        <w:tc>
          <w:tcPr>
            <w:tcW w:w="4512" w:type="dxa"/>
            <w:tcBorders>
              <w:top w:val="single" w:sz="8" w:space="0" w:color="FFFFFF"/>
              <w:left w:val="single" w:sz="8" w:space="0" w:color="FFFFFF"/>
              <w:bottom w:val="single" w:sz="8" w:space="0" w:color="FFFFFF"/>
              <w:right w:val="single" w:sz="8" w:space="0" w:color="FFFFFF"/>
            </w:tcBorders>
            <w:shd w:val="clear" w:color="auto" w:fill="B9CDE5"/>
            <w:tcMar>
              <w:top w:w="80" w:type="dxa"/>
              <w:left w:w="80" w:type="dxa"/>
              <w:bottom w:w="80" w:type="dxa"/>
              <w:right w:w="80" w:type="dxa"/>
            </w:tcMar>
            <w:vAlign w:val="center"/>
          </w:tcPr>
          <w:p>
            <w:pPr>
              <w:pBdr>
                <w:top w:val="nil"/>
                <w:left w:val="nil"/>
                <w:bottom w:val="nil"/>
                <w:right w:val="nil"/>
                <w:between w:val="nil"/>
                <w:bar w:val="nil"/>
              </w:pBdr>
              <w:tabs>
                <w:tab w:val="clear" w:pos="2835"/>
              </w:tabs>
              <w:jc w:val="left"/>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 xml:space="preserve">Gasto neto </w:t>
            </w:r>
            <w:r>
              <w:rPr>
                <w:b w:val="0"/>
                <w:color w:val="000000"/>
                <w:kern w:val="24"/>
                <w:sz w:val="18"/>
                <w:szCs w:val="18"/>
                <w:u w:color="000000"/>
                <w:bdr w:val="nil"/>
                <w:lang w:val="es-ES_tradnl" w:eastAsia="es-CL"/>
              </w:rPr>
              <w:t>(*)</w:t>
            </w:r>
          </w:p>
        </w:tc>
        <w:tc>
          <w:tcPr>
            <w:tcW w:w="1406" w:type="dxa"/>
            <w:tcBorders>
              <w:top w:val="single" w:sz="8" w:space="0" w:color="FFFFFF"/>
              <w:left w:val="single" w:sz="8" w:space="0" w:color="FFFFFF"/>
              <w:bottom w:val="single" w:sz="8" w:space="0" w:color="FFFFFF"/>
              <w:right w:val="single" w:sz="8" w:space="0" w:color="FFFFFF"/>
            </w:tcBorders>
            <w:shd w:val="clear" w:color="auto" w:fill="B9CDE5"/>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5.634.232</w:t>
            </w:r>
          </w:p>
        </w:tc>
        <w:tc>
          <w:tcPr>
            <w:tcW w:w="1340" w:type="dxa"/>
            <w:tcBorders>
              <w:top w:val="single" w:sz="8" w:space="0" w:color="FFFFFF"/>
              <w:left w:val="single" w:sz="8" w:space="0" w:color="FFFFFF"/>
              <w:bottom w:val="single" w:sz="8" w:space="0" w:color="FFFFFF"/>
              <w:right w:val="single" w:sz="8" w:space="0" w:color="FFFFFF"/>
            </w:tcBorders>
            <w:shd w:val="clear" w:color="auto" w:fill="B9CDE5"/>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8.444.254</w:t>
            </w:r>
          </w:p>
        </w:tc>
        <w:tc>
          <w:tcPr>
            <w:tcW w:w="160"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 </w:t>
            </w:r>
          </w:p>
        </w:tc>
        <w:tc>
          <w:tcPr>
            <w:tcW w:w="1090" w:type="dxa"/>
            <w:tcBorders>
              <w:top w:val="single" w:sz="8" w:space="0" w:color="FFFFFF"/>
              <w:left w:val="single" w:sz="8" w:space="0" w:color="FFFFFF"/>
              <w:bottom w:val="single" w:sz="8" w:space="0" w:color="FFFFFF"/>
              <w:right w:val="single" w:sz="8" w:space="0" w:color="FFFFFF"/>
            </w:tcBorders>
            <w:shd w:val="clear" w:color="auto" w:fill="B9CDE5"/>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2.810.022</w:t>
            </w:r>
          </w:p>
        </w:tc>
        <w:tc>
          <w:tcPr>
            <w:tcW w:w="1118" w:type="dxa"/>
            <w:tcBorders>
              <w:top w:val="single" w:sz="8" w:space="0" w:color="FFFFFF"/>
              <w:left w:val="single" w:sz="8" w:space="0" w:color="FFFFFF"/>
              <w:bottom w:val="single" w:sz="8" w:space="0" w:color="FFFFFF"/>
              <w:right w:val="single" w:sz="8" w:space="0" w:color="FFFFFF"/>
            </w:tcBorders>
            <w:shd w:val="clear" w:color="auto" w:fill="B9CDE5"/>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49,9%</w:t>
            </w:r>
          </w:p>
        </w:tc>
      </w:tr>
    </w:tbl>
    <w:p>
      <w:pPr>
        <w:pBdr>
          <w:top w:val="nil"/>
          <w:left w:val="nil"/>
          <w:bottom w:val="nil"/>
          <w:right w:val="nil"/>
          <w:between w:val="nil"/>
          <w:bar w:val="nil"/>
        </w:pBdr>
        <w:rPr>
          <w:rFonts w:eastAsia="Arial"/>
          <w:bCs/>
          <w:color w:val="000000"/>
          <w:u w:color="000000"/>
          <w:bdr w:val="nil"/>
          <w:lang w:val="es-ES_tradnl" w:eastAsia="es-CL"/>
        </w:rPr>
      </w:pPr>
      <w:r>
        <w:rPr>
          <w:rFonts w:eastAsia="Arial Unicode MS" w:cs="Arial Unicode MS"/>
          <w:bCs/>
          <w:color w:val="000000"/>
          <w:u w:color="000000"/>
          <w:bdr w:val="nil"/>
          <w:lang w:val="es-ES_tradnl" w:eastAsia="es-CL"/>
        </w:rPr>
        <w:t>(*) Gasto de Estado de Operaciones = GASTOS-(Subt.25+30+32+34+35) + Ítem25.01+Intereses y Otros Gastos Financieros de Deuda</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En este punto, señaló que el aumento presupuestario del programa obedece mayormente al incremento experimentado por el Subtítulo 24 (56,1%). Lo anterior, agregó, se debe a dos razones, la primera, que muchos de los proyectos se encuentran en su fase de maduración (lo que conlleva mayor aporte de recursos a medida que el mismo se va  desarrollando) y por la entrada de nuevos proyectos (el programa comenzó con el SERNAC, el INE y  ChileCompras, a los cuales se han agregado la Dirección del Trabajo, Superintendencia de Seguridad Social y Chile Atiende.</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Posteriormente, efectuó las siguientes observaciones acerca de la variación presupuestaria de cada uno de los Subtítulos del programa.</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 xml:space="preserve">- </w:t>
      </w:r>
      <w:r>
        <w:rPr>
          <w:rFonts w:eastAsia="Arial Unicode MS" w:cs="Arial Unicode MS"/>
          <w:bCs/>
          <w:color w:val="000000"/>
          <w:u w:color="000000"/>
          <w:bdr w:val="nil"/>
          <w:lang w:val="es-ES_tradnl" w:eastAsia="es-CL"/>
        </w:rPr>
        <w:t>Subtítulo 21: Gasto en Personal</w:t>
      </w:r>
      <w:r>
        <w:rPr>
          <w:rFonts w:eastAsia="Arial Unicode MS" w:cs="Arial Unicode MS"/>
          <w:b w:val="0"/>
          <w:color w:val="000000"/>
          <w:u w:color="000000"/>
          <w:bdr w:val="nil"/>
          <w:lang w:val="es-ES_tradnl" w:eastAsia="es-CL"/>
        </w:rPr>
        <w:t xml:space="preserve">: incremento en un 14,4% por la incorporación de un </w:t>
      </w:r>
      <w:r>
        <w:rPr>
          <w:rFonts w:eastAsia="Arial Unicode MS" w:cs="Arial Unicode MS"/>
          <w:bCs/>
          <w:color w:val="000000"/>
          <w:u w:color="000000"/>
          <w:bdr w:val="nil"/>
          <w:lang w:val="es-ES_tradnl" w:eastAsia="es-CL"/>
        </w:rPr>
        <w:t xml:space="preserve">Ingeniero Especialista en Arquitecturas Tecnológicas </w:t>
      </w:r>
      <w:r>
        <w:rPr>
          <w:rFonts w:eastAsia="Arial Unicode MS" w:cs="Arial Unicode MS"/>
          <w:b w:val="0"/>
          <w:color w:val="000000"/>
          <w:u w:color="000000"/>
          <w:bdr w:val="nil"/>
          <w:lang w:val="es-ES_tradnl" w:eastAsia="es-CL"/>
        </w:rPr>
        <w:t>para la asesoría del programa y de todos los proyectos, los que crecen en un 56,1%.</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Unicode MS" w:cs="Arial Unicode MS"/>
          <w:b w:val="0"/>
          <w:color w:val="000000"/>
          <w:u w:color="000000"/>
          <w:bdr w:val="nil"/>
          <w:lang w:val="es-ES_tradnl" w:eastAsia="es-CL"/>
        </w:rPr>
      </w:pPr>
      <w:r>
        <w:rPr>
          <w:rFonts w:eastAsia="Arial Unicode MS" w:cs="Arial Unicode MS"/>
          <w:b w:val="0"/>
          <w:color w:val="000000"/>
          <w:u w:color="000000"/>
          <w:bdr w:val="nil"/>
          <w:lang w:val="es-ES_tradnl" w:eastAsia="es-CL"/>
        </w:rPr>
        <w:tab/>
        <w:t xml:space="preserve">- </w:t>
      </w:r>
      <w:r>
        <w:rPr>
          <w:rFonts w:eastAsia="Arial Unicode MS" w:cs="Arial Unicode MS"/>
          <w:bCs/>
          <w:color w:val="000000"/>
          <w:u w:color="000000"/>
          <w:bdr w:val="nil"/>
          <w:lang w:val="es-ES_tradnl" w:eastAsia="es-CL"/>
        </w:rPr>
        <w:t>Subtítulo 22: Bienes y Servicios de Consumo</w:t>
      </w:r>
      <w:r>
        <w:rPr>
          <w:rFonts w:eastAsia="Arial Unicode MS" w:cs="Arial Unicode MS"/>
          <w:b w:val="0"/>
          <w:color w:val="000000"/>
          <w:u w:color="000000"/>
          <w:bdr w:val="nil"/>
          <w:lang w:val="es-ES_tradnl" w:eastAsia="es-CL"/>
        </w:rPr>
        <w:t>: la disminución de un 4,1% considera los siguientes aspectos:</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r>
      <w:r>
        <w:rPr>
          <w:rFonts w:eastAsia="Arial Unicode MS" w:cs="Arial Unicode MS"/>
          <w:b w:val="0"/>
          <w:color w:val="000000"/>
          <w:u w:color="000000"/>
          <w:bdr w:val="nil"/>
          <w:lang w:val="es-ES_tradnl" w:eastAsia="es-CL"/>
        </w:rPr>
        <w:tab/>
        <w:t>- Consultorías en la formulación de proyectos (diagnósticos + diseño en detalle + valorización), contemplándose de 2 a 4 de estos últimos, de naturaleza relevante, para el inicio de su implementación el 2018.</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r>
      <w:r>
        <w:rPr>
          <w:rFonts w:eastAsia="Arial Unicode MS" w:cs="Arial Unicode MS"/>
          <w:b w:val="0"/>
          <w:color w:val="000000"/>
          <w:u w:color="000000"/>
          <w:bdr w:val="nil"/>
          <w:lang w:val="es-ES_tradnl" w:eastAsia="es-CL"/>
        </w:rPr>
        <w:tab/>
        <w:t>- Estudios asociados al fortalecimiento de sistemas o proyectos de impacto transversal (acuerdo OCDE apoyo a Gobierno digital).</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r>
      <w:r>
        <w:rPr>
          <w:rFonts w:eastAsia="Arial Unicode MS" w:cs="Arial Unicode MS"/>
          <w:b w:val="0"/>
          <w:color w:val="000000"/>
          <w:u w:color="000000"/>
          <w:bdr w:val="nil"/>
          <w:lang w:val="es-ES_tradnl" w:eastAsia="es-CL"/>
        </w:rPr>
        <w:tab/>
        <w:t xml:space="preserve">- Levantamiento de una segunda medición de satisfacción de usuarios en 5 instituciones. </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 xml:space="preserve">- </w:t>
      </w:r>
      <w:r>
        <w:rPr>
          <w:rFonts w:eastAsia="Arial Unicode MS" w:cs="Arial Unicode MS"/>
          <w:bCs/>
          <w:color w:val="000000"/>
          <w:u w:color="000000"/>
          <w:bdr w:val="nil"/>
          <w:lang w:val="es-ES_tradnl" w:eastAsia="es-CL"/>
        </w:rPr>
        <w:t>Subtítulo 24: Transferencias Corrientes</w:t>
      </w:r>
      <w:r>
        <w:rPr>
          <w:rFonts w:eastAsia="Arial Unicode MS" w:cs="Arial Unicode MS"/>
          <w:b w:val="0"/>
          <w:color w:val="000000"/>
          <w:u w:color="000000"/>
          <w:bdr w:val="nil"/>
          <w:lang w:val="es-ES_tradnl" w:eastAsia="es-CL"/>
        </w:rPr>
        <w:t>: el aumento de un 56,1% corresponde a:</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r>
      <w:r>
        <w:rPr>
          <w:rFonts w:eastAsia="Arial Unicode MS" w:cs="Arial Unicode MS"/>
          <w:b w:val="0"/>
          <w:color w:val="000000"/>
          <w:u w:color="000000"/>
          <w:bdr w:val="nil"/>
          <w:lang w:val="es-ES_tradnl" w:eastAsia="es-CL"/>
        </w:rPr>
        <w:tab/>
        <w:t>- Financiamiento de nuevos proyectos (SUSESO, Dirección del Trabajo y SEGPRES-ChileAtiende Digital) más los incorporados el año 2015 (INE, SERNAC, Chilecompra).</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r>
      <w:r>
        <w:rPr>
          <w:rFonts w:eastAsia="Arial Unicode MS" w:cs="Arial Unicode MS"/>
          <w:b w:val="0"/>
          <w:color w:val="000000"/>
          <w:u w:color="000000"/>
          <w:bdr w:val="nil"/>
          <w:lang w:val="es-ES_tradnl" w:eastAsia="es-CL"/>
        </w:rPr>
        <w:tab/>
        <w:t>- Cooperación técnica OECD para la implementación de la agencia de Gobierno Digital.</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 xml:space="preserve">- </w:t>
      </w:r>
      <w:r>
        <w:rPr>
          <w:rFonts w:eastAsia="Arial Unicode MS" w:cs="Arial Unicode MS"/>
          <w:bCs/>
          <w:color w:val="000000"/>
          <w:u w:color="000000"/>
          <w:bdr w:val="nil"/>
          <w:lang w:val="es-ES_tradnl" w:eastAsia="es-CL"/>
        </w:rPr>
        <w:t>Subtítulo 29: Adquisición de activos no financieros</w:t>
      </w:r>
      <w:r>
        <w:rPr>
          <w:rFonts w:eastAsia="Arial Unicode MS" w:cs="Arial Unicode MS"/>
          <w:b w:val="0"/>
          <w:color w:val="000000"/>
          <w:u w:color="000000"/>
          <w:bdr w:val="nil"/>
          <w:lang w:val="es-ES_tradnl" w:eastAsia="es-CL"/>
        </w:rPr>
        <w:t xml:space="preserve">: la disminución de un 51,7% obedece a que el año 2016 se finalizó la habilitación de espacios de trabajo y compra de equipos para la Unidad Coordinadora. </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 xml:space="preserve">- </w:t>
      </w:r>
      <w:r>
        <w:rPr>
          <w:rFonts w:eastAsia="Arial Unicode MS" w:cs="Arial Unicode MS"/>
          <w:bCs/>
          <w:color w:val="000000"/>
          <w:u w:color="000000"/>
          <w:bdr w:val="nil"/>
          <w:lang w:val="es-ES_tradnl" w:eastAsia="es-CL"/>
        </w:rPr>
        <w:t>Subtítulo 34: Servicio de la Deuda</w:t>
      </w:r>
      <w:r>
        <w:rPr>
          <w:rFonts w:eastAsia="Arial Unicode MS" w:cs="Arial Unicode MS"/>
          <w:b w:val="0"/>
          <w:color w:val="000000"/>
          <w:u w:color="000000"/>
          <w:bdr w:val="nil"/>
          <w:lang w:val="es-ES_tradnl" w:eastAsia="es-CL"/>
        </w:rPr>
        <w:t>: el aumento de 136,1% corresponde a gastos por deuda externa.</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Posteriormente, especificó las metas estratégicas del programa en examen en cada uno de los proyectos, las que precisó del modo que a continuación se describe.</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w:bCs/>
          <w:color w:val="000000"/>
          <w:u w:color="000000"/>
          <w:bdr w:val="nil"/>
          <w:lang w:val="es-ES_tradnl" w:eastAsia="es-CL"/>
        </w:rPr>
        <w:tab/>
      </w:r>
      <w:r>
        <w:rPr>
          <w:rFonts w:eastAsia="Arial Unicode MS" w:cs="Arial Unicode MS"/>
          <w:b w:val="0"/>
          <w:color w:val="000000"/>
          <w:u w:color="000000"/>
          <w:bdr w:val="nil"/>
          <w:lang w:val="es-ES_tradnl" w:eastAsia="es-CL"/>
        </w:rPr>
        <w:t xml:space="preserve">- </w:t>
      </w:r>
      <w:r>
        <w:rPr>
          <w:rFonts w:eastAsia="Arial Unicode MS" w:cs="Arial Unicode MS"/>
          <w:bCs/>
          <w:color w:val="000000"/>
          <w:u w:color="000000"/>
          <w:bdr w:val="nil"/>
          <w:lang w:val="es-ES_tradnl" w:eastAsia="es-CL"/>
        </w:rPr>
        <w:t>Proyecto Chile Compra</w:t>
      </w:r>
      <w:r>
        <w:rPr>
          <w:rFonts w:eastAsia="Arial Unicode MS" w:cs="Arial Unicode MS"/>
          <w:b w:val="0"/>
          <w:color w:val="000000"/>
          <w:u w:color="000000"/>
          <w:bdr w:val="nil"/>
          <w:lang w:val="es-ES_tradnl" w:eastAsia="es-CL"/>
        </w:rPr>
        <w:t>: i) Convenios Marco: rediseñar el modelo operacional e iniciar su implementación (eficiencia recursos y ahorro relevante); ii) optimización del proceso de compras de acuerdo al nuevo sistema implementado y desplegar el piloto del módulo gestión de contratos incorporado.</w:t>
      </w:r>
    </w:p>
    <w:p>
      <w:pPr>
        <w:pBdr>
          <w:top w:val="nil"/>
          <w:left w:val="nil"/>
          <w:bottom w:val="nil"/>
          <w:right w:val="nil"/>
          <w:between w:val="nil"/>
          <w:bar w:val="nil"/>
        </w:pBdr>
        <w:rPr>
          <w:rFonts w:eastAsia="Arial"/>
          <w:bCs/>
          <w:color w:val="000000"/>
          <w:u w:color="000000"/>
          <w:bdr w:val="nil"/>
          <w:lang w:val="es-ES_tradnl" w:eastAsia="es-CL"/>
        </w:rPr>
      </w:pPr>
    </w:p>
    <w:p>
      <w:pPr>
        <w:pBdr>
          <w:top w:val="nil"/>
          <w:left w:val="nil"/>
          <w:bottom w:val="nil"/>
          <w:right w:val="nil"/>
          <w:between w:val="nil"/>
          <w:bar w:val="nil"/>
        </w:pBdr>
        <w:rPr>
          <w:rFonts w:eastAsia="Arial"/>
          <w:bCs/>
          <w:color w:val="000000"/>
          <w:u w:color="000000"/>
          <w:bdr w:val="nil"/>
          <w:lang w:val="es-ES_tradnl" w:eastAsia="es-CL"/>
        </w:rPr>
      </w:pPr>
    </w:p>
    <w:p>
      <w:pPr>
        <w:pBdr>
          <w:top w:val="nil"/>
          <w:left w:val="nil"/>
          <w:bottom w:val="nil"/>
          <w:right w:val="nil"/>
          <w:between w:val="nil"/>
          <w:bar w:val="nil"/>
        </w:pBdr>
        <w:rPr>
          <w:rFonts w:eastAsia="Arial"/>
          <w:bCs/>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w:bCs/>
          <w:color w:val="000000"/>
          <w:u w:color="000000"/>
          <w:bdr w:val="nil"/>
          <w:lang w:val="es-ES_tradnl" w:eastAsia="es-CL"/>
        </w:rPr>
        <w:tab/>
      </w:r>
      <w:r>
        <w:rPr>
          <w:rFonts w:eastAsia="Arial Unicode MS" w:cs="Arial Unicode MS"/>
          <w:b w:val="0"/>
          <w:color w:val="000000"/>
          <w:u w:color="000000"/>
          <w:bdr w:val="nil"/>
          <w:lang w:val="es-ES_tradnl" w:eastAsia="es-CL"/>
        </w:rPr>
        <w:t xml:space="preserve">- </w:t>
      </w:r>
      <w:r>
        <w:rPr>
          <w:rFonts w:eastAsia="Arial Unicode MS" w:cs="Arial Unicode MS"/>
          <w:bCs/>
          <w:color w:val="000000"/>
          <w:u w:color="000000"/>
          <w:bdr w:val="nil"/>
          <w:lang w:val="es-ES_tradnl" w:eastAsia="es-CL"/>
        </w:rPr>
        <w:t xml:space="preserve">Proyecto INE: </w:t>
      </w:r>
      <w:r>
        <w:rPr>
          <w:rFonts w:eastAsia="Arial Unicode MS" w:cs="Arial Unicode MS"/>
          <w:b w:val="0"/>
          <w:color w:val="000000"/>
          <w:u w:color="000000"/>
          <w:bdr w:val="nil"/>
          <w:lang w:val="es-ES_tradnl" w:eastAsia="es-CL"/>
        </w:rPr>
        <w:t>i) nuevo modelo de planificación y control de gestión implementado; ii) Business Intelligence</w:t>
      </w:r>
      <w:r>
        <w:rPr>
          <w:rFonts w:eastAsia="Arial Unicode MS" w:cs="Arial Unicode MS"/>
          <w:bCs/>
          <w:i/>
          <w:iCs/>
          <w:color w:val="000000"/>
          <w:u w:color="000000"/>
          <w:bdr w:val="nil"/>
          <w:lang w:val="es-ES_tradnl" w:eastAsia="es-CL"/>
        </w:rPr>
        <w:t xml:space="preserve"> </w:t>
      </w:r>
      <w:r>
        <w:rPr>
          <w:rFonts w:eastAsia="Arial Unicode MS" w:cs="Arial Unicode MS"/>
          <w:b w:val="0"/>
          <w:color w:val="000000"/>
          <w:u w:color="000000"/>
          <w:bdr w:val="nil"/>
          <w:lang w:val="es-ES_tradnl" w:eastAsia="es-CL"/>
        </w:rPr>
        <w:t xml:space="preserve">instalado, lo que implica una mejora en la capacidad de análisis; iii) proceso de compras optimizado mediante una solución estándar; iv) calidad de productos estadísticos mejorados por nuevo sistema gestión de estadísticas; v) tiempos de flujos de documentos reducidos por nueva plataforma de gestión documental. </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w:bCs/>
          <w:color w:val="000000"/>
          <w:u w:color="000000"/>
          <w:bdr w:val="nil"/>
          <w:lang w:val="es-ES_tradnl" w:eastAsia="es-CL"/>
        </w:rPr>
        <w:tab/>
      </w:r>
      <w:r>
        <w:rPr>
          <w:rFonts w:eastAsia="Arial Unicode MS" w:cs="Arial Unicode MS"/>
          <w:b w:val="0"/>
          <w:color w:val="000000"/>
          <w:u w:color="000000"/>
          <w:bdr w:val="nil"/>
          <w:lang w:val="es-ES_tradnl" w:eastAsia="es-CL"/>
        </w:rPr>
        <w:t xml:space="preserve">- </w:t>
      </w:r>
      <w:r>
        <w:rPr>
          <w:rFonts w:eastAsia="Arial Unicode MS" w:cs="Arial Unicode MS"/>
          <w:bCs/>
          <w:color w:val="000000"/>
          <w:u w:color="000000"/>
          <w:bdr w:val="nil"/>
          <w:lang w:val="es-ES_tradnl" w:eastAsia="es-CL"/>
        </w:rPr>
        <w:t>Proyecto SERNAC</w:t>
      </w:r>
      <w:r>
        <w:rPr>
          <w:rFonts w:eastAsia="Arial Unicode MS" w:cs="Arial Unicode MS"/>
          <w:b w:val="0"/>
          <w:color w:val="000000"/>
          <w:u w:color="000000"/>
          <w:bdr w:val="nil"/>
          <w:lang w:val="es-ES_tradnl" w:eastAsia="es-CL"/>
        </w:rPr>
        <w:t>: i) nuevo portal web de atención al ciudadano implementado (integra portal del consumidor, intranet, programa de educación financiera y sistema de información de precios) y ii) procesos internos mejorados: a) implementación gestión documental y de proyectos internos y b) automatización de procesos de compras y activo fijo</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 xml:space="preserve">- </w:t>
      </w:r>
      <w:r>
        <w:rPr>
          <w:rFonts w:eastAsia="Arial Unicode MS" w:cs="Arial Unicode MS"/>
          <w:bCs/>
          <w:color w:val="000000"/>
          <w:u w:color="000000"/>
          <w:bdr w:val="nil"/>
          <w:lang w:val="es-ES_tradnl" w:eastAsia="es-CL"/>
        </w:rPr>
        <w:t>Proyecto SUSESO</w:t>
      </w:r>
      <w:r>
        <w:rPr>
          <w:rFonts w:eastAsia="Arial Unicode MS" w:cs="Arial Unicode MS"/>
          <w:b w:val="0"/>
          <w:color w:val="000000"/>
          <w:u w:color="000000"/>
          <w:bdr w:val="nil"/>
          <w:lang w:val="es-ES_tradnl" w:eastAsia="es-CL"/>
        </w:rPr>
        <w:t>: i) procesos rediseñados el 2016, implementados para la disminución de tiempos de espera en la resolución de casos y despliegue de profesionales de forma remota); ii) “Superintendencia en Línea” implementada para atención vía web y iii) sistema de apoyo implementado para administración de los fondos nacionales.</w:t>
      </w:r>
    </w:p>
    <w:p>
      <w:pPr>
        <w:pBdr>
          <w:top w:val="nil"/>
          <w:left w:val="nil"/>
          <w:bottom w:val="nil"/>
          <w:right w:val="nil"/>
          <w:between w:val="nil"/>
          <w:bar w:val="nil"/>
        </w:pBdr>
        <w:rPr>
          <w:rFonts w:eastAsia="Arial"/>
          <w:bCs/>
          <w:color w:val="000000"/>
          <w:u w:color="000000"/>
          <w:bdr w:val="nil"/>
          <w:lang w:val="es-ES_tradnl" w:eastAsia="es-CL"/>
        </w:rPr>
      </w:pPr>
    </w:p>
    <w:p>
      <w:pPr>
        <w:pBdr>
          <w:top w:val="nil"/>
          <w:left w:val="nil"/>
          <w:bottom w:val="nil"/>
          <w:right w:val="nil"/>
          <w:between w:val="nil"/>
          <w:bar w:val="nil"/>
        </w:pBdr>
        <w:rPr>
          <w:rFonts w:eastAsia="Arial"/>
          <w:bCs/>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w:bCs/>
          <w:color w:val="000000"/>
          <w:u w:color="000000"/>
          <w:bdr w:val="nil"/>
          <w:lang w:val="es-ES_tradnl" w:eastAsia="es-CL"/>
        </w:rPr>
        <w:tab/>
      </w:r>
      <w:r>
        <w:rPr>
          <w:rFonts w:eastAsia="Arial Unicode MS" w:cs="Arial Unicode MS"/>
          <w:b w:val="0"/>
          <w:color w:val="000000"/>
          <w:u w:color="000000"/>
          <w:bdr w:val="nil"/>
          <w:lang w:val="es-ES_tradnl" w:eastAsia="es-CL"/>
        </w:rPr>
        <w:t xml:space="preserve">- </w:t>
      </w:r>
      <w:r>
        <w:rPr>
          <w:rFonts w:eastAsia="Arial Unicode MS" w:cs="Arial Unicode MS"/>
          <w:bCs/>
          <w:color w:val="000000"/>
          <w:u w:color="000000"/>
          <w:bdr w:val="nil"/>
          <w:lang w:val="es-ES_tradnl" w:eastAsia="es-CL"/>
        </w:rPr>
        <w:t>Proyecto Dirección del Trabajo</w:t>
      </w:r>
      <w:r>
        <w:rPr>
          <w:rFonts w:eastAsia="Arial Unicode MS" w:cs="Arial Unicode MS"/>
          <w:b w:val="0"/>
          <w:color w:val="000000"/>
          <w:u w:color="000000"/>
          <w:bdr w:val="nil"/>
          <w:lang w:val="es-ES_tradnl" w:eastAsia="es-CL"/>
        </w:rPr>
        <w:t>: i) rediseño de procesos de fiscalización; ii) reconfiguración del proceso atención a usuarios, gestión de audiencias y cierres de infracciones; iii) inicio de pilotos de nuevos procesos y iv) implementar metodología para determinar la tasa de infraccionalidad laboral en el país.</w:t>
      </w:r>
    </w:p>
    <w:p>
      <w:pPr>
        <w:pBdr>
          <w:top w:val="nil"/>
          <w:left w:val="nil"/>
          <w:bottom w:val="nil"/>
          <w:right w:val="nil"/>
          <w:between w:val="nil"/>
          <w:bar w:val="nil"/>
        </w:pBdr>
        <w:rPr>
          <w:rFonts w:eastAsia="Arial"/>
          <w:bCs/>
          <w:color w:val="000000"/>
          <w:u w:color="000000"/>
          <w:bdr w:val="nil"/>
          <w:lang w:val="es-ES_tradnl" w:eastAsia="es-CL"/>
        </w:rPr>
      </w:pPr>
    </w:p>
    <w:p>
      <w:pPr>
        <w:pBdr>
          <w:top w:val="nil"/>
          <w:left w:val="nil"/>
          <w:bottom w:val="nil"/>
          <w:right w:val="nil"/>
          <w:between w:val="nil"/>
          <w:bar w:val="nil"/>
        </w:pBdr>
        <w:rPr>
          <w:rFonts w:eastAsia="Arial"/>
          <w:bCs/>
          <w:color w:val="000000"/>
          <w:u w:color="000000"/>
          <w:bdr w:val="nil"/>
          <w:lang w:val="es-ES_tradnl" w:eastAsia="es-CL"/>
        </w:rPr>
      </w:pPr>
    </w:p>
    <w:p>
      <w:pPr>
        <w:pBdr>
          <w:top w:val="nil"/>
          <w:left w:val="nil"/>
          <w:bottom w:val="nil"/>
          <w:right w:val="nil"/>
          <w:between w:val="nil"/>
          <w:bar w:val="nil"/>
        </w:pBdr>
        <w:rPr>
          <w:rFonts w:eastAsia="Arial Unicode MS" w:cs="Arial Unicode MS"/>
          <w:b w:val="0"/>
          <w:color w:val="000000"/>
          <w:u w:color="000000"/>
          <w:bdr w:val="nil"/>
          <w:lang w:val="es-ES_tradnl" w:eastAsia="es-CL"/>
        </w:rPr>
      </w:pPr>
      <w:r>
        <w:rPr>
          <w:rFonts w:eastAsia="Arial"/>
          <w:bCs/>
          <w:color w:val="000000"/>
          <w:u w:color="000000"/>
          <w:bdr w:val="nil"/>
          <w:lang w:val="es-ES_tradnl" w:eastAsia="es-CL"/>
        </w:rPr>
        <w:tab/>
      </w:r>
      <w:r>
        <w:rPr>
          <w:rFonts w:eastAsia="Arial Unicode MS" w:cs="Arial Unicode MS"/>
          <w:b w:val="0"/>
          <w:color w:val="000000"/>
          <w:u w:color="000000"/>
          <w:bdr w:val="nil"/>
          <w:lang w:val="es-ES_tradnl" w:eastAsia="es-CL"/>
        </w:rPr>
        <w:t xml:space="preserve">- </w:t>
      </w:r>
      <w:r>
        <w:rPr>
          <w:rFonts w:eastAsia="Arial Unicode MS" w:cs="Arial Unicode MS"/>
          <w:bCs/>
          <w:color w:val="000000"/>
          <w:u w:color="000000"/>
          <w:bdr w:val="nil"/>
          <w:lang w:val="es-ES_tradnl" w:eastAsia="es-CL"/>
        </w:rPr>
        <w:t>Proyecto SEGPRES – ChileAtiende Digital</w:t>
      </w:r>
      <w:r>
        <w:rPr>
          <w:rFonts w:eastAsia="Arial Unicode MS" w:cs="Arial Unicode MS"/>
          <w:b w:val="0"/>
          <w:color w:val="000000"/>
          <w:u w:color="000000"/>
          <w:bdr w:val="nil"/>
          <w:lang w:val="es-ES_tradnl" w:eastAsia="es-CL"/>
        </w:rPr>
        <w:t>: i) plan de acción con al menos cinco instituciones con gran número de transacciones, para potenciar uso de trámites digitales; ii) disponibilizar primeros módulos de autoatención de trámites; iii) puesta en marcha de sistema de registro de transacciones del Estado y iv) despliegue de la segunda versión de la plataforma integrada de información y acceso a trámites y beneficios implementada.</w:t>
      </w:r>
    </w:p>
    <w:p>
      <w:pPr>
        <w:pBdr>
          <w:top w:val="nil"/>
          <w:left w:val="nil"/>
          <w:bottom w:val="nil"/>
          <w:right w:val="nil"/>
          <w:between w:val="nil"/>
          <w:bar w:val="nil"/>
        </w:pBdr>
        <w:rPr>
          <w:rFonts w:eastAsia="Arial Unicode MS" w:cs="Arial Unicode MS"/>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Luego, el Director del Programa de Modernización del Sector Público, señor Inostroza se refirió a los proyectos en ejecución.</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jc w:val="center"/>
        <w:rPr>
          <w:rFonts w:eastAsia="Arial"/>
          <w:b w:val="0"/>
          <w:color w:val="000000"/>
          <w:u w:color="000000"/>
          <w:bdr w:val="nil"/>
          <w:lang w:val="es-ES_tradnl" w:eastAsia="es-CL"/>
        </w:rPr>
      </w:pPr>
      <w:r>
        <w:rPr>
          <w:rFonts w:eastAsia="Arial"/>
          <w:b w:val="0"/>
          <w:noProof/>
          <w:color w:val="000000"/>
          <w:u w:color="000000"/>
          <w:bdr w:val="nil"/>
          <w:lang w:eastAsia="es-CL"/>
        </w:rPr>
        <w:pict>
          <v:shape id="_x0000_i1030" type="#_x0000_t75" style="width:413.65pt;height:359pt;visibility:visible">
            <v:imagedata r:id="rId13" o:title=""/>
          </v:shape>
        </w:pic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jc w:val="center"/>
        <w:rPr>
          <w:rFonts w:eastAsia="Arial"/>
          <w:b w:val="0"/>
          <w:color w:val="000000"/>
          <w:u w:color="000000"/>
          <w:bdr w:val="nil"/>
          <w:lang w:val="es-ES_tradnl" w:eastAsia="es-CL"/>
        </w:rPr>
      </w:pPr>
      <w:r>
        <w:rPr>
          <w:rFonts w:eastAsia="Arial"/>
          <w:b w:val="0"/>
          <w:noProof/>
          <w:color w:val="000000"/>
          <w:u w:color="000000"/>
          <w:bdr w:val="nil"/>
          <w:lang w:eastAsia="es-CL"/>
        </w:rPr>
        <w:pict>
          <v:shape id="_x0000_i1031" type="#_x0000_t75" style="width:454.85pt;height:439.95pt;visibility:visible">
            <v:imagedata r:id="rId14" o:title=""/>
          </v:shape>
        </w:pic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Cs/>
          <w:color w:val="000000"/>
          <w:u w:color="000000"/>
          <w:bdr w:val="nil"/>
          <w:lang w:val="es-ES_tradnl" w:eastAsia="es-CL"/>
        </w:rPr>
      </w:pPr>
      <w:r>
        <w:rPr>
          <w:rFonts w:eastAsia="Arial"/>
          <w:b w:val="0"/>
          <w:color w:val="000000"/>
          <w:u w:color="000000"/>
          <w:bdr w:val="nil"/>
          <w:lang w:val="es-ES_tradnl" w:eastAsia="es-CL"/>
        </w:rPr>
        <w:tab/>
      </w:r>
      <w:r>
        <w:rPr>
          <w:rFonts w:eastAsia="Arial Unicode MS" w:cs="Arial Unicode MS"/>
          <w:bCs/>
          <w:color w:val="000000"/>
          <w:u w:color="000000"/>
          <w:bdr w:val="nil"/>
          <w:lang w:val="es-ES_tradnl" w:eastAsia="es-CL"/>
        </w:rPr>
        <w:t>Luego de la exposición antes descrita, los Honorables señores Senadores y Diputados efectuaron las siguientes preguntas y observaciones.</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w:b w:val="0"/>
          <w:color w:val="000000"/>
          <w:u w:color="000000"/>
          <w:bdr w:val="nil"/>
          <w:lang w:val="es-ES_tradnl" w:eastAsia="es-CL"/>
        </w:rPr>
        <w:tab/>
      </w:r>
      <w:r>
        <w:rPr>
          <w:rFonts w:eastAsia="Arial Unicode MS" w:cs="Arial Unicode MS"/>
          <w:bCs/>
          <w:color w:val="000000"/>
          <w:u w:color="000000"/>
          <w:bdr w:val="nil"/>
          <w:lang w:val="es-ES_tradnl" w:eastAsia="es-CL"/>
        </w:rPr>
        <w:t>El Honorable Diputado señor Silva</w:t>
      </w:r>
      <w:r>
        <w:rPr>
          <w:rFonts w:eastAsia="Arial Unicode MS" w:cs="Arial Unicode MS"/>
          <w:b w:val="0"/>
          <w:color w:val="000000"/>
          <w:u w:color="000000"/>
          <w:bdr w:val="nil"/>
          <w:lang w:val="es-ES_tradnl" w:eastAsia="es-CL"/>
        </w:rPr>
        <w:t>, preguntó acerca de la relación entre el Ministerio de Hacienda y el Ministerio Secretaría General de la Presidencia, en el marco del proceso de modernización del Estado, en tanto, en su opinión, existir cierta competencia entre ambas Secretarías de Estado en lo que concierne a dicho proceso.</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w:b w:val="0"/>
          <w:color w:val="000000"/>
          <w:u w:color="000000"/>
          <w:bdr w:val="nil"/>
          <w:lang w:val="es-ES_tradnl" w:eastAsia="es-CL"/>
        </w:rPr>
        <w:tab/>
      </w:r>
      <w:r>
        <w:rPr>
          <w:rFonts w:eastAsia="Arial Unicode MS" w:cs="Arial Unicode MS"/>
          <w:bCs/>
          <w:color w:val="000000"/>
          <w:u w:color="000000"/>
          <w:bdr w:val="nil"/>
          <w:lang w:val="es-ES_tradnl" w:eastAsia="es-CL"/>
        </w:rPr>
        <w:t>El Director del Programa de Modernización del Sector Público, señor José Inostroza</w:t>
      </w:r>
      <w:r>
        <w:rPr>
          <w:rFonts w:eastAsia="Arial Unicode MS" w:cs="Arial Unicode MS"/>
          <w:b w:val="0"/>
          <w:color w:val="000000"/>
          <w:u w:color="000000"/>
          <w:bdr w:val="nil"/>
          <w:lang w:val="es-ES_tradnl" w:eastAsia="es-CL"/>
        </w:rPr>
        <w:t>, señaló que desde el año 2015 dicho panorama cambió, entre otras razones, por la implementación del programa en comento. En efecto, agregó, este último emplea las capacidades presupuestarias y de gestión estratégicas globales del Ministerio de Hacienda con las aptitudes técnicas y de tecnología del Ministerio Secretaría General de la Presidencia, existiendo, por consiguiente una relación bastante articulada entre ambas Carteras de Estado.</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Asimismo, añadió, tal vinculación se efectúa, además, con convenios de cooperación y de control presupuestario.</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w:b w:val="0"/>
          <w:color w:val="000000"/>
          <w:u w:color="000000"/>
          <w:bdr w:val="nil"/>
          <w:lang w:val="es-ES_tradnl" w:eastAsia="es-CL"/>
        </w:rPr>
        <w:tab/>
      </w:r>
      <w:r>
        <w:rPr>
          <w:rFonts w:eastAsia="Arial Unicode MS" w:cs="Arial Unicode MS"/>
          <w:bCs/>
          <w:color w:val="000000"/>
          <w:u w:color="000000"/>
          <w:bdr w:val="nil"/>
          <w:lang w:val="es-ES_tradnl" w:eastAsia="es-CL"/>
        </w:rPr>
        <w:t>El Honorable Diputado señor Silva</w:t>
      </w:r>
      <w:r>
        <w:rPr>
          <w:rFonts w:eastAsia="Arial Unicode MS" w:cs="Arial Unicode MS"/>
          <w:b w:val="0"/>
          <w:color w:val="000000"/>
          <w:u w:color="000000"/>
          <w:bdr w:val="nil"/>
          <w:lang w:val="es-ES_tradnl" w:eastAsia="es-CL"/>
        </w:rPr>
        <w:t>, preguntó a qué cifra ascendería el ahorro que generaría para el Estado el proceso de digitalización que contempla el programa.</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w:b w:val="0"/>
          <w:color w:val="000000"/>
          <w:u w:color="000000"/>
          <w:bdr w:val="nil"/>
          <w:lang w:val="es-ES_tradnl" w:eastAsia="es-CL"/>
        </w:rPr>
        <w:tab/>
      </w:r>
      <w:r>
        <w:rPr>
          <w:rFonts w:eastAsia="Arial Unicode MS" w:cs="Arial Unicode MS"/>
          <w:bCs/>
          <w:color w:val="000000"/>
          <w:u w:color="000000"/>
          <w:bdr w:val="nil"/>
          <w:lang w:val="es-ES_tradnl" w:eastAsia="es-CL"/>
        </w:rPr>
        <w:t>El Director del Programa de Modernización del Sector Público, señor José Inostroza</w:t>
      </w:r>
      <w:r>
        <w:rPr>
          <w:rFonts w:eastAsia="Arial Unicode MS" w:cs="Arial Unicode MS"/>
          <w:b w:val="0"/>
          <w:color w:val="000000"/>
          <w:u w:color="000000"/>
          <w:bdr w:val="nil"/>
          <w:lang w:val="es-ES_tradnl" w:eastAsia="es-CL"/>
        </w:rPr>
        <w:t>, señaló que el ahorro generado por la eliminación de trámites presenciales básicos alcanzaría aproximadamente, de un modo conservador, a los US$500.000.000.- (quinientos millones de dólares estadounidenses), y en el caso de los ciudadanos esta cifra ascendería hasta los US$ 3.000.000.000.- (tres mil millones de dólares estadounidenses).</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De igual modo, expresó que un informe del estudio Del Hoyte analizó las repercusiones antes descritas.</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w:b w:val="0"/>
          <w:color w:val="000000"/>
          <w:u w:color="000000"/>
          <w:bdr w:val="nil"/>
          <w:lang w:val="es-ES_tradnl" w:eastAsia="es-CL"/>
        </w:rPr>
        <w:tab/>
      </w:r>
      <w:r>
        <w:rPr>
          <w:rFonts w:eastAsia="Arial Unicode MS" w:cs="Arial Unicode MS"/>
          <w:bCs/>
          <w:color w:val="000000"/>
          <w:u w:color="000000"/>
          <w:bdr w:val="nil"/>
          <w:lang w:val="es-ES_tradnl" w:eastAsia="es-CL"/>
        </w:rPr>
        <w:t>El Honorable Diputado señor Silva</w:t>
      </w:r>
      <w:r>
        <w:rPr>
          <w:rFonts w:eastAsia="Arial Unicode MS" w:cs="Arial Unicode MS"/>
          <w:b w:val="0"/>
          <w:color w:val="000000"/>
          <w:u w:color="000000"/>
          <w:bdr w:val="nil"/>
          <w:lang w:val="es-ES_tradnl" w:eastAsia="es-CL"/>
        </w:rPr>
        <w:t>, solicitó remitir tal estudio, a fin de analizar en detalle los costos que significa, tanto para el Estado como para las personas, dejar de realizar trámites presenciales.</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w:b w:val="0"/>
          <w:color w:val="000000"/>
          <w:u w:color="000000"/>
          <w:bdr w:val="nil"/>
          <w:lang w:val="es-ES_tradnl" w:eastAsia="es-CL"/>
        </w:rPr>
        <w:tab/>
      </w:r>
      <w:r>
        <w:rPr>
          <w:rFonts w:eastAsia="Arial Unicode MS" w:cs="Arial Unicode MS"/>
          <w:bCs/>
          <w:color w:val="000000"/>
          <w:u w:color="000000"/>
          <w:bdr w:val="nil"/>
          <w:lang w:val="es-ES_tradnl" w:eastAsia="es-CL"/>
        </w:rPr>
        <w:t>El Presidente de la Subcomisión, Honorable Diputado señor De Mussy</w:t>
      </w:r>
      <w:r>
        <w:rPr>
          <w:rFonts w:eastAsia="Arial Unicode MS" w:cs="Arial Unicode MS"/>
          <w:b w:val="0"/>
          <w:color w:val="000000"/>
          <w:u w:color="000000"/>
          <w:bdr w:val="nil"/>
          <w:lang w:val="es-ES_tradnl" w:eastAsia="es-CL"/>
        </w:rPr>
        <w:t>, consultó en qué fecha el programa en examen comenzó y cuáles de sus proyectos han sido ejecutados.</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w:b w:val="0"/>
          <w:color w:val="000000"/>
          <w:u w:color="000000"/>
          <w:bdr w:val="nil"/>
          <w:lang w:val="es-ES_tradnl" w:eastAsia="es-CL"/>
        </w:rPr>
        <w:tab/>
      </w:r>
      <w:r>
        <w:rPr>
          <w:rFonts w:eastAsia="Arial Unicode MS" w:cs="Arial Unicode MS"/>
          <w:bCs/>
          <w:color w:val="000000"/>
          <w:u w:color="000000"/>
          <w:bdr w:val="nil"/>
          <w:lang w:val="es-ES_tradnl" w:eastAsia="es-CL"/>
        </w:rPr>
        <w:t>El Director del Programa de Modernización del Sector Público, señor José Inostroza</w:t>
      </w:r>
      <w:r>
        <w:rPr>
          <w:rFonts w:eastAsia="Arial Unicode MS" w:cs="Arial Unicode MS"/>
          <w:b w:val="0"/>
          <w:color w:val="000000"/>
          <w:u w:color="000000"/>
          <w:bdr w:val="nil"/>
          <w:lang w:val="es-ES_tradnl" w:eastAsia="es-CL"/>
        </w:rPr>
        <w:t>, indicó que el mismo partió hace un año y siete meses (febrero 2015), contando actualmente con seis proyectos en ejecución, habiéndose incorporado hace algunos meses atrás la Superintendencia de Seguridad Social, la Dirección del Trabajo y Chile Atiende. Asimismo, indicó que los proyectos referentes al Instituto Nacional de Estadísticas, a Chile Compra y al Servicio Nacional del Consumidor comenzaron su ejecución a mediados del año 2015.</w:t>
      </w:r>
    </w:p>
    <w:p>
      <w:pPr>
        <w:rPr>
          <w:b w:val="0"/>
        </w:rPr>
      </w:pPr>
    </w:p>
    <w:p>
      <w:pPr>
        <w:rPr>
          <w:lang w:val="es-ES_tradnl"/>
        </w:rPr>
      </w:pPr>
      <w:r>
        <w:rPr>
          <w:b w:val="0"/>
        </w:rPr>
        <w:tab/>
      </w:r>
      <w:r>
        <w:rPr>
          <w:lang w:val="es-ES_tradnl"/>
        </w:rPr>
        <w:t>Sometido a votación el Capítulo 01, Programa 08, fue aprobado sin enmiendas por la unanimidad de los miembros presentes de la Subcomisión, Honorable Diputado señor De Mussy (Presidente), Honorables Senadores señores Coloma y Tuma, y Honorables Diputados señores Schilling y Silva.</w:t>
      </w:r>
    </w:p>
    <w:p>
      <w:pPr>
        <w:rPr>
          <w:b w:val="0"/>
          <w:lang w:val="es-ES_tradnl"/>
        </w:rPr>
      </w:pPr>
    </w:p>
    <w:p>
      <w:pPr>
        <w:rPr>
          <w:b w:val="0"/>
        </w:rPr>
      </w:pPr>
    </w:p>
    <w:p>
      <w:pPr>
        <w:jc w:val="center"/>
      </w:pPr>
      <w:r>
        <w:t>CAPITULO 02</w:t>
      </w:r>
    </w:p>
    <w:p>
      <w:pPr>
        <w:jc w:val="center"/>
      </w:pPr>
    </w:p>
    <w:p>
      <w:pPr>
        <w:jc w:val="center"/>
      </w:pPr>
      <w:r>
        <w:t>Programa 01</w:t>
      </w:r>
    </w:p>
    <w:p>
      <w:pPr>
        <w:jc w:val="center"/>
      </w:pPr>
      <w:r>
        <w:t>Dirección de Presupuestos.</w:t>
      </w:r>
    </w:p>
    <w:p/>
    <w:p>
      <w:r>
        <w:tab/>
        <w:t>Considera ingresos y gastos por $ 25.586.225 miles.</w:t>
      </w:r>
    </w:p>
    <w:p/>
    <w:p>
      <w:pPr>
        <w:rPr>
          <w:b w:val="0"/>
        </w:rPr>
      </w:pPr>
      <w:r>
        <w:rPr>
          <w:b w:val="0"/>
        </w:rPr>
        <w:tab/>
        <w:t>El monto de recursos asignados a este Programa registra una variación de sus ingresos de $ 26.523.724 a $ 25.586.225 miles, observándose una variación de -3,5% respecto del año anterior.</w:t>
      </w:r>
    </w:p>
    <w:p>
      <w:pPr>
        <w:rPr>
          <w:b w:val="0"/>
        </w:rPr>
      </w:pPr>
    </w:p>
    <w:p>
      <w:pPr>
        <w:pBdr>
          <w:top w:val="nil"/>
          <w:left w:val="nil"/>
          <w:bottom w:val="nil"/>
          <w:right w:val="nil"/>
          <w:between w:val="nil"/>
          <w:bar w:val="nil"/>
        </w:pBdr>
        <w:rPr>
          <w:rFonts w:eastAsia="Arial"/>
          <w:bCs/>
          <w:color w:val="000000"/>
          <w:u w:color="000000"/>
          <w:bdr w:val="nil"/>
          <w:lang w:val="es-ES_tradnl" w:eastAsia="es-CL"/>
        </w:rPr>
      </w:pPr>
      <w:r>
        <w:rPr>
          <w:rFonts w:eastAsia="Arial Unicode MS" w:cs="Arial Unicode MS"/>
          <w:bCs/>
          <w:color w:val="000000"/>
          <w:u w:color="000000"/>
          <w:bdr w:val="nil"/>
          <w:lang w:val="es-ES_tradnl" w:eastAsia="es-CL"/>
        </w:rPr>
        <w:tab/>
        <w:t>El Subdirector de Presupuestos, señor Gustavo Rivera</w:t>
      </w:r>
      <w:r>
        <w:rPr>
          <w:rFonts w:eastAsia="Arial Unicode MS" w:cs="Arial Unicode MS"/>
          <w:b w:val="0"/>
          <w:color w:val="000000"/>
          <w:u w:color="000000"/>
          <w:bdr w:val="nil"/>
          <w:lang w:val="es-ES_tradnl" w:eastAsia="es-CL"/>
        </w:rPr>
        <w:t>, comenzó su presentación describiendo los lineamientos estratégicos institucionales del organismo que representa.</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 Fortalecer el presupuesto como instrumento para la asignación eficiente de los recursos públicos, en función de los objetivos prioritarios de la acción gubernamental, optimizando los procedimientos para la formulación, discusión, ejecución y evaluación del mismo.</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 Estimar las entradas (ingresos, excedentes e intereses de activos financieros) del sector público y su rendimiento proyectado y optimizar la capacidad de movilización de recursos para el logro de los objetivos de la acción gubernamental.</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 Promover la eficiencia en el uso de los recursos públicos a través de la integración de los instrumentos de control de gestión pública con el presupuesto.</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 Fortalecer la coordinación de DIPRES con los actores con los cuales se relaciona (Ministerios, SEGPRES, Controlaría, Congreso, Gremios, otros), para agilizar la elaboración y tramitación de los anteproyectos y proyectos de ley en los ámbitos propios de su responsabilidad.</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 Informar a las Instituciones Públicas, al Congreso Nacional y a la ciudadanía en general sobre la asignación y aplicación de los recursos financieros del sector público y sus perspectivas de mediano plazo, a través de la página web o de información física enviada al Congreso, a la Presidencia y a otras instituciones o a la ciudadanía, estas últimas según requerimiento.</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Posteriormente, explicó las variaciones presupuestarias entre el presupuesto para el año 2017 con la ley vigente, a través del siguiente recuadro.</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jc w:val="center"/>
        <w:rPr>
          <w:rFonts w:eastAsia="Arial"/>
          <w:bCs/>
          <w:color w:val="000000"/>
          <w:u w:color="000000"/>
          <w:bdr w:val="nil"/>
          <w:lang w:val="es-ES_tradnl" w:eastAsia="es-CL"/>
        </w:rPr>
      </w:pPr>
      <w:r>
        <w:rPr>
          <w:rFonts w:eastAsia="Arial"/>
          <w:bCs/>
          <w:color w:val="000000"/>
          <w:u w:color="000000"/>
          <w:bdr w:val="nil"/>
          <w:lang w:val="es-ES_tradnl" w:eastAsia="es-CL"/>
        </w:rPr>
        <w:t>Presupuesto 2017 – cifras comparadas</w:t>
      </w:r>
    </w:p>
    <w:tbl>
      <w:tblPr>
        <w:tblW w:w="9917" w:type="dxa"/>
        <w:jc w:val="center"/>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5320"/>
        <w:gridCol w:w="1263"/>
        <w:gridCol w:w="1263"/>
        <w:gridCol w:w="1165"/>
        <w:gridCol w:w="906"/>
      </w:tblGrid>
      <w:tr>
        <w:tblPrEx>
          <w:tblCellMar>
            <w:top w:w="0" w:type="dxa"/>
            <w:left w:w="0" w:type="dxa"/>
            <w:bottom w:w="0" w:type="dxa"/>
            <w:right w:w="0" w:type="dxa"/>
          </w:tblCellMar>
        </w:tblPrEx>
        <w:trPr>
          <w:trHeight w:val="350"/>
          <w:jc w:val="center"/>
        </w:trPr>
        <w:tc>
          <w:tcPr>
            <w:tcW w:w="5320" w:type="dxa"/>
            <w:tcBorders>
              <w:top w:val="nil"/>
              <w:left w:val="nil"/>
              <w:bottom w:val="nil"/>
              <w:right w:val="single" w:sz="8" w:space="0" w:color="FFFFFF"/>
            </w:tcBorders>
            <w:shd w:val="clear" w:color="auto" w:fill="B9CDE5"/>
            <w:tcMar>
              <w:top w:w="80" w:type="dxa"/>
              <w:left w:w="80" w:type="dxa"/>
              <w:bottom w:w="80" w:type="dxa"/>
              <w:right w:w="80" w:type="dxa"/>
            </w:tcMar>
          </w:tcPr>
          <w:p>
            <w:pPr>
              <w:pBdr>
                <w:top w:val="nil"/>
                <w:left w:val="nil"/>
                <w:bottom w:val="nil"/>
                <w:right w:val="nil"/>
                <w:between w:val="nil"/>
                <w:bar w:val="nil"/>
              </w:pBdr>
              <w:tabs>
                <w:tab w:val="clear" w:pos="2835"/>
              </w:tabs>
              <w:jc w:val="left"/>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CAPÍTULO 02 – Programa 01</w:t>
            </w:r>
          </w:p>
        </w:tc>
        <w:tc>
          <w:tcPr>
            <w:tcW w:w="2526" w:type="dxa"/>
            <w:gridSpan w:val="2"/>
            <w:tcBorders>
              <w:top w:val="single" w:sz="8" w:space="0" w:color="FFFFFF"/>
              <w:left w:val="single" w:sz="8" w:space="0" w:color="FFFFFF"/>
              <w:bottom w:val="single" w:sz="8" w:space="0" w:color="FFFFFF"/>
              <w:right w:val="single" w:sz="8" w:space="0" w:color="FFFFFF"/>
            </w:tcBorders>
            <w:shd w:val="clear" w:color="auto" w:fill="B9CDE5"/>
            <w:tcMar>
              <w:top w:w="80" w:type="dxa"/>
              <w:left w:w="80" w:type="dxa"/>
              <w:bottom w:w="80" w:type="dxa"/>
              <w:right w:w="80" w:type="dxa"/>
            </w:tcMa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Ley de Presupuesto</w:t>
            </w:r>
          </w:p>
        </w:tc>
        <w:tc>
          <w:tcPr>
            <w:tcW w:w="2071" w:type="dxa"/>
            <w:gridSpan w:val="2"/>
            <w:tcBorders>
              <w:top w:val="single" w:sz="8" w:space="0" w:color="FFFFFF"/>
              <w:left w:val="single" w:sz="8" w:space="0" w:color="FFFFFF"/>
              <w:bottom w:val="single" w:sz="8" w:space="0" w:color="FFFFFF"/>
              <w:right w:val="single" w:sz="8" w:space="0" w:color="FFFFFF"/>
            </w:tcBorders>
            <w:shd w:val="clear" w:color="auto" w:fill="B9CDE5"/>
            <w:tcMar>
              <w:top w:w="80" w:type="dxa"/>
              <w:left w:w="80" w:type="dxa"/>
              <w:bottom w:w="80" w:type="dxa"/>
              <w:right w:w="80" w:type="dxa"/>
            </w:tcMa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Variación</w:t>
            </w:r>
          </w:p>
        </w:tc>
      </w:tr>
      <w:tr>
        <w:tblPrEx>
          <w:tblCellMar>
            <w:top w:w="0" w:type="dxa"/>
            <w:left w:w="0" w:type="dxa"/>
            <w:bottom w:w="0" w:type="dxa"/>
            <w:right w:w="0" w:type="dxa"/>
          </w:tblCellMar>
        </w:tblPrEx>
        <w:trPr>
          <w:trHeight w:val="386"/>
          <w:jc w:val="center"/>
        </w:trPr>
        <w:tc>
          <w:tcPr>
            <w:tcW w:w="5320" w:type="dxa"/>
            <w:tcBorders>
              <w:top w:val="nil"/>
              <w:left w:val="nil"/>
              <w:bottom w:val="single" w:sz="8" w:space="0" w:color="FFFFFF"/>
              <w:right w:val="single" w:sz="8" w:space="0" w:color="FFFFFF"/>
            </w:tcBorders>
            <w:shd w:val="clear" w:color="auto" w:fill="B9CDE5"/>
            <w:tcMar>
              <w:top w:w="80" w:type="dxa"/>
              <w:left w:w="80" w:type="dxa"/>
              <w:bottom w:w="80" w:type="dxa"/>
              <w:right w:w="80" w:type="dxa"/>
            </w:tcMar>
          </w:tcPr>
          <w:p>
            <w:pPr>
              <w:pBdr>
                <w:top w:val="nil"/>
                <w:left w:val="nil"/>
                <w:bottom w:val="nil"/>
                <w:right w:val="nil"/>
                <w:between w:val="nil"/>
                <w:bar w:val="nil"/>
              </w:pBdr>
              <w:tabs>
                <w:tab w:val="clear" w:pos="2835"/>
              </w:tabs>
              <w:jc w:val="left"/>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DIRECCIÓN DE PRESUPUESTOS</w:t>
            </w:r>
          </w:p>
        </w:tc>
        <w:tc>
          <w:tcPr>
            <w:tcW w:w="1263" w:type="dxa"/>
            <w:tcBorders>
              <w:top w:val="single" w:sz="8" w:space="0" w:color="FFFFFF"/>
              <w:left w:val="single" w:sz="8" w:space="0" w:color="FFFFFF"/>
              <w:bottom w:val="single" w:sz="8" w:space="0" w:color="FFFFFF"/>
              <w:right w:val="single" w:sz="8" w:space="0" w:color="FFFFFF"/>
            </w:tcBorders>
            <w:shd w:val="clear" w:color="auto" w:fill="B9CDE5"/>
            <w:tcMar>
              <w:top w:w="80" w:type="dxa"/>
              <w:left w:w="80" w:type="dxa"/>
              <w:bottom w:w="80" w:type="dxa"/>
              <w:right w:w="80" w:type="dxa"/>
            </w:tcMa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Año 2016 (M$ 2017)</w:t>
            </w:r>
          </w:p>
        </w:tc>
        <w:tc>
          <w:tcPr>
            <w:tcW w:w="1263" w:type="dxa"/>
            <w:tcBorders>
              <w:top w:val="single" w:sz="8" w:space="0" w:color="FFFFFF"/>
              <w:left w:val="single" w:sz="8" w:space="0" w:color="FFFFFF"/>
              <w:bottom w:val="single" w:sz="8" w:space="0" w:color="FFFFFF"/>
              <w:right w:val="single" w:sz="8" w:space="0" w:color="FFFFFF"/>
            </w:tcBorders>
            <w:shd w:val="clear" w:color="auto" w:fill="B9CDE5"/>
            <w:tcMar>
              <w:top w:w="80" w:type="dxa"/>
              <w:left w:w="80" w:type="dxa"/>
              <w:bottom w:w="80" w:type="dxa"/>
              <w:right w:w="80" w:type="dxa"/>
            </w:tcMa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Año 2017 (M$ 2017)</w:t>
            </w:r>
          </w:p>
        </w:tc>
        <w:tc>
          <w:tcPr>
            <w:tcW w:w="1165" w:type="dxa"/>
            <w:tcBorders>
              <w:top w:val="single" w:sz="8" w:space="0" w:color="FFFFFF"/>
              <w:left w:val="single" w:sz="8" w:space="0" w:color="FFFFFF"/>
              <w:bottom w:val="single" w:sz="8" w:space="0" w:color="FFFFFF"/>
              <w:right w:val="single" w:sz="8" w:space="0" w:color="FFFFFF"/>
            </w:tcBorders>
            <w:shd w:val="clear" w:color="auto" w:fill="B9CDE5"/>
            <w:tcMar>
              <w:top w:w="80" w:type="dxa"/>
              <w:left w:w="80" w:type="dxa"/>
              <w:bottom w:w="80" w:type="dxa"/>
              <w:right w:w="80" w:type="dxa"/>
            </w:tcMa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(M$ 2017)</w:t>
            </w:r>
          </w:p>
        </w:tc>
        <w:tc>
          <w:tcPr>
            <w:tcW w:w="906" w:type="dxa"/>
            <w:tcBorders>
              <w:top w:val="single" w:sz="8" w:space="0" w:color="FFFFFF"/>
              <w:left w:val="single" w:sz="8" w:space="0" w:color="FFFFFF"/>
              <w:bottom w:val="single" w:sz="8" w:space="0" w:color="FFFFFF"/>
              <w:right w:val="single" w:sz="8" w:space="0" w:color="FFFFFF"/>
            </w:tcBorders>
            <w:shd w:val="clear" w:color="auto" w:fill="B9CDE5"/>
            <w:tcMar>
              <w:top w:w="80" w:type="dxa"/>
              <w:left w:w="80" w:type="dxa"/>
              <w:bottom w:w="80" w:type="dxa"/>
              <w:right w:w="80" w:type="dxa"/>
            </w:tcMa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w:t>
            </w:r>
          </w:p>
        </w:tc>
      </w:tr>
      <w:tr>
        <w:tblPrEx>
          <w:tblCellMar>
            <w:top w:w="0" w:type="dxa"/>
            <w:left w:w="0" w:type="dxa"/>
            <w:bottom w:w="0" w:type="dxa"/>
            <w:right w:w="0" w:type="dxa"/>
          </w:tblCellMar>
        </w:tblPrEx>
        <w:trPr>
          <w:trHeight w:val="352"/>
          <w:jc w:val="center"/>
        </w:trPr>
        <w:tc>
          <w:tcPr>
            <w:tcW w:w="5320" w:type="dxa"/>
            <w:tcBorders>
              <w:top w:val="single" w:sz="8" w:space="0" w:color="FFFFFF"/>
              <w:left w:val="single" w:sz="8" w:space="0" w:color="FFFFFF"/>
              <w:bottom w:val="single" w:sz="8" w:space="0" w:color="FFFFFF"/>
              <w:right w:val="single" w:sz="8" w:space="0" w:color="FFFFFF"/>
            </w:tcBorders>
            <w:shd w:val="clear" w:color="auto" w:fill="C6D9F1"/>
            <w:tcMar>
              <w:top w:w="80" w:type="dxa"/>
              <w:left w:w="80" w:type="dxa"/>
              <w:bottom w:w="80" w:type="dxa"/>
              <w:right w:w="80" w:type="dxa"/>
            </w:tcMar>
            <w:vAlign w:val="center"/>
          </w:tcPr>
          <w:p>
            <w:pPr>
              <w:pBdr>
                <w:top w:val="nil"/>
                <w:left w:val="nil"/>
                <w:bottom w:val="nil"/>
                <w:right w:val="nil"/>
                <w:between w:val="nil"/>
                <w:bar w:val="nil"/>
              </w:pBdr>
              <w:tabs>
                <w:tab w:val="clear" w:pos="2835"/>
              </w:tabs>
              <w:jc w:val="left"/>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TOTAL</w:t>
            </w:r>
          </w:p>
        </w:tc>
        <w:tc>
          <w:tcPr>
            <w:tcW w:w="1263" w:type="dxa"/>
            <w:tcBorders>
              <w:top w:val="single" w:sz="8" w:space="0" w:color="FFFFFF"/>
              <w:left w:val="single" w:sz="8" w:space="0" w:color="FFFFFF"/>
              <w:bottom w:val="single" w:sz="8" w:space="0" w:color="FFFFFF"/>
              <w:right w:val="single" w:sz="8" w:space="0" w:color="FFFFFF"/>
            </w:tcBorders>
            <w:shd w:val="clear" w:color="auto" w:fill="C6D9F1"/>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26.523.724</w:t>
            </w:r>
          </w:p>
        </w:tc>
        <w:tc>
          <w:tcPr>
            <w:tcW w:w="1263" w:type="dxa"/>
            <w:tcBorders>
              <w:top w:val="single" w:sz="8" w:space="0" w:color="FFFFFF"/>
              <w:left w:val="single" w:sz="8" w:space="0" w:color="FFFFFF"/>
              <w:bottom w:val="single" w:sz="8" w:space="0" w:color="FFFFFF"/>
              <w:right w:val="single" w:sz="8" w:space="0" w:color="FFFFFF"/>
            </w:tcBorders>
            <w:shd w:val="clear" w:color="auto" w:fill="C6D9F1"/>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25.586.233</w:t>
            </w:r>
          </w:p>
        </w:tc>
        <w:tc>
          <w:tcPr>
            <w:tcW w:w="1165" w:type="dxa"/>
            <w:tcBorders>
              <w:top w:val="single" w:sz="8" w:space="0" w:color="FFFFFF"/>
              <w:left w:val="single" w:sz="8" w:space="0" w:color="FFFFFF"/>
              <w:bottom w:val="single" w:sz="8" w:space="0" w:color="FFFFFF"/>
              <w:right w:val="single" w:sz="8" w:space="0" w:color="FFFFFF"/>
            </w:tcBorders>
            <w:shd w:val="clear" w:color="auto" w:fill="C6D9F1"/>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-937.491</w:t>
            </w:r>
          </w:p>
        </w:tc>
        <w:tc>
          <w:tcPr>
            <w:tcW w:w="906" w:type="dxa"/>
            <w:tcBorders>
              <w:top w:val="single" w:sz="8" w:space="0" w:color="FFFFFF"/>
              <w:left w:val="single" w:sz="8" w:space="0" w:color="FFFFFF"/>
              <w:bottom w:val="single" w:sz="8" w:space="0" w:color="FFFFFF"/>
              <w:right w:val="single" w:sz="8" w:space="0" w:color="FFFFFF"/>
            </w:tcBorders>
            <w:shd w:val="clear" w:color="auto" w:fill="C6D9F1"/>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-3,53%</w:t>
            </w:r>
          </w:p>
        </w:tc>
      </w:tr>
      <w:tr>
        <w:tblPrEx>
          <w:tblCellMar>
            <w:top w:w="0" w:type="dxa"/>
            <w:left w:w="0" w:type="dxa"/>
            <w:bottom w:w="0" w:type="dxa"/>
            <w:right w:w="0" w:type="dxa"/>
          </w:tblCellMar>
        </w:tblPrEx>
        <w:trPr>
          <w:trHeight w:val="388"/>
          <w:jc w:val="center"/>
        </w:trPr>
        <w:tc>
          <w:tcPr>
            <w:tcW w:w="5320"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lef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Gasto en Personal  (</w:t>
            </w:r>
            <w:r>
              <w:rPr>
                <w:bCs/>
                <w:color w:val="000000"/>
                <w:kern w:val="24"/>
                <w:sz w:val="18"/>
                <w:szCs w:val="18"/>
                <w:u w:color="000000"/>
                <w:bdr w:val="nil"/>
                <w:lang w:val="es-ES_tradnl" w:eastAsia="es-CL"/>
              </w:rPr>
              <w:t>Subtítulo 21</w:t>
            </w:r>
            <w:r>
              <w:rPr>
                <w:b w:val="0"/>
                <w:color w:val="000000"/>
                <w:kern w:val="24"/>
                <w:sz w:val="18"/>
                <w:szCs w:val="18"/>
                <w:u w:color="000000"/>
                <w:bdr w:val="nil"/>
                <w:lang w:val="es-ES_tradnl" w:eastAsia="es-CL"/>
              </w:rPr>
              <w:t>)</w:t>
            </w:r>
          </w:p>
        </w:tc>
        <w:tc>
          <w:tcPr>
            <w:tcW w:w="1263"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15.083.828</w:t>
            </w:r>
          </w:p>
        </w:tc>
        <w:tc>
          <w:tcPr>
            <w:tcW w:w="1263"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15.083.828</w:t>
            </w:r>
          </w:p>
        </w:tc>
        <w:tc>
          <w:tcPr>
            <w:tcW w:w="1165"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0</w:t>
            </w:r>
          </w:p>
        </w:tc>
        <w:tc>
          <w:tcPr>
            <w:tcW w:w="906"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0,00%</w:t>
            </w:r>
          </w:p>
        </w:tc>
      </w:tr>
      <w:tr>
        <w:tblPrEx>
          <w:tblCellMar>
            <w:top w:w="0" w:type="dxa"/>
            <w:left w:w="0" w:type="dxa"/>
            <w:bottom w:w="0" w:type="dxa"/>
            <w:right w:w="0" w:type="dxa"/>
          </w:tblCellMar>
        </w:tblPrEx>
        <w:trPr>
          <w:trHeight w:val="396"/>
          <w:jc w:val="center"/>
        </w:trPr>
        <w:tc>
          <w:tcPr>
            <w:tcW w:w="5320"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lef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Bienes y Servicios de Consumo  (</w:t>
            </w:r>
            <w:r>
              <w:rPr>
                <w:bCs/>
                <w:color w:val="000000"/>
                <w:kern w:val="24"/>
                <w:sz w:val="18"/>
                <w:szCs w:val="18"/>
                <w:u w:color="000000"/>
                <w:bdr w:val="nil"/>
                <w:lang w:val="es-ES_tradnl" w:eastAsia="es-CL"/>
              </w:rPr>
              <w:t>Subtítulo 22</w:t>
            </w:r>
            <w:r>
              <w:rPr>
                <w:b w:val="0"/>
                <w:color w:val="000000"/>
                <w:kern w:val="24"/>
                <w:sz w:val="18"/>
                <w:szCs w:val="18"/>
                <w:u w:color="000000"/>
                <w:bdr w:val="nil"/>
                <w:lang w:val="es-ES_tradnl" w:eastAsia="es-CL"/>
              </w:rPr>
              <w:t>)</w:t>
            </w:r>
          </w:p>
        </w:tc>
        <w:tc>
          <w:tcPr>
            <w:tcW w:w="1263"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6.120.088</w:t>
            </w:r>
          </w:p>
        </w:tc>
        <w:tc>
          <w:tcPr>
            <w:tcW w:w="1263"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5.895.438</w:t>
            </w:r>
          </w:p>
        </w:tc>
        <w:tc>
          <w:tcPr>
            <w:tcW w:w="1165"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-224.650</w:t>
            </w:r>
          </w:p>
        </w:tc>
        <w:tc>
          <w:tcPr>
            <w:tcW w:w="906"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-3,67%</w:t>
            </w:r>
          </w:p>
        </w:tc>
      </w:tr>
      <w:tr>
        <w:tblPrEx>
          <w:tblCellMar>
            <w:top w:w="0" w:type="dxa"/>
            <w:left w:w="0" w:type="dxa"/>
            <w:bottom w:w="0" w:type="dxa"/>
            <w:right w:w="0" w:type="dxa"/>
          </w:tblCellMar>
        </w:tblPrEx>
        <w:trPr>
          <w:trHeight w:val="375"/>
          <w:jc w:val="center"/>
        </w:trPr>
        <w:tc>
          <w:tcPr>
            <w:tcW w:w="5320"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lef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Integros al Fisco  (</w:t>
            </w:r>
            <w:r>
              <w:rPr>
                <w:bCs/>
                <w:color w:val="000000"/>
                <w:kern w:val="24"/>
                <w:sz w:val="18"/>
                <w:szCs w:val="18"/>
                <w:u w:color="000000"/>
                <w:bdr w:val="nil"/>
                <w:lang w:val="es-ES_tradnl" w:eastAsia="es-CL"/>
              </w:rPr>
              <w:t>Subtítulo 25</w:t>
            </w:r>
            <w:r>
              <w:rPr>
                <w:b w:val="0"/>
                <w:color w:val="000000"/>
                <w:kern w:val="24"/>
                <w:sz w:val="18"/>
                <w:szCs w:val="18"/>
                <w:u w:color="000000"/>
                <w:bdr w:val="nil"/>
                <w:lang w:val="es-ES_tradnl" w:eastAsia="es-CL"/>
              </w:rPr>
              <w:t>)</w:t>
            </w:r>
          </w:p>
        </w:tc>
        <w:tc>
          <w:tcPr>
            <w:tcW w:w="1263"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2.234</w:t>
            </w:r>
          </w:p>
        </w:tc>
        <w:tc>
          <w:tcPr>
            <w:tcW w:w="1263"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2.234</w:t>
            </w:r>
          </w:p>
        </w:tc>
        <w:tc>
          <w:tcPr>
            <w:tcW w:w="1165"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0</w:t>
            </w:r>
          </w:p>
        </w:tc>
        <w:tc>
          <w:tcPr>
            <w:tcW w:w="906"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0,00%</w:t>
            </w:r>
          </w:p>
        </w:tc>
      </w:tr>
      <w:tr>
        <w:tblPrEx>
          <w:tblCellMar>
            <w:top w:w="0" w:type="dxa"/>
            <w:left w:w="0" w:type="dxa"/>
            <w:bottom w:w="0" w:type="dxa"/>
            <w:right w:w="0" w:type="dxa"/>
          </w:tblCellMar>
        </w:tblPrEx>
        <w:trPr>
          <w:trHeight w:val="383"/>
          <w:jc w:val="center"/>
        </w:trPr>
        <w:tc>
          <w:tcPr>
            <w:tcW w:w="5320"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lef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Adquisición de Activos no financieros  (</w:t>
            </w:r>
            <w:r>
              <w:rPr>
                <w:bCs/>
                <w:color w:val="000000"/>
                <w:kern w:val="24"/>
                <w:sz w:val="18"/>
                <w:szCs w:val="18"/>
                <w:u w:color="000000"/>
                <w:bdr w:val="nil"/>
                <w:lang w:val="es-ES_tradnl" w:eastAsia="es-CL"/>
              </w:rPr>
              <w:t>Subtítulo 29</w:t>
            </w:r>
            <w:r>
              <w:rPr>
                <w:b w:val="0"/>
                <w:color w:val="000000"/>
                <w:kern w:val="24"/>
                <w:sz w:val="18"/>
                <w:szCs w:val="18"/>
                <w:u w:color="000000"/>
                <w:bdr w:val="nil"/>
                <w:lang w:val="es-ES_tradnl" w:eastAsia="es-CL"/>
              </w:rPr>
              <w:t>)</w:t>
            </w:r>
          </w:p>
        </w:tc>
        <w:tc>
          <w:tcPr>
            <w:tcW w:w="1263"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1.045.706</w:t>
            </w:r>
          </w:p>
        </w:tc>
        <w:tc>
          <w:tcPr>
            <w:tcW w:w="1263"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714.758</w:t>
            </w:r>
          </w:p>
        </w:tc>
        <w:tc>
          <w:tcPr>
            <w:tcW w:w="1165"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-330.948</w:t>
            </w:r>
          </w:p>
        </w:tc>
        <w:tc>
          <w:tcPr>
            <w:tcW w:w="906"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-31,65%</w:t>
            </w:r>
          </w:p>
        </w:tc>
      </w:tr>
      <w:tr>
        <w:tblPrEx>
          <w:tblCellMar>
            <w:top w:w="0" w:type="dxa"/>
            <w:left w:w="0" w:type="dxa"/>
            <w:bottom w:w="0" w:type="dxa"/>
            <w:right w:w="0" w:type="dxa"/>
          </w:tblCellMar>
        </w:tblPrEx>
        <w:trPr>
          <w:trHeight w:val="391"/>
          <w:jc w:val="center"/>
        </w:trPr>
        <w:tc>
          <w:tcPr>
            <w:tcW w:w="5320"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lef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Iniciativas de Inversión  (</w:t>
            </w:r>
            <w:r>
              <w:rPr>
                <w:bCs/>
                <w:color w:val="000000"/>
                <w:kern w:val="24"/>
                <w:sz w:val="18"/>
                <w:szCs w:val="18"/>
                <w:u w:color="000000"/>
                <w:bdr w:val="nil"/>
                <w:lang w:val="es-ES_tradnl" w:eastAsia="es-CL"/>
              </w:rPr>
              <w:t>Subtítulo 31</w:t>
            </w:r>
            <w:r>
              <w:rPr>
                <w:b w:val="0"/>
                <w:color w:val="000000"/>
                <w:kern w:val="24"/>
                <w:sz w:val="18"/>
                <w:szCs w:val="18"/>
                <w:u w:color="000000"/>
                <w:bdr w:val="nil"/>
                <w:lang w:val="es-ES_tradnl" w:eastAsia="es-CL"/>
              </w:rPr>
              <w:t>)</w:t>
            </w:r>
          </w:p>
        </w:tc>
        <w:tc>
          <w:tcPr>
            <w:tcW w:w="1263"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 xml:space="preserve">     620.235 </w:t>
            </w:r>
          </w:p>
        </w:tc>
        <w:tc>
          <w:tcPr>
            <w:tcW w:w="1263"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366.097</w:t>
            </w:r>
          </w:p>
        </w:tc>
        <w:tc>
          <w:tcPr>
            <w:tcW w:w="1165"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-254.138</w:t>
            </w:r>
          </w:p>
        </w:tc>
        <w:tc>
          <w:tcPr>
            <w:tcW w:w="906"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-40,97%</w:t>
            </w:r>
          </w:p>
        </w:tc>
      </w:tr>
      <w:tr>
        <w:tblPrEx>
          <w:tblCellMar>
            <w:top w:w="0" w:type="dxa"/>
            <w:left w:w="0" w:type="dxa"/>
            <w:bottom w:w="0" w:type="dxa"/>
            <w:right w:w="0" w:type="dxa"/>
          </w:tblCellMar>
        </w:tblPrEx>
        <w:trPr>
          <w:trHeight w:val="385"/>
          <w:jc w:val="center"/>
        </w:trPr>
        <w:tc>
          <w:tcPr>
            <w:tcW w:w="5320"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lef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Servicio de la Deuda  (</w:t>
            </w:r>
            <w:r>
              <w:rPr>
                <w:bCs/>
                <w:color w:val="000000"/>
                <w:kern w:val="24"/>
                <w:sz w:val="18"/>
                <w:szCs w:val="18"/>
                <w:u w:color="000000"/>
                <w:bdr w:val="nil"/>
                <w:lang w:val="es-ES_tradnl" w:eastAsia="es-CL"/>
              </w:rPr>
              <w:t>Subtítulo 34</w:t>
            </w:r>
            <w:r>
              <w:rPr>
                <w:b w:val="0"/>
                <w:color w:val="000000"/>
                <w:kern w:val="24"/>
                <w:sz w:val="18"/>
                <w:szCs w:val="18"/>
                <w:u w:color="000000"/>
                <w:bdr w:val="nil"/>
                <w:lang w:val="es-ES_tradnl" w:eastAsia="es-CL"/>
              </w:rPr>
              <w:t>)</w:t>
            </w:r>
          </w:p>
        </w:tc>
        <w:tc>
          <w:tcPr>
            <w:tcW w:w="1263"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3.651.633</w:t>
            </w:r>
          </w:p>
        </w:tc>
        <w:tc>
          <w:tcPr>
            <w:tcW w:w="1263"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3.523.878</w:t>
            </w:r>
          </w:p>
        </w:tc>
        <w:tc>
          <w:tcPr>
            <w:tcW w:w="1165"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-127.755</w:t>
            </w:r>
          </w:p>
        </w:tc>
        <w:tc>
          <w:tcPr>
            <w:tcW w:w="906"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-3,50%</w:t>
            </w:r>
          </w:p>
        </w:tc>
      </w:tr>
      <w:tr>
        <w:tblPrEx>
          <w:tblCellMar>
            <w:top w:w="0" w:type="dxa"/>
            <w:left w:w="0" w:type="dxa"/>
            <w:bottom w:w="0" w:type="dxa"/>
            <w:right w:w="0" w:type="dxa"/>
          </w:tblCellMar>
        </w:tblPrEx>
        <w:trPr>
          <w:trHeight w:val="393"/>
          <w:jc w:val="center"/>
        </w:trPr>
        <w:tc>
          <w:tcPr>
            <w:tcW w:w="5320" w:type="dxa"/>
            <w:tcBorders>
              <w:top w:val="single" w:sz="8" w:space="0" w:color="FFFFFF"/>
              <w:left w:val="single" w:sz="8" w:space="0" w:color="FFFFFF"/>
              <w:bottom w:val="single" w:sz="8" w:space="0" w:color="FFFFFF"/>
              <w:right w:val="single" w:sz="8" w:space="0" w:color="FFFFFF"/>
            </w:tcBorders>
            <w:shd w:val="clear" w:color="auto" w:fill="B9CDE5"/>
            <w:tcMar>
              <w:top w:w="80" w:type="dxa"/>
              <w:left w:w="80" w:type="dxa"/>
              <w:bottom w:w="80" w:type="dxa"/>
              <w:right w:w="80" w:type="dxa"/>
            </w:tcMar>
            <w:vAlign w:val="center"/>
          </w:tcPr>
          <w:p>
            <w:pPr>
              <w:pBdr>
                <w:top w:val="nil"/>
                <w:left w:val="nil"/>
                <w:bottom w:val="nil"/>
                <w:right w:val="nil"/>
                <w:between w:val="nil"/>
                <w:bar w:val="nil"/>
              </w:pBdr>
              <w:tabs>
                <w:tab w:val="clear" w:pos="2835"/>
              </w:tabs>
              <w:jc w:val="left"/>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 xml:space="preserve">Gasto neto </w:t>
            </w:r>
            <w:r>
              <w:rPr>
                <w:b w:val="0"/>
                <w:color w:val="000000"/>
                <w:kern w:val="24"/>
                <w:sz w:val="18"/>
                <w:szCs w:val="18"/>
                <w:u w:color="000000"/>
                <w:bdr w:val="nil"/>
                <w:lang w:val="es-ES_tradnl" w:eastAsia="es-CL"/>
              </w:rPr>
              <w:t>(*)</w:t>
            </w:r>
            <w:r>
              <w:rPr>
                <w:bCs/>
                <w:color w:val="000000"/>
                <w:kern w:val="24"/>
                <w:sz w:val="18"/>
                <w:szCs w:val="18"/>
                <w:u w:color="000000"/>
                <w:bdr w:val="nil"/>
                <w:lang w:val="es-ES_tradnl" w:eastAsia="es-CL"/>
              </w:rPr>
              <w:t xml:space="preserve"> </w:t>
            </w:r>
          </w:p>
        </w:tc>
        <w:tc>
          <w:tcPr>
            <w:tcW w:w="1263" w:type="dxa"/>
            <w:tcBorders>
              <w:top w:val="single" w:sz="8" w:space="0" w:color="FFFFFF"/>
              <w:left w:val="single" w:sz="8" w:space="0" w:color="FFFFFF"/>
              <w:bottom w:val="single" w:sz="8" w:space="0" w:color="FFFFFF"/>
              <w:right w:val="single" w:sz="8" w:space="0" w:color="FFFFFF"/>
            </w:tcBorders>
            <w:shd w:val="clear" w:color="auto" w:fill="B9CDE5"/>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22.920.678</w:t>
            </w:r>
          </w:p>
        </w:tc>
        <w:tc>
          <w:tcPr>
            <w:tcW w:w="1263" w:type="dxa"/>
            <w:tcBorders>
              <w:top w:val="single" w:sz="8" w:space="0" w:color="FFFFFF"/>
              <w:left w:val="single" w:sz="8" w:space="0" w:color="FFFFFF"/>
              <w:bottom w:val="single" w:sz="8" w:space="0" w:color="FFFFFF"/>
              <w:right w:val="single" w:sz="8" w:space="0" w:color="FFFFFF"/>
            </w:tcBorders>
            <w:shd w:val="clear" w:color="auto" w:fill="B9CDE5"/>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22.088.132</w:t>
            </w:r>
          </w:p>
        </w:tc>
        <w:tc>
          <w:tcPr>
            <w:tcW w:w="1165" w:type="dxa"/>
            <w:tcBorders>
              <w:top w:val="single" w:sz="8" w:space="0" w:color="FFFFFF"/>
              <w:left w:val="single" w:sz="8" w:space="0" w:color="FFFFFF"/>
              <w:bottom w:val="single" w:sz="8" w:space="0" w:color="FFFFFF"/>
              <w:right w:val="single" w:sz="8" w:space="0" w:color="FFFFFF"/>
            </w:tcBorders>
            <w:shd w:val="clear" w:color="auto" w:fill="C6D9F1"/>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-832.546</w:t>
            </w:r>
          </w:p>
        </w:tc>
        <w:tc>
          <w:tcPr>
            <w:tcW w:w="906" w:type="dxa"/>
            <w:tcBorders>
              <w:top w:val="single" w:sz="8" w:space="0" w:color="FFFFFF"/>
              <w:left w:val="single" w:sz="8" w:space="0" w:color="FFFFFF"/>
              <w:bottom w:val="single" w:sz="8" w:space="0" w:color="FFFFFF"/>
              <w:right w:val="single" w:sz="8" w:space="0" w:color="FFFFFF"/>
            </w:tcBorders>
            <w:shd w:val="clear" w:color="auto" w:fill="C6D9F1"/>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-3,63%</w:t>
            </w:r>
          </w:p>
        </w:tc>
      </w:tr>
    </w:tbl>
    <w:p>
      <w:pPr>
        <w:pBdr>
          <w:top w:val="nil"/>
          <w:left w:val="nil"/>
          <w:bottom w:val="nil"/>
          <w:right w:val="nil"/>
          <w:between w:val="nil"/>
          <w:bar w:val="nil"/>
        </w:pBdr>
        <w:rPr>
          <w:rFonts w:eastAsia="Arial"/>
          <w:bCs/>
          <w:color w:val="000000"/>
          <w:sz w:val="22"/>
          <w:szCs w:val="22"/>
          <w:u w:color="000000"/>
          <w:bdr w:val="nil"/>
          <w:lang w:val="es-ES_tradnl" w:eastAsia="es-CL"/>
        </w:rPr>
      </w:pPr>
      <w:r>
        <w:rPr>
          <w:rFonts w:eastAsia="Arial Unicode MS" w:cs="Arial Unicode MS"/>
          <w:bCs/>
          <w:color w:val="000000"/>
          <w:sz w:val="22"/>
          <w:szCs w:val="22"/>
          <w:u w:color="000000"/>
          <w:bdr w:val="nil"/>
          <w:lang w:val="es-ES_tradnl" w:eastAsia="es-CL"/>
        </w:rPr>
        <w:t>(*) Gasto de Estado de Operaciones = GASTOS-(Subt.25+30+32+34+35) + Ítem25.01+Intereses y Otros Gastos Financieros de Deuda</w:t>
      </w:r>
    </w:p>
    <w:p>
      <w:pPr>
        <w:pBdr>
          <w:top w:val="nil"/>
          <w:left w:val="nil"/>
          <w:bottom w:val="nil"/>
          <w:right w:val="nil"/>
          <w:between w:val="nil"/>
          <w:bar w:val="nil"/>
        </w:pBdr>
        <w:rPr>
          <w:rFonts w:eastAsia="Arial"/>
          <w:b w:val="0"/>
          <w:color w:val="000000"/>
          <w:sz w:val="22"/>
          <w:szCs w:val="22"/>
          <w:u w:color="000000"/>
          <w:bdr w:val="nil"/>
          <w:lang w:val="es-ES_tradnl" w:eastAsia="es-CL"/>
        </w:rPr>
      </w:pPr>
    </w:p>
    <w:p>
      <w:pPr>
        <w:pBdr>
          <w:top w:val="nil"/>
          <w:left w:val="nil"/>
          <w:bottom w:val="nil"/>
          <w:right w:val="nil"/>
          <w:between w:val="nil"/>
          <w:bar w:val="nil"/>
        </w:pBdr>
        <w:rPr>
          <w:rFonts w:eastAsia="Arial"/>
          <w:b w:val="0"/>
          <w:color w:val="000000"/>
          <w:sz w:val="22"/>
          <w:szCs w:val="22"/>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En este punto, resaltó la disminución de un 3,63% del presupuesto de DIPRES, lo que equivale a un total de $22.088.132.000 (veintidós mil ochenta y ocho millones ciento treinta y dos mil pesos), habiéndose reducido la cantidad de $832.546.000 (ochocientos treinta y dos mil quinientos cuarenta y seis millones de pesos). Lo anterior, precisó en conformidad a la Ley de Presupuestos 2016 ajustada.</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Dicha reducción presupuestaria, explicó, se debe a los menores gastos en desarrollos informáticos asociados a la implementación del nuevo Sistema de Administración Presupuestaria SIAP 2.0  y en la ejecución del proyecto de habilitación del piso 9° (Subtítulos 29 y 31).</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Así, agregó, se da continuidad de operación a la institución y se financia la etapa 3 (de un total de 4) del proyecto SIAP 2.0 ($ 938 millones) y la etapa final de la remodelación del piso 9° en Teatinos 120 ($366 millones).</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 xml:space="preserve">Por otra parte, subrayó que el </w:t>
      </w:r>
      <w:r>
        <w:rPr>
          <w:rFonts w:eastAsia="Arial Unicode MS" w:cs="Arial Unicode MS"/>
          <w:bCs/>
          <w:color w:val="000000"/>
          <w:u w:color="000000"/>
          <w:bdr w:val="nil"/>
          <w:lang w:val="es-ES_tradnl" w:eastAsia="es-CL"/>
        </w:rPr>
        <w:t>Subtítulo 21</w:t>
      </w:r>
      <w:r>
        <w:rPr>
          <w:rFonts w:eastAsia="Arial Unicode MS" w:cs="Arial Unicode MS"/>
          <w:b w:val="0"/>
          <w:color w:val="000000"/>
          <w:u w:color="000000"/>
          <w:bdr w:val="nil"/>
          <w:lang w:val="es-ES_tradnl" w:eastAsia="es-CL"/>
        </w:rPr>
        <w:t xml:space="preserve"> se mantiene constante, en tanto no existir modificaciones en personal ni en remuneraciones.</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 xml:space="preserve">Sin perjuicio de lo anterior, indicó que desde el año 2014 a la fecha se ha efectuado el traspaso de 92 personas desde la modalidad de honorarios a contrata. En tal sentido, expresó que actualmente la Dirección de Presupuestos cuenta con cincuenta personas a honorarios, de los cuales la mayoría de ellos (45), son trabajadores que han sido contratados recientemente y que no han cumplido un año en la institución, el cual es un requisito de DIPRES para pasar a la calidad de contrata, y los cinco restantes desempeñan trabajos ocasionales por lo que no existe la necesidad de su traspaso a dicha calidad. </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Unicode MS" w:cs="Arial Unicode MS"/>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 xml:space="preserve">Por su parte, agregó, en el </w:t>
      </w:r>
      <w:r>
        <w:rPr>
          <w:rFonts w:eastAsia="Arial Unicode MS" w:cs="Arial Unicode MS"/>
          <w:bCs/>
          <w:color w:val="000000"/>
          <w:u w:color="000000"/>
          <w:bdr w:val="nil"/>
          <w:lang w:val="es-ES_tradnl" w:eastAsia="es-CL"/>
        </w:rPr>
        <w:t>Subtítulo 22</w:t>
      </w:r>
      <w:r>
        <w:rPr>
          <w:rFonts w:eastAsia="Arial Unicode MS" w:cs="Arial Unicode MS"/>
          <w:b w:val="0"/>
          <w:color w:val="000000"/>
          <w:u w:color="000000"/>
          <w:bdr w:val="nil"/>
          <w:lang w:val="es-ES_tradnl" w:eastAsia="es-CL"/>
        </w:rPr>
        <w:t xml:space="preserve"> se observa una reducción de $224.650.000 (doscientos veinticuatro millones seiscientos cincuenta mil pesos), que equivale a una disminución de un 3,67% y que dice relación con la idea de mantener una cifra equivalente al ajuste fiscal efectuado durante el año en curso.</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En tal sentido, señaló que el Director de Presupuestos determinó que las publicaciones sean sólo digitales y no en papel (salvo Ley de Presupuestos), lo que implicó un ahorro de $34.000.000.- (treinta y cuatro millones de pesos).</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Asimismo, se efectuó una disminución en gastos de arriendo de bodegaje, producto del almacenamiento de muebles y equipamientos dados de baja, los que fueron donados a escuelas y otras instituciones para su uso, implicando ello un ahorro adicional de alrededor $15.000.000.- (quince millones de pesos) o $20.000.000.- (veinte millones de pesos).</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De igual modo, añadió, se generó un ahorro en las suscripciones en publicaciones nacionales e internacionales.</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Posteriormente, describió las metas estratégicas del Servicio para el año 2017.</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 xml:space="preserve">- </w:t>
      </w:r>
      <w:r>
        <w:rPr>
          <w:rFonts w:eastAsia="Arial Unicode MS" w:cs="Arial Unicode MS"/>
          <w:bCs/>
          <w:color w:val="000000"/>
          <w:u w:color="000000"/>
          <w:bdr w:val="nil"/>
          <w:lang w:val="es-ES_tradnl" w:eastAsia="es-CL"/>
        </w:rPr>
        <w:t>Implementación del SIAP 2.0</w:t>
      </w:r>
      <w:r>
        <w:rPr>
          <w:rFonts w:eastAsia="Arial Unicode MS" w:cs="Arial Unicode MS"/>
          <w:b w:val="0"/>
          <w:color w:val="000000"/>
          <w:u w:color="000000"/>
          <w:bdr w:val="nil"/>
          <w:lang w:val="es-ES_tradnl" w:eastAsia="es-CL"/>
        </w:rPr>
        <w:t>: desarrollar y habilitar un nuevo Sistema de Administración Presupuestaria al interior de la DIPRES. Lo anterior, en tanto el sistema actual data del año 2000, por lo que una modificación en este ámbito se hace necesario para el adecuado desempeño de las funciones del organismo.</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Durante el año 2017 se  seguirán ejecutando las fases 1 y 2, se desarrollará la fase 3 y se comenzará con la fase 4 y final.</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w:b w:val="0"/>
          <w:color w:val="000000"/>
          <w:u w:color="000000"/>
          <w:bdr w:val="nil"/>
          <w:lang w:val="es-ES_tradnl" w:eastAsia="es-CL"/>
        </w:rPr>
        <w:tab/>
      </w:r>
      <w:r>
        <w:rPr>
          <w:rFonts w:eastAsia="Arial Unicode MS" w:cs="Arial Unicode MS"/>
          <w:bCs/>
          <w:color w:val="000000"/>
          <w:u w:color="000000"/>
          <w:bdr w:val="nil"/>
          <w:lang w:val="es-ES_tradnl" w:eastAsia="es-CL"/>
        </w:rPr>
        <w:t>Subtítulo 22</w:t>
      </w:r>
      <w:r>
        <w:rPr>
          <w:rFonts w:eastAsia="Arial Unicode MS" w:cs="Arial Unicode MS"/>
          <w:b w:val="0"/>
          <w:color w:val="000000"/>
          <w:u w:color="000000"/>
          <w:bdr w:val="nil"/>
          <w:lang w:val="es-ES_tradnl" w:eastAsia="es-CL"/>
        </w:rPr>
        <w:t>: M$223.910.-: contratación horas hombre para el desarrollo del sistema, el soporte de licencias, base de datos y sistemas operativos.</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w:b w:val="0"/>
          <w:color w:val="000000"/>
          <w:u w:color="000000"/>
          <w:bdr w:val="nil"/>
          <w:lang w:val="es-ES_tradnl" w:eastAsia="es-CL"/>
        </w:rPr>
        <w:tab/>
      </w:r>
      <w:r>
        <w:rPr>
          <w:rFonts w:eastAsia="Arial Unicode MS" w:cs="Arial Unicode MS"/>
          <w:bCs/>
          <w:color w:val="000000"/>
          <w:u w:color="000000"/>
          <w:bdr w:val="nil"/>
          <w:lang w:val="es-ES_tradnl" w:eastAsia="es-CL"/>
        </w:rPr>
        <w:t>Subtítulo 29</w:t>
      </w:r>
      <w:r>
        <w:rPr>
          <w:rFonts w:eastAsia="Arial Unicode MS" w:cs="Arial Unicode MS"/>
          <w:b w:val="0"/>
          <w:color w:val="000000"/>
          <w:u w:color="000000"/>
          <w:bdr w:val="nil"/>
          <w:lang w:val="es-ES_tradnl" w:eastAsia="es-CL"/>
        </w:rPr>
        <w:t>: M$714.758.-: adquisición de licencias computacionales y horas hombre para el desarrollo informático.</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Unicode MS" w:cs="Arial Unicode MS"/>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Durante 2016 se está ejecutando la Fase 1 y Fase 2, a través de la contratación de soporte informático por M$252.292.- y  M$1.015.249.- en adquisición de licencias y contratación de horas hombre de desarrollo y generación del sistema.</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 xml:space="preserve">- </w:t>
      </w:r>
      <w:r>
        <w:rPr>
          <w:rFonts w:eastAsia="Arial Unicode MS" w:cs="Arial Unicode MS"/>
          <w:bCs/>
          <w:color w:val="000000"/>
          <w:u w:color="000000"/>
          <w:bdr w:val="nil"/>
          <w:lang w:val="es-ES_tradnl" w:eastAsia="es-CL"/>
        </w:rPr>
        <w:t>Conservación Piso 9° Edificio Teatinos 120 – DIPRES</w:t>
      </w:r>
      <w:r>
        <w:rPr>
          <w:rFonts w:eastAsia="Arial Unicode MS" w:cs="Arial Unicode MS"/>
          <w:b w:val="0"/>
          <w:color w:val="000000"/>
          <w:u w:color="000000"/>
          <w:bdr w:val="nil"/>
          <w:lang w:val="es-ES_tradnl" w:eastAsia="es-CL"/>
        </w:rPr>
        <w:t xml:space="preserve">: se contempla en el </w:t>
      </w:r>
      <w:r>
        <w:rPr>
          <w:rFonts w:eastAsia="Arial Unicode MS" w:cs="Arial Unicode MS"/>
          <w:bCs/>
          <w:color w:val="000000"/>
          <w:u w:color="000000"/>
          <w:bdr w:val="nil"/>
          <w:lang w:val="es-ES_tradnl" w:eastAsia="es-CL"/>
        </w:rPr>
        <w:t>Subtítulo 31</w:t>
      </w:r>
      <w:r>
        <w:rPr>
          <w:rFonts w:eastAsia="Arial Unicode MS" w:cs="Arial Unicode MS"/>
          <w:b w:val="0"/>
          <w:color w:val="000000"/>
          <w:u w:color="000000"/>
          <w:bdr w:val="nil"/>
          <w:lang w:val="es-ES_tradnl" w:eastAsia="es-CL"/>
        </w:rPr>
        <w:t xml:space="preserve"> la cantidad de M$366.097.- para culminar los trabajos de remodelación y adecuación del Piso 9° del Edifico Teatinos 120.</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 xml:space="preserve">Durante 2016 se concluyó el diseño de la remodelación (1.880 mt.2) y se están tramitando las Bases para licitar la ejecución de los trabajos. </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Las nuevas dependencias serán destinadas a reubicaciones de oficinas y personal de DIPRES que actualmente se encuentran trabajando en espacios que no cumplen con los estándares de densidad de ocupación. Se reagruparán funciones que se encuentran dispersas, se mejorarán condiciones de espacio por oficina, se recuperarán salas de reuniones, etc. Además, se contemplan dependencias para la Subsecretaría de Pesca.</w:t>
      </w:r>
    </w:p>
    <w:p>
      <w:pPr>
        <w:rPr>
          <w:b w:val="0"/>
          <w:sz w:val="23"/>
          <w:szCs w:val="23"/>
        </w:rPr>
      </w:pPr>
    </w:p>
    <w:p>
      <w:pPr>
        <w:rPr>
          <w:b w:val="0"/>
          <w:sz w:val="23"/>
          <w:szCs w:val="23"/>
        </w:rPr>
      </w:pPr>
    </w:p>
    <w:p>
      <w:pPr>
        <w:rPr>
          <w:b w:val="0"/>
          <w:sz w:val="23"/>
          <w:szCs w:val="23"/>
        </w:rPr>
      </w:pPr>
    </w:p>
    <w:p>
      <w:pPr>
        <w:rPr>
          <w:b w:val="0"/>
          <w:sz w:val="23"/>
          <w:szCs w:val="23"/>
        </w:rPr>
      </w:pPr>
    </w:p>
    <w:p>
      <w:pPr>
        <w:rPr>
          <w:b w:val="0"/>
          <w:sz w:val="23"/>
          <w:szCs w:val="23"/>
        </w:rPr>
      </w:pPr>
    </w:p>
    <w:p>
      <w:pPr>
        <w:rPr>
          <w:b w:val="0"/>
          <w:sz w:val="23"/>
          <w:szCs w:val="23"/>
        </w:rPr>
      </w:pPr>
    </w:p>
    <w:p>
      <w:pPr>
        <w:rPr>
          <w:b w:val="0"/>
          <w:sz w:val="23"/>
          <w:szCs w:val="23"/>
        </w:rPr>
      </w:pPr>
    </w:p>
    <w:p>
      <w:pPr>
        <w:rPr>
          <w:b w:val="0"/>
          <w:sz w:val="23"/>
          <w:szCs w:val="23"/>
        </w:rPr>
      </w:pPr>
    </w:p>
    <w:p>
      <w:pPr>
        <w:pBdr>
          <w:top w:val="nil"/>
          <w:left w:val="nil"/>
          <w:bottom w:val="nil"/>
          <w:right w:val="nil"/>
          <w:between w:val="nil"/>
          <w:bar w:val="nil"/>
        </w:pBdr>
        <w:jc w:val="center"/>
        <w:rPr>
          <w:rFonts w:eastAsia="Arial"/>
          <w:bCs/>
          <w:color w:val="000000"/>
          <w:u w:color="000000"/>
          <w:bdr w:val="nil"/>
          <w:lang w:val="es-ES_tradnl" w:eastAsia="es-CL"/>
        </w:rPr>
      </w:pPr>
      <w:r>
        <w:rPr>
          <w:rFonts w:eastAsia="Arial"/>
          <w:bCs/>
          <w:color w:val="000000"/>
          <w:u w:color="000000"/>
          <w:bdr w:val="nil"/>
          <w:lang w:val="es-ES_tradnl" w:eastAsia="es-CL"/>
        </w:rPr>
        <w:t>Ejecución Presupuestaria Agosto 2016 (M$)</w:t>
      </w:r>
    </w:p>
    <w:p>
      <w:pPr>
        <w:pBdr>
          <w:top w:val="nil"/>
          <w:left w:val="nil"/>
          <w:bottom w:val="nil"/>
          <w:right w:val="nil"/>
          <w:between w:val="nil"/>
          <w:bar w:val="nil"/>
        </w:pBdr>
        <w:jc w:val="center"/>
        <w:rPr>
          <w:rFonts w:eastAsia="Arial"/>
          <w:b w:val="0"/>
          <w:color w:val="000000"/>
          <w:u w:color="000000"/>
          <w:bdr w:val="nil"/>
          <w:lang w:val="es-ES_tradnl" w:eastAsia="es-CL"/>
        </w:rPr>
      </w:pPr>
      <w:r>
        <w:rPr>
          <w:rFonts w:eastAsia="Arial"/>
          <w:bCs/>
          <w:color w:val="000000"/>
          <w:u w:color="000000"/>
          <w:bdr w:val="nil"/>
          <w:lang w:val="es-ES_tradnl" w:eastAsia="es-CL"/>
        </w:rPr>
        <w:t>CAPÍTULO 02 – Programa 01 Dirección de Presupuestos</w:t>
      </w:r>
    </w:p>
    <w:tbl>
      <w:tblPr>
        <w:tblW w:w="9894" w:type="dxa"/>
        <w:jc w:val="center"/>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1067"/>
        <w:gridCol w:w="2930"/>
        <w:gridCol w:w="1057"/>
        <w:gridCol w:w="1208"/>
        <w:gridCol w:w="1403"/>
        <w:gridCol w:w="1057"/>
        <w:gridCol w:w="1172"/>
      </w:tblGrid>
      <w:tr>
        <w:tblPrEx>
          <w:tblCellMar>
            <w:top w:w="0" w:type="dxa"/>
            <w:left w:w="0" w:type="dxa"/>
            <w:bottom w:w="0" w:type="dxa"/>
            <w:right w:w="0" w:type="dxa"/>
          </w:tblCellMar>
        </w:tblPrEx>
        <w:trPr>
          <w:trHeight w:val="980"/>
          <w:jc w:val="center"/>
        </w:trPr>
        <w:tc>
          <w:tcPr>
            <w:tcW w:w="106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Subtítulo</w:t>
            </w:r>
          </w:p>
        </w:tc>
        <w:tc>
          <w:tcPr>
            <w:tcW w:w="293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Clasificación Presupuestaria</w:t>
            </w:r>
          </w:p>
        </w:tc>
        <w:tc>
          <w:tcPr>
            <w:tcW w:w="3668"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Presupuesto año 2016</w:t>
            </w:r>
          </w:p>
        </w:tc>
        <w:tc>
          <w:tcPr>
            <w:tcW w:w="222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Avance Ejecución Presupuestaria a agosto 2016</w:t>
            </w:r>
          </w:p>
        </w:tc>
      </w:tr>
      <w:tr>
        <w:tblPrEx>
          <w:tblCellMar>
            <w:top w:w="0" w:type="dxa"/>
            <w:left w:w="0" w:type="dxa"/>
            <w:bottom w:w="0" w:type="dxa"/>
            <w:right w:w="0" w:type="dxa"/>
          </w:tblCellMar>
        </w:tblPrEx>
        <w:trPr>
          <w:trHeight w:val="1460"/>
          <w:jc w:val="center"/>
        </w:trPr>
        <w:tc>
          <w:tcPr>
            <w:tcW w:w="1067" w:type="dxa"/>
            <w:vMerge/>
            <w:tcBorders>
              <w:top w:val="single" w:sz="4" w:space="0" w:color="000000"/>
              <w:left w:val="single" w:sz="4" w:space="0" w:color="000000"/>
              <w:bottom w:val="single" w:sz="4" w:space="0" w:color="000000"/>
              <w:right w:val="single" w:sz="4" w:space="0" w:color="000000"/>
            </w:tcBorders>
            <w:shd w:val="clear" w:color="auto" w:fill="auto"/>
          </w:tcPr>
          <w:p>
            <w:pPr>
              <w:pBdr>
                <w:top w:val="nil"/>
                <w:left w:val="nil"/>
                <w:bottom w:val="nil"/>
                <w:right w:val="nil"/>
                <w:between w:val="nil"/>
                <w:bar w:val="nil"/>
              </w:pBdr>
              <w:rPr>
                <w:rFonts w:eastAsia="Arial"/>
                <w:b w:val="0"/>
                <w:color w:val="000000"/>
                <w:sz w:val="18"/>
                <w:szCs w:val="18"/>
                <w:u w:color="000000"/>
                <w:bdr w:val="nil"/>
                <w:lang w:val="es-ES_tradnl" w:eastAsia="es-CL"/>
              </w:rPr>
            </w:pPr>
          </w:p>
        </w:tc>
        <w:tc>
          <w:tcPr>
            <w:tcW w:w="2930" w:type="dxa"/>
            <w:vMerge/>
            <w:tcBorders>
              <w:top w:val="single" w:sz="4" w:space="0" w:color="000000"/>
              <w:left w:val="single" w:sz="4" w:space="0" w:color="000000"/>
              <w:bottom w:val="single" w:sz="4" w:space="0" w:color="000000"/>
              <w:right w:val="single" w:sz="4" w:space="0" w:color="000000"/>
            </w:tcBorders>
            <w:shd w:val="clear" w:color="auto" w:fill="auto"/>
          </w:tcPr>
          <w:p>
            <w:pPr>
              <w:pBdr>
                <w:top w:val="nil"/>
                <w:left w:val="nil"/>
                <w:bottom w:val="nil"/>
                <w:right w:val="nil"/>
                <w:between w:val="nil"/>
                <w:bar w:val="nil"/>
              </w:pBdr>
              <w:rPr>
                <w:rFonts w:eastAsia="Arial"/>
                <w:b w:val="0"/>
                <w:color w:val="000000"/>
                <w:sz w:val="18"/>
                <w:szCs w:val="18"/>
                <w:u w:color="000000"/>
                <w:bdr w:val="nil"/>
                <w:lang w:val="es-ES_tradnl" w:eastAsia="es-CL"/>
              </w:rPr>
            </w:pPr>
          </w:p>
        </w:tc>
        <w:tc>
          <w:tcPr>
            <w:tcW w:w="105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Ley Inicial año 2016 (1)</w:t>
            </w:r>
          </w:p>
        </w:tc>
        <w:tc>
          <w:tcPr>
            <w:tcW w:w="1208"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Presupuesto Vigente a agosto 2016 (2)</w:t>
            </w:r>
          </w:p>
        </w:tc>
        <w:tc>
          <w:tcPr>
            <w:tcW w:w="1403"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Ejecución Presupuestaria a agosto 2016 (3)</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En relación con Ley Inicial</w:t>
            </w:r>
          </w:p>
        </w:tc>
        <w:tc>
          <w:tcPr>
            <w:tcW w:w="11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En relación con Presupuesto Vigente</w:t>
            </w:r>
          </w:p>
        </w:tc>
      </w:tr>
      <w:tr>
        <w:tblPrEx>
          <w:tblCellMar>
            <w:top w:w="0" w:type="dxa"/>
            <w:left w:w="0" w:type="dxa"/>
            <w:bottom w:w="0" w:type="dxa"/>
            <w:right w:w="0" w:type="dxa"/>
          </w:tblCellMar>
        </w:tblPrEx>
        <w:trPr>
          <w:trHeight w:val="500"/>
          <w:jc w:val="center"/>
        </w:trPr>
        <w:tc>
          <w:tcPr>
            <w:tcW w:w="1067" w:type="dxa"/>
            <w:vMerge/>
            <w:tcBorders>
              <w:top w:val="single" w:sz="4" w:space="0" w:color="000000"/>
              <w:left w:val="single" w:sz="4" w:space="0" w:color="000000"/>
              <w:bottom w:val="single" w:sz="4" w:space="0" w:color="000000"/>
              <w:right w:val="single" w:sz="4" w:space="0" w:color="000000"/>
            </w:tcBorders>
            <w:shd w:val="clear" w:color="auto" w:fill="auto"/>
          </w:tcPr>
          <w:p>
            <w:pPr>
              <w:pBdr>
                <w:top w:val="nil"/>
                <w:left w:val="nil"/>
                <w:bottom w:val="nil"/>
                <w:right w:val="nil"/>
                <w:between w:val="nil"/>
                <w:bar w:val="nil"/>
              </w:pBdr>
              <w:rPr>
                <w:rFonts w:eastAsia="Arial"/>
                <w:b w:val="0"/>
                <w:color w:val="000000"/>
                <w:sz w:val="18"/>
                <w:szCs w:val="18"/>
                <w:u w:color="000000"/>
                <w:bdr w:val="nil"/>
                <w:lang w:val="es-ES_tradnl" w:eastAsia="es-CL"/>
              </w:rPr>
            </w:pPr>
          </w:p>
        </w:tc>
        <w:tc>
          <w:tcPr>
            <w:tcW w:w="2930" w:type="dxa"/>
            <w:vMerge/>
            <w:tcBorders>
              <w:top w:val="single" w:sz="4" w:space="0" w:color="000000"/>
              <w:left w:val="single" w:sz="4" w:space="0" w:color="000000"/>
              <w:bottom w:val="single" w:sz="4" w:space="0" w:color="000000"/>
              <w:right w:val="single" w:sz="4" w:space="0" w:color="000000"/>
            </w:tcBorders>
            <w:shd w:val="clear" w:color="auto" w:fill="auto"/>
          </w:tcPr>
          <w:p>
            <w:pPr>
              <w:pBdr>
                <w:top w:val="nil"/>
                <w:left w:val="nil"/>
                <w:bottom w:val="nil"/>
                <w:right w:val="nil"/>
                <w:between w:val="nil"/>
                <w:bar w:val="nil"/>
              </w:pBdr>
              <w:rPr>
                <w:rFonts w:eastAsia="Arial"/>
                <w:b w:val="0"/>
                <w:color w:val="000000"/>
                <w:sz w:val="18"/>
                <w:szCs w:val="18"/>
                <w:u w:color="000000"/>
                <w:bdr w:val="nil"/>
                <w:lang w:val="es-ES_tradnl" w:eastAsia="es-CL"/>
              </w:rPr>
            </w:pPr>
          </w:p>
        </w:tc>
        <w:tc>
          <w:tcPr>
            <w:tcW w:w="1057" w:type="dxa"/>
            <w:vMerge/>
            <w:tcBorders>
              <w:top w:val="single" w:sz="4" w:space="0" w:color="000000"/>
              <w:left w:val="single" w:sz="4" w:space="0" w:color="000000"/>
              <w:bottom w:val="single" w:sz="4" w:space="0" w:color="000000"/>
              <w:right w:val="single" w:sz="4" w:space="0" w:color="000000"/>
            </w:tcBorders>
            <w:shd w:val="clear" w:color="auto" w:fill="auto"/>
          </w:tcPr>
          <w:p>
            <w:pPr>
              <w:pBdr>
                <w:top w:val="nil"/>
                <w:left w:val="nil"/>
                <w:bottom w:val="nil"/>
                <w:right w:val="nil"/>
                <w:between w:val="nil"/>
                <w:bar w:val="nil"/>
              </w:pBdr>
              <w:rPr>
                <w:rFonts w:eastAsia="Arial"/>
                <w:b w:val="0"/>
                <w:color w:val="000000"/>
                <w:sz w:val="18"/>
                <w:szCs w:val="18"/>
                <w:u w:color="000000"/>
                <w:bdr w:val="nil"/>
                <w:lang w:val="es-ES_tradnl" w:eastAsia="es-CL"/>
              </w:rPr>
            </w:pPr>
          </w:p>
        </w:tc>
        <w:tc>
          <w:tcPr>
            <w:tcW w:w="1208" w:type="dxa"/>
            <w:vMerge/>
            <w:tcBorders>
              <w:top w:val="single" w:sz="4" w:space="0" w:color="000000"/>
              <w:left w:val="single" w:sz="4" w:space="0" w:color="000000"/>
              <w:bottom w:val="single" w:sz="4" w:space="0" w:color="000000"/>
              <w:right w:val="single" w:sz="4" w:space="0" w:color="000000"/>
            </w:tcBorders>
            <w:shd w:val="clear" w:color="auto" w:fill="auto"/>
          </w:tcPr>
          <w:p>
            <w:pPr>
              <w:pBdr>
                <w:top w:val="nil"/>
                <w:left w:val="nil"/>
                <w:bottom w:val="nil"/>
                <w:right w:val="nil"/>
                <w:between w:val="nil"/>
                <w:bar w:val="nil"/>
              </w:pBdr>
              <w:rPr>
                <w:rFonts w:eastAsia="Arial"/>
                <w:b w:val="0"/>
                <w:color w:val="000000"/>
                <w:sz w:val="18"/>
                <w:szCs w:val="18"/>
                <w:u w:color="000000"/>
                <w:bdr w:val="nil"/>
                <w:lang w:val="es-ES_tradnl" w:eastAsia="es-CL"/>
              </w:rPr>
            </w:pPr>
          </w:p>
        </w:tc>
        <w:tc>
          <w:tcPr>
            <w:tcW w:w="1403" w:type="dxa"/>
            <w:vMerge/>
            <w:tcBorders>
              <w:top w:val="single" w:sz="4" w:space="0" w:color="000000"/>
              <w:left w:val="single" w:sz="4" w:space="0" w:color="000000"/>
              <w:bottom w:val="single" w:sz="4" w:space="0" w:color="000000"/>
              <w:right w:val="single" w:sz="4" w:space="0" w:color="000000"/>
            </w:tcBorders>
            <w:shd w:val="clear" w:color="auto" w:fill="auto"/>
          </w:tcPr>
          <w:p>
            <w:pPr>
              <w:pBdr>
                <w:top w:val="nil"/>
                <w:left w:val="nil"/>
                <w:bottom w:val="nil"/>
                <w:right w:val="nil"/>
                <w:between w:val="nil"/>
                <w:bar w:val="nil"/>
              </w:pBdr>
              <w:rPr>
                <w:rFonts w:eastAsia="Arial"/>
                <w:b w:val="0"/>
                <w:color w:val="000000"/>
                <w:sz w:val="18"/>
                <w:szCs w:val="18"/>
                <w:u w:color="000000"/>
                <w:bdr w:val="nil"/>
                <w:lang w:val="es-ES_tradnl" w:eastAsia="es-CL"/>
              </w:rPr>
            </w:pP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 (3)/(1)</w:t>
            </w:r>
          </w:p>
        </w:tc>
        <w:tc>
          <w:tcPr>
            <w:tcW w:w="11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 (3)/(2)</w:t>
            </w:r>
          </w:p>
        </w:tc>
      </w:tr>
      <w:tr>
        <w:tblPrEx>
          <w:tblCellMar>
            <w:top w:w="0" w:type="dxa"/>
            <w:left w:w="0" w:type="dxa"/>
            <w:bottom w:w="0" w:type="dxa"/>
            <w:right w:w="0" w:type="dxa"/>
          </w:tblCellMar>
        </w:tblPrEx>
        <w:trPr>
          <w:trHeight w:val="745"/>
          <w:jc w:val="center"/>
        </w:trPr>
        <w:tc>
          <w:tcPr>
            <w:tcW w:w="1067"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bottom"/>
          </w:tcPr>
          <w:p>
            <w:pPr>
              <w:pBdr>
                <w:top w:val="nil"/>
                <w:left w:val="nil"/>
                <w:bottom w:val="nil"/>
                <w:right w:val="nil"/>
                <w:between w:val="nil"/>
                <w:bar w:val="nil"/>
              </w:pBdr>
              <w:tabs>
                <w:tab w:val="clear" w:pos="2835"/>
              </w:tabs>
              <w:jc w:val="left"/>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 </w:t>
            </w:r>
          </w:p>
        </w:tc>
        <w:tc>
          <w:tcPr>
            <w:tcW w:w="2930"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bottom"/>
          </w:tcPr>
          <w:p>
            <w:pPr>
              <w:pBdr>
                <w:top w:val="nil"/>
                <w:left w:val="nil"/>
                <w:bottom w:val="nil"/>
                <w:right w:val="nil"/>
                <w:between w:val="nil"/>
                <w:bar w:val="nil"/>
              </w:pBdr>
              <w:tabs>
                <w:tab w:val="clear" w:pos="2835"/>
              </w:tabs>
              <w:jc w:val="left"/>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GASTOS</w:t>
            </w:r>
          </w:p>
        </w:tc>
        <w:tc>
          <w:tcPr>
            <w:tcW w:w="1057"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bottom"/>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 xml:space="preserve">       25.851.105 </w:t>
            </w:r>
          </w:p>
        </w:tc>
        <w:tc>
          <w:tcPr>
            <w:tcW w:w="1208"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bottom"/>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 xml:space="preserve">        29.099.699 </w:t>
            </w:r>
          </w:p>
        </w:tc>
        <w:tc>
          <w:tcPr>
            <w:tcW w:w="1403"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bottom"/>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 xml:space="preserve">            20.107.398 </w:t>
            </w:r>
          </w:p>
        </w:tc>
        <w:tc>
          <w:tcPr>
            <w:tcW w:w="1057"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bottom"/>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77,8%</w:t>
            </w:r>
          </w:p>
        </w:tc>
        <w:tc>
          <w:tcPr>
            <w:tcW w:w="1172"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bottom"/>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69,1%</w:t>
            </w:r>
          </w:p>
        </w:tc>
      </w:tr>
      <w:tr>
        <w:tblPrEx>
          <w:tblCellMar>
            <w:top w:w="0" w:type="dxa"/>
            <w:left w:w="0" w:type="dxa"/>
            <w:bottom w:w="0" w:type="dxa"/>
            <w:right w:w="0" w:type="dxa"/>
          </w:tblCellMar>
        </w:tblPrEx>
        <w:trPr>
          <w:trHeight w:val="740"/>
          <w:jc w:val="center"/>
        </w:trPr>
        <w:tc>
          <w:tcPr>
            <w:tcW w:w="1067"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bottom"/>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21</w:t>
            </w:r>
          </w:p>
        </w:tc>
        <w:tc>
          <w:tcPr>
            <w:tcW w:w="2930"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bottom"/>
          </w:tcPr>
          <w:p>
            <w:pPr>
              <w:pBdr>
                <w:top w:val="nil"/>
                <w:left w:val="nil"/>
                <w:bottom w:val="nil"/>
                <w:right w:val="nil"/>
                <w:between w:val="nil"/>
                <w:bar w:val="nil"/>
              </w:pBdr>
              <w:tabs>
                <w:tab w:val="clear" w:pos="2835"/>
              </w:tabs>
              <w:jc w:val="lef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 xml:space="preserve">  GASTOS EN PERSONAL</w:t>
            </w:r>
          </w:p>
        </w:tc>
        <w:tc>
          <w:tcPr>
            <w:tcW w:w="1057"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bottom"/>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 xml:space="preserve">       14.703.057 </w:t>
            </w:r>
          </w:p>
        </w:tc>
        <w:tc>
          <w:tcPr>
            <w:tcW w:w="1208"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bottom"/>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 xml:space="preserve">        14.626.040 </w:t>
            </w:r>
          </w:p>
        </w:tc>
        <w:tc>
          <w:tcPr>
            <w:tcW w:w="1403"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bottom"/>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 xml:space="preserve">            10.064.782 </w:t>
            </w:r>
          </w:p>
        </w:tc>
        <w:tc>
          <w:tcPr>
            <w:tcW w:w="1057"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bottom"/>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68,5%</w:t>
            </w:r>
          </w:p>
        </w:tc>
        <w:tc>
          <w:tcPr>
            <w:tcW w:w="1172"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bottom"/>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68,8%</w:t>
            </w:r>
          </w:p>
        </w:tc>
      </w:tr>
      <w:tr>
        <w:tblPrEx>
          <w:tblCellMar>
            <w:top w:w="0" w:type="dxa"/>
            <w:left w:w="0" w:type="dxa"/>
            <w:bottom w:w="0" w:type="dxa"/>
            <w:right w:w="0" w:type="dxa"/>
          </w:tblCellMar>
        </w:tblPrEx>
        <w:trPr>
          <w:trHeight w:val="740"/>
          <w:jc w:val="center"/>
        </w:trPr>
        <w:tc>
          <w:tcPr>
            <w:tcW w:w="1067"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bottom"/>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22</w:t>
            </w:r>
          </w:p>
        </w:tc>
        <w:tc>
          <w:tcPr>
            <w:tcW w:w="2930"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bottom"/>
          </w:tcPr>
          <w:p>
            <w:pPr>
              <w:pBdr>
                <w:top w:val="nil"/>
                <w:left w:val="nil"/>
                <w:bottom w:val="nil"/>
                <w:right w:val="nil"/>
                <w:between w:val="nil"/>
                <w:bar w:val="nil"/>
              </w:pBdr>
              <w:tabs>
                <w:tab w:val="clear" w:pos="2835"/>
              </w:tabs>
              <w:jc w:val="lef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 xml:space="preserve">  BIENES Y SERVICIOS DE CONSUMO</w:t>
            </w:r>
          </w:p>
        </w:tc>
        <w:tc>
          <w:tcPr>
            <w:tcW w:w="1057"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bottom"/>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 xml:space="preserve">         5.983.185 </w:t>
            </w:r>
          </w:p>
        </w:tc>
        <w:tc>
          <w:tcPr>
            <w:tcW w:w="1208"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bottom"/>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 xml:space="preserve">          5.941.833 </w:t>
            </w:r>
          </w:p>
        </w:tc>
        <w:tc>
          <w:tcPr>
            <w:tcW w:w="1403"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bottom"/>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 xml:space="preserve">               3.148.647 </w:t>
            </w:r>
          </w:p>
        </w:tc>
        <w:tc>
          <w:tcPr>
            <w:tcW w:w="1057"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bottom"/>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52,6%</w:t>
            </w:r>
          </w:p>
        </w:tc>
        <w:tc>
          <w:tcPr>
            <w:tcW w:w="1172"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bottom"/>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53,0%</w:t>
            </w:r>
          </w:p>
        </w:tc>
      </w:tr>
      <w:tr>
        <w:tblPrEx>
          <w:tblCellMar>
            <w:top w:w="0" w:type="dxa"/>
            <w:left w:w="0" w:type="dxa"/>
            <w:bottom w:w="0" w:type="dxa"/>
            <w:right w:w="0" w:type="dxa"/>
          </w:tblCellMar>
        </w:tblPrEx>
        <w:trPr>
          <w:trHeight w:val="500"/>
          <w:jc w:val="center"/>
        </w:trPr>
        <w:tc>
          <w:tcPr>
            <w:tcW w:w="1067"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bottom"/>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23</w:t>
            </w:r>
          </w:p>
        </w:tc>
        <w:tc>
          <w:tcPr>
            <w:tcW w:w="2930"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bottom"/>
          </w:tcPr>
          <w:p>
            <w:pPr>
              <w:pBdr>
                <w:top w:val="nil"/>
                <w:left w:val="nil"/>
                <w:bottom w:val="nil"/>
                <w:right w:val="nil"/>
                <w:between w:val="nil"/>
                <w:bar w:val="nil"/>
              </w:pBdr>
              <w:tabs>
                <w:tab w:val="clear" w:pos="2835"/>
              </w:tabs>
              <w:jc w:val="lef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 xml:space="preserve">  PRESTACIONES DE SEGURIDAD SOCIAL</w:t>
            </w:r>
          </w:p>
        </w:tc>
        <w:tc>
          <w:tcPr>
            <w:tcW w:w="1057"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bottom"/>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 xml:space="preserve">                         -   </w:t>
            </w:r>
          </w:p>
        </w:tc>
        <w:tc>
          <w:tcPr>
            <w:tcW w:w="1208"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bottom"/>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 xml:space="preserve">                18.453 </w:t>
            </w:r>
          </w:p>
        </w:tc>
        <w:tc>
          <w:tcPr>
            <w:tcW w:w="1403"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bottom"/>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 xml:space="preserve">                     35.136 </w:t>
            </w:r>
          </w:p>
        </w:tc>
        <w:tc>
          <w:tcPr>
            <w:tcW w:w="1057"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bottom"/>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0,0%</w:t>
            </w:r>
          </w:p>
        </w:tc>
        <w:tc>
          <w:tcPr>
            <w:tcW w:w="1172"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bottom"/>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190,4%</w:t>
            </w:r>
          </w:p>
        </w:tc>
      </w:tr>
      <w:tr>
        <w:tblPrEx>
          <w:tblCellMar>
            <w:top w:w="0" w:type="dxa"/>
            <w:left w:w="0" w:type="dxa"/>
            <w:bottom w:w="0" w:type="dxa"/>
            <w:right w:w="0" w:type="dxa"/>
          </w:tblCellMar>
        </w:tblPrEx>
        <w:trPr>
          <w:trHeight w:val="500"/>
          <w:jc w:val="center"/>
        </w:trPr>
        <w:tc>
          <w:tcPr>
            <w:tcW w:w="1067"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bottom"/>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25</w:t>
            </w:r>
          </w:p>
        </w:tc>
        <w:tc>
          <w:tcPr>
            <w:tcW w:w="2930"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bottom"/>
          </w:tcPr>
          <w:p>
            <w:pPr>
              <w:pBdr>
                <w:top w:val="nil"/>
                <w:left w:val="nil"/>
                <w:bottom w:val="nil"/>
                <w:right w:val="nil"/>
                <w:between w:val="nil"/>
                <w:bar w:val="nil"/>
              </w:pBdr>
              <w:tabs>
                <w:tab w:val="clear" w:pos="2835"/>
              </w:tabs>
              <w:jc w:val="lef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I  NTEGROS AL FISCO</w:t>
            </w:r>
          </w:p>
        </w:tc>
        <w:tc>
          <w:tcPr>
            <w:tcW w:w="1057"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bottom"/>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 xml:space="preserve">                  2.169 </w:t>
            </w:r>
          </w:p>
        </w:tc>
        <w:tc>
          <w:tcPr>
            <w:tcW w:w="1208"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bottom"/>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 xml:space="preserve">                   2.169 </w:t>
            </w:r>
          </w:p>
        </w:tc>
        <w:tc>
          <w:tcPr>
            <w:tcW w:w="1403"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bottom"/>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 xml:space="preserve">                       1.362 </w:t>
            </w:r>
          </w:p>
        </w:tc>
        <w:tc>
          <w:tcPr>
            <w:tcW w:w="1057"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bottom"/>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62,8%</w:t>
            </w:r>
          </w:p>
        </w:tc>
        <w:tc>
          <w:tcPr>
            <w:tcW w:w="1172"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bottom"/>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62,8%</w:t>
            </w:r>
          </w:p>
        </w:tc>
      </w:tr>
      <w:tr>
        <w:tblPrEx>
          <w:tblCellMar>
            <w:top w:w="0" w:type="dxa"/>
            <w:left w:w="0" w:type="dxa"/>
            <w:bottom w:w="0" w:type="dxa"/>
            <w:right w:w="0" w:type="dxa"/>
          </w:tblCellMar>
        </w:tblPrEx>
        <w:trPr>
          <w:trHeight w:val="740"/>
          <w:jc w:val="center"/>
        </w:trPr>
        <w:tc>
          <w:tcPr>
            <w:tcW w:w="1067"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bottom"/>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29</w:t>
            </w:r>
          </w:p>
        </w:tc>
        <w:tc>
          <w:tcPr>
            <w:tcW w:w="2930"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bottom"/>
          </w:tcPr>
          <w:p>
            <w:pPr>
              <w:pBdr>
                <w:top w:val="nil"/>
                <w:left w:val="nil"/>
                <w:bottom w:val="nil"/>
                <w:right w:val="nil"/>
                <w:between w:val="nil"/>
                <w:bar w:val="nil"/>
              </w:pBdr>
              <w:tabs>
                <w:tab w:val="clear" w:pos="2835"/>
              </w:tabs>
              <w:jc w:val="lef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 xml:space="preserve">  ADQUISICIÓN DE ACTIVOS NO   FINANCIEROS</w:t>
            </w:r>
          </w:p>
        </w:tc>
        <w:tc>
          <w:tcPr>
            <w:tcW w:w="1057"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bottom"/>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 xml:space="preserve">         1.015.249 </w:t>
            </w:r>
          </w:p>
        </w:tc>
        <w:tc>
          <w:tcPr>
            <w:tcW w:w="1208"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bottom"/>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 xml:space="preserve">          1.015.249 </w:t>
            </w:r>
          </w:p>
        </w:tc>
        <w:tc>
          <w:tcPr>
            <w:tcW w:w="1403"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bottom"/>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 xml:space="preserve">                  117.376 </w:t>
            </w:r>
          </w:p>
        </w:tc>
        <w:tc>
          <w:tcPr>
            <w:tcW w:w="1057"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bottom"/>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11,6%</w:t>
            </w:r>
          </w:p>
        </w:tc>
        <w:tc>
          <w:tcPr>
            <w:tcW w:w="1172"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bottom"/>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11,6%</w:t>
            </w:r>
          </w:p>
        </w:tc>
      </w:tr>
      <w:tr>
        <w:tblPrEx>
          <w:tblCellMar>
            <w:top w:w="0" w:type="dxa"/>
            <w:left w:w="0" w:type="dxa"/>
            <w:bottom w:w="0" w:type="dxa"/>
            <w:right w:w="0" w:type="dxa"/>
          </w:tblCellMar>
        </w:tblPrEx>
        <w:trPr>
          <w:trHeight w:val="740"/>
          <w:jc w:val="center"/>
        </w:trPr>
        <w:tc>
          <w:tcPr>
            <w:tcW w:w="1067"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bottom"/>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31</w:t>
            </w:r>
          </w:p>
        </w:tc>
        <w:tc>
          <w:tcPr>
            <w:tcW w:w="2930"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bottom"/>
          </w:tcPr>
          <w:p>
            <w:pPr>
              <w:pBdr>
                <w:top w:val="nil"/>
                <w:left w:val="nil"/>
                <w:bottom w:val="nil"/>
                <w:right w:val="nil"/>
                <w:between w:val="nil"/>
                <w:bar w:val="nil"/>
              </w:pBdr>
              <w:tabs>
                <w:tab w:val="clear" w:pos="2835"/>
              </w:tabs>
              <w:jc w:val="lef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 xml:space="preserve">  INICIATIVAS DE INVERSIÓN</w:t>
            </w:r>
          </w:p>
        </w:tc>
        <w:tc>
          <w:tcPr>
            <w:tcW w:w="1057"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bottom"/>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 xml:space="preserve">             602.170 </w:t>
            </w:r>
          </w:p>
        </w:tc>
        <w:tc>
          <w:tcPr>
            <w:tcW w:w="1208"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bottom"/>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 xml:space="preserve">              602.170 </w:t>
            </w:r>
          </w:p>
        </w:tc>
        <w:tc>
          <w:tcPr>
            <w:tcW w:w="1403"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bottom"/>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 xml:space="preserve">                              -   </w:t>
            </w:r>
          </w:p>
        </w:tc>
        <w:tc>
          <w:tcPr>
            <w:tcW w:w="1057"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bottom"/>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0,0%</w:t>
            </w:r>
          </w:p>
        </w:tc>
        <w:tc>
          <w:tcPr>
            <w:tcW w:w="1172"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bottom"/>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0,0%</w:t>
            </w:r>
          </w:p>
        </w:tc>
      </w:tr>
      <w:tr>
        <w:tblPrEx>
          <w:tblCellMar>
            <w:top w:w="0" w:type="dxa"/>
            <w:left w:w="0" w:type="dxa"/>
            <w:bottom w:w="0" w:type="dxa"/>
            <w:right w:w="0" w:type="dxa"/>
          </w:tblCellMar>
        </w:tblPrEx>
        <w:trPr>
          <w:trHeight w:val="735"/>
          <w:jc w:val="center"/>
        </w:trPr>
        <w:tc>
          <w:tcPr>
            <w:tcW w:w="1067"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34</w:t>
            </w:r>
          </w:p>
        </w:tc>
        <w:tc>
          <w:tcPr>
            <w:tcW w:w="2930"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pPr>
              <w:pBdr>
                <w:top w:val="nil"/>
                <w:left w:val="nil"/>
                <w:bottom w:val="nil"/>
                <w:right w:val="nil"/>
                <w:between w:val="nil"/>
                <w:bar w:val="nil"/>
              </w:pBdr>
              <w:tabs>
                <w:tab w:val="clear" w:pos="2835"/>
              </w:tabs>
              <w:jc w:val="lef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 xml:space="preserve">  SERVICIO DE LA DEUDA</w:t>
            </w:r>
          </w:p>
        </w:tc>
        <w:tc>
          <w:tcPr>
            <w:tcW w:w="1057"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 xml:space="preserve">         3.545.275 </w:t>
            </w:r>
          </w:p>
        </w:tc>
        <w:tc>
          <w:tcPr>
            <w:tcW w:w="1208"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 xml:space="preserve">          6.893.785 </w:t>
            </w:r>
          </w:p>
        </w:tc>
        <w:tc>
          <w:tcPr>
            <w:tcW w:w="1403"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 xml:space="preserve">               6.740.095 </w:t>
            </w:r>
          </w:p>
        </w:tc>
        <w:tc>
          <w:tcPr>
            <w:tcW w:w="1057"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190%</w:t>
            </w:r>
          </w:p>
        </w:tc>
        <w:tc>
          <w:tcPr>
            <w:tcW w:w="1172"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98%</w:t>
            </w:r>
          </w:p>
        </w:tc>
      </w:tr>
    </w:tbl>
    <w:p>
      <w:pPr>
        <w:widowControl w:val="0"/>
        <w:pBdr>
          <w:top w:val="nil"/>
          <w:left w:val="nil"/>
          <w:bottom w:val="nil"/>
          <w:right w:val="nil"/>
          <w:between w:val="nil"/>
          <w:bar w:val="nil"/>
        </w:pBdr>
        <w:ind w:left="108" w:hanging="108"/>
        <w:jc w:val="center"/>
        <w:rPr>
          <w:rFonts w:eastAsia="Arial"/>
          <w:b w:val="0"/>
          <w:color w:val="000000"/>
          <w:u w:color="000000"/>
          <w:bdr w:val="nil"/>
          <w:lang w:val="es-ES_tradnl" w:eastAsia="es-CL"/>
        </w:rPr>
      </w:pPr>
    </w:p>
    <w:p>
      <w:pPr>
        <w:widowControl w:val="0"/>
        <w:pBdr>
          <w:top w:val="nil"/>
          <w:left w:val="nil"/>
          <w:bottom w:val="nil"/>
          <w:right w:val="nil"/>
          <w:between w:val="nil"/>
          <w:bar w:val="nil"/>
        </w:pBdr>
        <w:rPr>
          <w:rFonts w:eastAsia="Arial"/>
          <w:b w:val="0"/>
          <w:color w:val="000000"/>
          <w:u w:color="000000"/>
          <w:bdr w:val="nil"/>
          <w:lang w:val="es-ES_tradnl" w:eastAsia="es-CL"/>
        </w:rPr>
      </w:pPr>
    </w:p>
    <w:p>
      <w:pPr>
        <w:widowControl w:val="0"/>
        <w:pBdr>
          <w:top w:val="nil"/>
          <w:left w:val="nil"/>
          <w:bottom w:val="nil"/>
          <w:right w:val="nil"/>
          <w:between w:val="nil"/>
          <w:bar w:val="nil"/>
        </w:pBdr>
        <w:rPr>
          <w:rFonts w:eastAsia="Arial"/>
          <w:b w:val="0"/>
          <w:color w:val="000000"/>
          <w:u w:color="000000"/>
          <w:bdr w:val="nil"/>
          <w:lang w:val="es-ES_tradnl" w:eastAsia="es-CL"/>
        </w:rPr>
      </w:pPr>
      <w:r>
        <w:rPr>
          <w:rFonts w:eastAsia="Arial"/>
          <w:b w:val="0"/>
          <w:color w:val="000000"/>
          <w:u w:color="000000"/>
          <w:bdr w:val="nil"/>
          <w:lang w:val="es-ES_tradnl" w:eastAsia="es-CL"/>
        </w:rPr>
        <w:tab/>
        <w:t xml:space="preserve">En este punto, señaló que el presupuesto vigente presenta un alza importante respecto del presupuesto original, lo que se debe, principalmente, al incremento del </w:t>
      </w:r>
      <w:r>
        <w:rPr>
          <w:rFonts w:eastAsia="Arial"/>
          <w:bCs/>
          <w:color w:val="000000"/>
          <w:u w:color="000000"/>
          <w:bdr w:val="nil"/>
          <w:lang w:val="es-ES_tradnl" w:eastAsia="es-CL"/>
        </w:rPr>
        <w:t>Subtítulo 34 (Servicio de la Deuda)</w:t>
      </w:r>
      <w:r>
        <w:rPr>
          <w:rFonts w:eastAsia="Arial"/>
          <w:b w:val="0"/>
          <w:color w:val="000000"/>
          <w:u w:color="000000"/>
          <w:bdr w:val="nil"/>
          <w:lang w:val="es-ES_tradnl" w:eastAsia="es-CL"/>
        </w:rPr>
        <w:t>, en tanto haberse pagado las dos últimas cuotas del crédito otorgado por el Banco Mundial para el desarrollo del SIGFE; el resto del aumento del Subtítulo responde a deuda flotante, esto es, obligaciones devengadas en el año 2015 pero que fueron pagadas el año en curso.</w:t>
      </w:r>
    </w:p>
    <w:p>
      <w:pPr>
        <w:widowControl w:val="0"/>
        <w:pBdr>
          <w:top w:val="nil"/>
          <w:left w:val="nil"/>
          <w:bottom w:val="nil"/>
          <w:right w:val="nil"/>
          <w:between w:val="nil"/>
          <w:bar w:val="nil"/>
        </w:pBdr>
        <w:rPr>
          <w:rFonts w:eastAsia="Arial"/>
          <w:b w:val="0"/>
          <w:color w:val="000000"/>
          <w:u w:color="000000"/>
          <w:bdr w:val="nil"/>
          <w:lang w:val="es-ES_tradnl" w:eastAsia="es-CL"/>
        </w:rPr>
      </w:pPr>
    </w:p>
    <w:p>
      <w:pPr>
        <w:widowControl w:val="0"/>
        <w:pBdr>
          <w:top w:val="nil"/>
          <w:left w:val="nil"/>
          <w:bottom w:val="nil"/>
          <w:right w:val="nil"/>
          <w:between w:val="nil"/>
          <w:bar w:val="nil"/>
        </w:pBdr>
        <w:rPr>
          <w:rFonts w:eastAsia="Arial"/>
          <w:b w:val="0"/>
          <w:color w:val="000000"/>
          <w:u w:color="000000"/>
          <w:bdr w:val="nil"/>
          <w:lang w:val="es-ES_tradnl" w:eastAsia="es-CL"/>
        </w:rPr>
      </w:pPr>
      <w:r>
        <w:rPr>
          <w:rFonts w:eastAsia="Arial"/>
          <w:b w:val="0"/>
          <w:color w:val="000000"/>
          <w:u w:color="000000"/>
          <w:bdr w:val="nil"/>
          <w:lang w:val="es-ES_tradnl" w:eastAsia="es-CL"/>
        </w:rPr>
        <w:tab/>
        <w:t xml:space="preserve">En lo que respecta al </w:t>
      </w:r>
      <w:r>
        <w:rPr>
          <w:rFonts w:eastAsia="Arial"/>
          <w:bCs/>
          <w:color w:val="000000"/>
          <w:u w:color="000000"/>
          <w:bdr w:val="nil"/>
          <w:lang w:val="es-ES_tradnl" w:eastAsia="es-CL"/>
        </w:rPr>
        <w:t>Subtítulo 29</w:t>
      </w:r>
      <w:r>
        <w:rPr>
          <w:rFonts w:eastAsia="Arial"/>
          <w:b w:val="0"/>
          <w:color w:val="000000"/>
          <w:u w:color="000000"/>
          <w:bdr w:val="nil"/>
          <w:lang w:val="es-ES_tradnl" w:eastAsia="es-CL"/>
        </w:rPr>
        <w:t>, indicó que la ejecución de sólo un 11,6% responde a que las compras de equipamiento y licencias para el programa SIAP 2.0 se realizarán durante el último trimestre o cuatrimestre del año.</w:t>
      </w:r>
    </w:p>
    <w:p>
      <w:pPr>
        <w:widowControl w:val="0"/>
        <w:pBdr>
          <w:top w:val="nil"/>
          <w:left w:val="nil"/>
          <w:bottom w:val="nil"/>
          <w:right w:val="nil"/>
          <w:between w:val="nil"/>
          <w:bar w:val="nil"/>
        </w:pBdr>
        <w:rPr>
          <w:rFonts w:eastAsia="Arial"/>
          <w:b w:val="0"/>
          <w:color w:val="000000"/>
          <w:u w:color="000000"/>
          <w:bdr w:val="nil"/>
          <w:lang w:val="es-ES_tradnl" w:eastAsia="es-CL"/>
        </w:rPr>
      </w:pPr>
    </w:p>
    <w:p>
      <w:pPr>
        <w:widowControl w:val="0"/>
        <w:pBdr>
          <w:top w:val="nil"/>
          <w:left w:val="nil"/>
          <w:bottom w:val="nil"/>
          <w:right w:val="nil"/>
          <w:between w:val="nil"/>
          <w:bar w:val="nil"/>
        </w:pBdr>
        <w:rPr>
          <w:rFonts w:eastAsia="Arial"/>
          <w:b w:val="0"/>
          <w:color w:val="000000"/>
          <w:u w:color="000000"/>
          <w:bdr w:val="nil"/>
          <w:lang w:val="es-ES_tradnl" w:eastAsia="es-CL"/>
        </w:rPr>
      </w:pPr>
      <w:r>
        <w:rPr>
          <w:rFonts w:eastAsia="Arial"/>
          <w:b w:val="0"/>
          <w:color w:val="000000"/>
          <w:u w:color="000000"/>
          <w:bdr w:val="nil"/>
          <w:lang w:val="es-ES_tradnl" w:eastAsia="es-CL"/>
        </w:rPr>
        <w:tab/>
        <w:t xml:space="preserve">Por último, expresó que la nula ejecución del </w:t>
      </w:r>
      <w:r>
        <w:rPr>
          <w:rFonts w:eastAsia="Arial"/>
          <w:bCs/>
          <w:color w:val="000000"/>
          <w:u w:color="000000"/>
          <w:bdr w:val="nil"/>
          <w:lang w:val="es-ES_tradnl" w:eastAsia="es-CL"/>
        </w:rPr>
        <w:t xml:space="preserve">Subtítulo 31 </w:t>
      </w:r>
      <w:r>
        <w:rPr>
          <w:rFonts w:eastAsia="Arial"/>
          <w:b w:val="0"/>
          <w:color w:val="000000"/>
          <w:u w:color="000000"/>
          <w:bdr w:val="nil"/>
          <w:lang w:val="es-ES_tradnl" w:eastAsia="es-CL"/>
        </w:rPr>
        <w:t>dice relación con el hecho de que el proyecto de remodelación del piso nueve del Edificio de Teatinos 120, se encuentra en la fase de tramitación de sus bases de licitación en la Contraloría General de la República, por lo que al término de este procedimiento se deberían ejecutar en plenitud las cantidades destinadas a dicho proyecto.</w:t>
      </w:r>
    </w:p>
    <w:p>
      <w:pPr>
        <w:widowControl w:val="0"/>
        <w:pBdr>
          <w:top w:val="nil"/>
          <w:left w:val="nil"/>
          <w:bottom w:val="nil"/>
          <w:right w:val="nil"/>
          <w:between w:val="nil"/>
          <w:bar w:val="nil"/>
        </w:pBdr>
        <w:rPr>
          <w:rFonts w:eastAsia="Arial"/>
          <w:b w:val="0"/>
          <w:color w:val="000000"/>
          <w:u w:color="000000"/>
          <w:bdr w:val="nil"/>
          <w:lang w:val="es-ES_tradnl" w:eastAsia="es-CL"/>
        </w:rPr>
      </w:pPr>
    </w:p>
    <w:p>
      <w:pPr>
        <w:widowControl w:val="0"/>
        <w:pBdr>
          <w:top w:val="nil"/>
          <w:left w:val="nil"/>
          <w:bottom w:val="nil"/>
          <w:right w:val="nil"/>
          <w:between w:val="nil"/>
          <w:bar w:val="nil"/>
        </w:pBdr>
        <w:rPr>
          <w:rFonts w:eastAsia="Arial"/>
          <w:bCs/>
          <w:color w:val="000000"/>
          <w:u w:color="000000"/>
          <w:bdr w:val="nil"/>
          <w:lang w:val="es-ES_tradnl" w:eastAsia="es-CL"/>
        </w:rPr>
      </w:pPr>
      <w:r>
        <w:rPr>
          <w:rFonts w:eastAsia="Arial"/>
          <w:b w:val="0"/>
          <w:color w:val="000000"/>
          <w:u w:color="000000"/>
          <w:bdr w:val="nil"/>
          <w:lang w:val="es-ES_tradnl" w:eastAsia="es-CL"/>
        </w:rPr>
        <w:tab/>
      </w:r>
      <w:r>
        <w:rPr>
          <w:rFonts w:eastAsia="Arial"/>
          <w:bCs/>
          <w:color w:val="000000"/>
          <w:u w:color="000000"/>
          <w:bdr w:val="nil"/>
          <w:lang w:val="es-ES_tradnl" w:eastAsia="es-CL"/>
        </w:rPr>
        <w:t>Luego de la exposición, los Honorables señores Senadores y Diputados efectuaron las siguientes preguntas y observaciones.</w:t>
      </w:r>
    </w:p>
    <w:p>
      <w:pPr>
        <w:widowControl w:val="0"/>
        <w:pBdr>
          <w:top w:val="nil"/>
          <w:left w:val="nil"/>
          <w:bottom w:val="nil"/>
          <w:right w:val="nil"/>
          <w:between w:val="nil"/>
          <w:bar w:val="nil"/>
        </w:pBdr>
        <w:rPr>
          <w:rFonts w:eastAsia="Arial"/>
          <w:b w:val="0"/>
          <w:color w:val="000000"/>
          <w:u w:color="000000"/>
          <w:bdr w:val="nil"/>
          <w:lang w:val="es-ES_tradnl" w:eastAsia="es-CL"/>
        </w:rPr>
      </w:pPr>
    </w:p>
    <w:p>
      <w:pPr>
        <w:widowControl w:val="0"/>
        <w:pBdr>
          <w:top w:val="nil"/>
          <w:left w:val="nil"/>
          <w:bottom w:val="nil"/>
          <w:right w:val="nil"/>
          <w:between w:val="nil"/>
          <w:bar w:val="nil"/>
        </w:pBdr>
        <w:rPr>
          <w:rFonts w:eastAsia="Arial"/>
          <w:b w:val="0"/>
          <w:color w:val="000000"/>
          <w:u w:color="000000"/>
          <w:bdr w:val="nil"/>
          <w:lang w:val="es-ES_tradnl" w:eastAsia="es-CL"/>
        </w:rPr>
      </w:pPr>
      <w:r>
        <w:rPr>
          <w:rFonts w:eastAsia="Arial"/>
          <w:b w:val="0"/>
          <w:color w:val="000000"/>
          <w:u w:color="000000"/>
          <w:bdr w:val="nil"/>
          <w:lang w:val="es-ES_tradnl" w:eastAsia="es-CL"/>
        </w:rPr>
        <w:tab/>
      </w:r>
      <w:r>
        <w:rPr>
          <w:rFonts w:eastAsia="Arial"/>
          <w:bCs/>
          <w:color w:val="000000"/>
          <w:u w:color="000000"/>
          <w:bdr w:val="nil"/>
          <w:lang w:val="es-ES_tradnl" w:eastAsia="es-CL"/>
        </w:rPr>
        <w:t>El Honorable Senador señor Tuma</w:t>
      </w:r>
      <w:r>
        <w:rPr>
          <w:rFonts w:eastAsia="Arial"/>
          <w:b w:val="0"/>
          <w:color w:val="000000"/>
          <w:u w:color="000000"/>
          <w:bdr w:val="nil"/>
          <w:lang w:val="es-ES_tradnl" w:eastAsia="es-CL"/>
        </w:rPr>
        <w:t>, señaló que la DIPRES juega un rol fundamental en la ejecución presupuestaria de los distintos órganos y Servicios.</w:t>
      </w:r>
    </w:p>
    <w:p>
      <w:pPr>
        <w:widowControl w:val="0"/>
        <w:pBdr>
          <w:top w:val="nil"/>
          <w:left w:val="nil"/>
          <w:bottom w:val="nil"/>
          <w:right w:val="nil"/>
          <w:between w:val="nil"/>
          <w:bar w:val="nil"/>
        </w:pBdr>
        <w:rPr>
          <w:rFonts w:eastAsia="Arial"/>
          <w:b w:val="0"/>
          <w:color w:val="000000"/>
          <w:u w:color="000000"/>
          <w:bdr w:val="nil"/>
          <w:lang w:val="es-ES_tradnl" w:eastAsia="es-CL"/>
        </w:rPr>
      </w:pPr>
    </w:p>
    <w:p>
      <w:pPr>
        <w:widowControl w:val="0"/>
        <w:pBdr>
          <w:top w:val="nil"/>
          <w:left w:val="nil"/>
          <w:bottom w:val="nil"/>
          <w:right w:val="nil"/>
          <w:between w:val="nil"/>
          <w:bar w:val="nil"/>
        </w:pBdr>
        <w:rPr>
          <w:rFonts w:eastAsia="Arial"/>
          <w:b w:val="0"/>
          <w:color w:val="000000"/>
          <w:u w:color="000000"/>
          <w:bdr w:val="nil"/>
          <w:lang w:val="es-ES_tradnl" w:eastAsia="es-CL"/>
        </w:rPr>
      </w:pPr>
      <w:r>
        <w:rPr>
          <w:rFonts w:eastAsia="Arial"/>
          <w:b w:val="0"/>
          <w:color w:val="000000"/>
          <w:u w:color="000000"/>
          <w:bdr w:val="nil"/>
          <w:lang w:val="es-ES_tradnl" w:eastAsia="es-CL"/>
        </w:rPr>
        <w:tab/>
        <w:t>En esa línea, expresó que muchas veces se observan que ciertos programas comienzan su desarrollo tardíamente en el año, en tanto quedar a la espera de la entrega de los fondos respectivos para su inicio.</w:t>
      </w:r>
    </w:p>
    <w:p>
      <w:pPr>
        <w:widowControl w:val="0"/>
        <w:pBdr>
          <w:top w:val="nil"/>
          <w:left w:val="nil"/>
          <w:bottom w:val="nil"/>
          <w:right w:val="nil"/>
          <w:between w:val="nil"/>
          <w:bar w:val="nil"/>
        </w:pBdr>
        <w:rPr>
          <w:rFonts w:eastAsia="Arial"/>
          <w:b w:val="0"/>
          <w:color w:val="000000"/>
          <w:u w:color="000000"/>
          <w:bdr w:val="nil"/>
          <w:lang w:val="es-ES_tradnl" w:eastAsia="es-CL"/>
        </w:rPr>
      </w:pPr>
    </w:p>
    <w:p>
      <w:pPr>
        <w:widowControl w:val="0"/>
        <w:pBdr>
          <w:top w:val="nil"/>
          <w:left w:val="nil"/>
          <w:bottom w:val="nil"/>
          <w:right w:val="nil"/>
          <w:between w:val="nil"/>
          <w:bar w:val="nil"/>
        </w:pBdr>
        <w:rPr>
          <w:rFonts w:eastAsia="Arial"/>
          <w:b w:val="0"/>
          <w:color w:val="000000"/>
          <w:u w:color="000000"/>
          <w:bdr w:val="nil"/>
          <w:lang w:val="es-ES_tradnl" w:eastAsia="es-CL"/>
        </w:rPr>
      </w:pPr>
      <w:r>
        <w:rPr>
          <w:rFonts w:eastAsia="Arial"/>
          <w:b w:val="0"/>
          <w:color w:val="000000"/>
          <w:u w:color="000000"/>
          <w:bdr w:val="nil"/>
          <w:lang w:val="es-ES_tradnl" w:eastAsia="es-CL"/>
        </w:rPr>
        <w:tab/>
        <w:t>En tal sentido, preguntó qué acciones ha adoptado DIPRES para promover la entrega oportuna de recursos a los programas de los distintos organismos, a fin de que los mismos sean desarrollados adecuadamente durante el año.</w:t>
      </w:r>
    </w:p>
    <w:p>
      <w:pPr>
        <w:widowControl w:val="0"/>
        <w:pBdr>
          <w:top w:val="nil"/>
          <w:left w:val="nil"/>
          <w:bottom w:val="nil"/>
          <w:right w:val="nil"/>
          <w:between w:val="nil"/>
          <w:bar w:val="nil"/>
        </w:pBdr>
        <w:rPr>
          <w:rFonts w:eastAsia="Arial"/>
          <w:b w:val="0"/>
          <w:color w:val="000000"/>
          <w:u w:color="000000"/>
          <w:bdr w:val="nil"/>
          <w:lang w:val="es-ES_tradnl" w:eastAsia="es-CL"/>
        </w:rPr>
      </w:pPr>
    </w:p>
    <w:p>
      <w:pPr>
        <w:widowControl w:val="0"/>
        <w:pBdr>
          <w:top w:val="nil"/>
          <w:left w:val="nil"/>
          <w:bottom w:val="nil"/>
          <w:right w:val="nil"/>
          <w:between w:val="nil"/>
          <w:bar w:val="nil"/>
        </w:pBdr>
        <w:rPr>
          <w:rFonts w:eastAsia="Arial"/>
          <w:b w:val="0"/>
          <w:color w:val="000000"/>
          <w:u w:color="000000"/>
          <w:bdr w:val="nil"/>
          <w:lang w:val="es-ES_tradnl" w:eastAsia="es-CL"/>
        </w:rPr>
      </w:pPr>
      <w:r>
        <w:rPr>
          <w:rFonts w:eastAsia="Arial"/>
          <w:b w:val="0"/>
          <w:color w:val="000000"/>
          <w:u w:color="000000"/>
          <w:bdr w:val="nil"/>
          <w:lang w:val="es-ES_tradnl" w:eastAsia="es-CL"/>
        </w:rPr>
        <w:tab/>
      </w:r>
      <w:r>
        <w:rPr>
          <w:rFonts w:eastAsia="Arial"/>
          <w:bCs/>
          <w:color w:val="000000"/>
          <w:u w:color="000000"/>
          <w:bdr w:val="nil"/>
          <w:lang w:val="es-ES_tradnl" w:eastAsia="es-CL"/>
        </w:rPr>
        <w:t>El Subdirector de Presupuestos, señor Gustavo Rivera,</w:t>
      </w:r>
      <w:r>
        <w:rPr>
          <w:rFonts w:eastAsia="Arial"/>
          <w:b w:val="0"/>
          <w:color w:val="000000"/>
          <w:u w:color="000000"/>
          <w:bdr w:val="nil"/>
          <w:lang w:val="es-ES_tradnl" w:eastAsia="es-CL"/>
        </w:rPr>
        <w:t xml:space="preserve"> indicó que la Presidenta de la República, en el año 2014, planteó como una tarea fundamental el adelantar el desarrollo del proceso administrativo de ejecución presupuestaria, lo que significa hacer un esfuerzo, en diciembre de cada año, para efectuar una pronta identificación de los proyectos de inversión que se contemplen para el año siguiente.</w:t>
      </w:r>
    </w:p>
    <w:p>
      <w:pPr>
        <w:widowControl w:val="0"/>
        <w:pBdr>
          <w:top w:val="nil"/>
          <w:left w:val="nil"/>
          <w:bottom w:val="nil"/>
          <w:right w:val="nil"/>
          <w:between w:val="nil"/>
          <w:bar w:val="nil"/>
        </w:pBdr>
        <w:rPr>
          <w:rFonts w:eastAsia="Arial"/>
          <w:b w:val="0"/>
          <w:color w:val="000000"/>
          <w:u w:color="000000"/>
          <w:bdr w:val="nil"/>
          <w:lang w:val="es-ES_tradnl" w:eastAsia="es-CL"/>
        </w:rPr>
      </w:pPr>
    </w:p>
    <w:p>
      <w:pPr>
        <w:widowControl w:val="0"/>
        <w:pBdr>
          <w:top w:val="nil"/>
          <w:left w:val="nil"/>
          <w:bottom w:val="nil"/>
          <w:right w:val="nil"/>
          <w:between w:val="nil"/>
          <w:bar w:val="nil"/>
        </w:pBdr>
        <w:rPr>
          <w:rFonts w:eastAsia="Arial"/>
          <w:b w:val="0"/>
          <w:color w:val="000000"/>
          <w:u w:color="000000"/>
          <w:bdr w:val="nil"/>
          <w:lang w:val="es-ES_tradnl" w:eastAsia="es-CL"/>
        </w:rPr>
      </w:pPr>
      <w:r>
        <w:rPr>
          <w:rFonts w:eastAsia="Arial"/>
          <w:b w:val="0"/>
          <w:color w:val="000000"/>
          <w:u w:color="000000"/>
          <w:bdr w:val="nil"/>
          <w:lang w:val="es-ES_tradnl" w:eastAsia="es-CL"/>
        </w:rPr>
        <w:tab/>
        <w:t>Así, explicó que la Dirección de Presupuestos recibe la solicitud de identificación de parte del respectivo Ministerio, momento a partir del cual cuenta con un determinado número de días para efectuar el proceso de identificación (a lo cual viene aparejado un Programa de Mejoramiento de la Gestión (PMG) para los funcionarios para cumplir con tal plazo).</w:t>
      </w:r>
    </w:p>
    <w:p>
      <w:pPr>
        <w:widowControl w:val="0"/>
        <w:pBdr>
          <w:top w:val="nil"/>
          <w:left w:val="nil"/>
          <w:bottom w:val="nil"/>
          <w:right w:val="nil"/>
          <w:between w:val="nil"/>
          <w:bar w:val="nil"/>
        </w:pBdr>
        <w:rPr>
          <w:rFonts w:eastAsia="Arial"/>
          <w:b w:val="0"/>
          <w:color w:val="000000"/>
          <w:u w:color="000000"/>
          <w:bdr w:val="nil"/>
          <w:lang w:val="es-ES_tradnl" w:eastAsia="es-CL"/>
        </w:rPr>
      </w:pPr>
    </w:p>
    <w:p>
      <w:pPr>
        <w:widowControl w:val="0"/>
        <w:pBdr>
          <w:top w:val="nil"/>
          <w:left w:val="nil"/>
          <w:bottom w:val="nil"/>
          <w:right w:val="nil"/>
          <w:between w:val="nil"/>
          <w:bar w:val="nil"/>
        </w:pBdr>
        <w:rPr>
          <w:rFonts w:eastAsia="Arial"/>
          <w:b w:val="0"/>
          <w:color w:val="000000"/>
          <w:u w:color="000000"/>
          <w:bdr w:val="nil"/>
          <w:lang w:val="es-ES_tradnl" w:eastAsia="es-CL"/>
        </w:rPr>
      </w:pPr>
      <w:r>
        <w:rPr>
          <w:rFonts w:eastAsia="Arial"/>
          <w:b w:val="0"/>
          <w:color w:val="000000"/>
          <w:u w:color="000000"/>
          <w:bdr w:val="nil"/>
          <w:lang w:val="es-ES_tradnl" w:eastAsia="es-CL"/>
        </w:rPr>
        <w:tab/>
        <w:t>En tal sentido, explicó que ello implica que los Ministerios, a su vez, hagan los esfuerzos necesarios de reunir en diciembre la documentación respectiva para la adecuada identificación de los proyectos por parte de DIPRES.</w:t>
      </w:r>
    </w:p>
    <w:p>
      <w:pPr>
        <w:widowControl w:val="0"/>
        <w:pBdr>
          <w:top w:val="nil"/>
          <w:left w:val="nil"/>
          <w:bottom w:val="nil"/>
          <w:right w:val="nil"/>
          <w:between w:val="nil"/>
          <w:bar w:val="nil"/>
        </w:pBdr>
        <w:rPr>
          <w:rFonts w:eastAsia="Arial"/>
          <w:b w:val="0"/>
          <w:color w:val="000000"/>
          <w:u w:color="000000"/>
          <w:bdr w:val="nil"/>
          <w:lang w:val="es-ES_tradnl" w:eastAsia="es-CL"/>
        </w:rPr>
      </w:pPr>
    </w:p>
    <w:p>
      <w:pPr>
        <w:widowControl w:val="0"/>
        <w:pBdr>
          <w:top w:val="nil"/>
          <w:left w:val="nil"/>
          <w:bottom w:val="nil"/>
          <w:right w:val="nil"/>
          <w:between w:val="nil"/>
          <w:bar w:val="nil"/>
        </w:pBdr>
        <w:rPr>
          <w:rFonts w:eastAsia="Arial"/>
          <w:b w:val="0"/>
          <w:color w:val="000000"/>
          <w:u w:color="000000"/>
          <w:bdr w:val="nil"/>
          <w:lang w:val="es-ES_tradnl" w:eastAsia="es-CL"/>
        </w:rPr>
      </w:pPr>
      <w:r>
        <w:rPr>
          <w:rFonts w:eastAsia="Arial"/>
          <w:b w:val="0"/>
          <w:color w:val="000000"/>
          <w:u w:color="000000"/>
          <w:bdr w:val="nil"/>
          <w:lang w:val="es-ES_tradnl" w:eastAsia="es-CL"/>
        </w:rPr>
        <w:tab/>
        <w:t>En seguida, indicó que entre enero y marzo del año en curso se logró la identificación de aproximadamente el 65% del total de proyectos, lo que significó un considerable aumento respecto de años anteriores.</w:t>
      </w:r>
    </w:p>
    <w:p>
      <w:pPr>
        <w:widowControl w:val="0"/>
        <w:pBdr>
          <w:top w:val="nil"/>
          <w:left w:val="nil"/>
          <w:bottom w:val="nil"/>
          <w:right w:val="nil"/>
          <w:between w:val="nil"/>
          <w:bar w:val="nil"/>
        </w:pBdr>
        <w:rPr>
          <w:rFonts w:eastAsia="Arial"/>
          <w:b w:val="0"/>
          <w:color w:val="000000"/>
          <w:u w:color="000000"/>
          <w:bdr w:val="nil"/>
          <w:lang w:val="es-ES_tradnl" w:eastAsia="es-CL"/>
        </w:rPr>
      </w:pPr>
    </w:p>
    <w:p>
      <w:pPr>
        <w:widowControl w:val="0"/>
        <w:pBdr>
          <w:top w:val="nil"/>
          <w:left w:val="nil"/>
          <w:bottom w:val="nil"/>
          <w:right w:val="nil"/>
          <w:between w:val="nil"/>
          <w:bar w:val="nil"/>
        </w:pBdr>
        <w:rPr>
          <w:rFonts w:eastAsia="Arial"/>
          <w:b w:val="0"/>
          <w:color w:val="000000"/>
          <w:u w:color="000000"/>
          <w:bdr w:val="nil"/>
          <w:lang w:val="es-ES_tradnl" w:eastAsia="es-CL"/>
        </w:rPr>
      </w:pPr>
      <w:r>
        <w:rPr>
          <w:rFonts w:eastAsia="Arial"/>
          <w:b w:val="0"/>
          <w:color w:val="000000"/>
          <w:u w:color="000000"/>
          <w:bdr w:val="nil"/>
          <w:lang w:val="es-ES_tradnl" w:eastAsia="es-CL"/>
        </w:rPr>
        <w:tab/>
        <w:t>Por último, expresó que, antes del inicio del desarrollo del programa respectivo, se debe tener presente que se deben seguir las distintas etapas administrativas correspondientes, a saber: i) solicitud de identificación del proyecto por parte del Ministerio respectivo; ii) análisis efectuado por DIPRES; iii) expedición del Decreto de identificación; iv) firma de este último acto administrativo por parte del Ministro de Hacienda; v) envío del decreto a la Contraloría General de la República para su toma de razón; vi) una vez que el acto haya sido tomado razón por el órgano contralor se comienza a desarrollar la fase administrativa del proyecto; vii) confección bases administrativas; viii) envío de las mismas a la Contraloría General de la República para su toma de razón; ix) una vez que se haya producido la toma de razón se deben desarrollar las distintas fases del proceso licitatorio hasta la adjudicación; x) la resolución que adjudica a un oferente dicho proceso, asimismo, debe ser sometida a la toma de razón de la entidad contralora; y xi) por lo que sólo una vez que ello se ha producido es que el proyecto en propiedad puede comenzar con su desarrollo.</w:t>
      </w:r>
    </w:p>
    <w:p>
      <w:pPr>
        <w:widowControl w:val="0"/>
        <w:pBdr>
          <w:top w:val="nil"/>
          <w:left w:val="nil"/>
          <w:bottom w:val="nil"/>
          <w:right w:val="nil"/>
          <w:between w:val="nil"/>
          <w:bar w:val="nil"/>
        </w:pBdr>
        <w:rPr>
          <w:rFonts w:eastAsia="Arial"/>
          <w:b w:val="0"/>
          <w:color w:val="000000"/>
          <w:u w:color="000000"/>
          <w:bdr w:val="nil"/>
          <w:lang w:val="es-ES_tradnl" w:eastAsia="es-CL"/>
        </w:rPr>
      </w:pPr>
    </w:p>
    <w:p>
      <w:pPr>
        <w:widowControl w:val="0"/>
        <w:pBdr>
          <w:top w:val="nil"/>
          <w:left w:val="nil"/>
          <w:bottom w:val="nil"/>
          <w:right w:val="nil"/>
          <w:between w:val="nil"/>
          <w:bar w:val="nil"/>
        </w:pBdr>
        <w:rPr>
          <w:rFonts w:eastAsia="Arial"/>
          <w:b w:val="0"/>
          <w:color w:val="000000"/>
          <w:u w:color="000000"/>
          <w:bdr w:val="nil"/>
          <w:lang w:val="es-ES_tradnl" w:eastAsia="es-CL"/>
        </w:rPr>
      </w:pPr>
      <w:r>
        <w:rPr>
          <w:rFonts w:eastAsia="Arial"/>
          <w:b w:val="0"/>
          <w:color w:val="000000"/>
          <w:u w:color="000000"/>
          <w:bdr w:val="nil"/>
          <w:lang w:val="es-ES_tradnl" w:eastAsia="es-CL"/>
        </w:rPr>
        <w:tab/>
      </w:r>
      <w:r>
        <w:rPr>
          <w:rFonts w:eastAsia="Arial"/>
          <w:bCs/>
          <w:color w:val="000000"/>
          <w:u w:color="000000"/>
          <w:bdr w:val="nil"/>
          <w:lang w:val="es-ES_tradnl" w:eastAsia="es-CL"/>
        </w:rPr>
        <w:t>El Honorable Senador señor Tuma</w:t>
      </w:r>
      <w:r>
        <w:rPr>
          <w:rFonts w:eastAsia="Arial"/>
          <w:b w:val="0"/>
          <w:color w:val="000000"/>
          <w:u w:color="000000"/>
          <w:bdr w:val="nil"/>
          <w:lang w:val="es-ES_tradnl" w:eastAsia="es-CL"/>
        </w:rPr>
        <w:t>, solicitó el envío de un Informe en donde se indique cuáles de los programas recibidos en Enero han sido identificados y cuáles no.</w:t>
      </w:r>
    </w:p>
    <w:p>
      <w:pPr>
        <w:widowControl w:val="0"/>
        <w:pBdr>
          <w:top w:val="nil"/>
          <w:left w:val="nil"/>
          <w:bottom w:val="nil"/>
          <w:right w:val="nil"/>
          <w:between w:val="nil"/>
          <w:bar w:val="nil"/>
        </w:pBdr>
        <w:rPr>
          <w:rFonts w:eastAsia="Arial"/>
          <w:b w:val="0"/>
          <w:color w:val="000000"/>
          <w:u w:color="000000"/>
          <w:bdr w:val="nil"/>
          <w:lang w:val="es-ES_tradnl" w:eastAsia="es-CL"/>
        </w:rPr>
      </w:pPr>
    </w:p>
    <w:p>
      <w:pPr>
        <w:widowControl w:val="0"/>
        <w:pBdr>
          <w:top w:val="nil"/>
          <w:left w:val="nil"/>
          <w:bottom w:val="nil"/>
          <w:right w:val="nil"/>
          <w:between w:val="nil"/>
          <w:bar w:val="nil"/>
        </w:pBdr>
        <w:rPr>
          <w:rFonts w:eastAsia="Arial"/>
          <w:b w:val="0"/>
          <w:color w:val="000000"/>
          <w:u w:color="000000"/>
          <w:bdr w:val="nil"/>
          <w:lang w:val="es-ES_tradnl" w:eastAsia="es-CL"/>
        </w:rPr>
      </w:pPr>
      <w:r>
        <w:rPr>
          <w:rFonts w:eastAsia="Arial"/>
          <w:b w:val="0"/>
          <w:color w:val="000000"/>
          <w:u w:color="000000"/>
          <w:bdr w:val="nil"/>
          <w:lang w:val="es-ES_tradnl" w:eastAsia="es-CL"/>
        </w:rPr>
        <w:tab/>
      </w:r>
      <w:r>
        <w:rPr>
          <w:rFonts w:eastAsia="Arial"/>
          <w:bCs/>
          <w:color w:val="000000"/>
          <w:u w:color="000000"/>
          <w:bdr w:val="nil"/>
          <w:lang w:val="es-ES_tradnl" w:eastAsia="es-CL"/>
        </w:rPr>
        <w:t>El Presidente de la Subcomisión, Honorable Diputado señor De Mussy</w:t>
      </w:r>
      <w:r>
        <w:rPr>
          <w:rFonts w:eastAsia="Arial"/>
          <w:b w:val="0"/>
          <w:color w:val="000000"/>
          <w:u w:color="000000"/>
          <w:bdr w:val="nil"/>
          <w:lang w:val="es-ES_tradnl" w:eastAsia="es-CL"/>
        </w:rPr>
        <w:t>, consultó si los nuevos funcionarios contemplados serán destinados al fortalecimiento de la evaluación de los programas, en tanto haberse informado del débil desempeño que han efectuado algunos de estos últimos.</w:t>
      </w:r>
    </w:p>
    <w:p>
      <w:pPr>
        <w:widowControl w:val="0"/>
        <w:pBdr>
          <w:top w:val="nil"/>
          <w:left w:val="nil"/>
          <w:bottom w:val="nil"/>
          <w:right w:val="nil"/>
          <w:between w:val="nil"/>
          <w:bar w:val="nil"/>
        </w:pBdr>
        <w:rPr>
          <w:rFonts w:eastAsia="Arial"/>
          <w:b w:val="0"/>
          <w:color w:val="000000"/>
          <w:u w:color="000000"/>
          <w:bdr w:val="nil"/>
          <w:lang w:val="es-ES_tradnl" w:eastAsia="es-CL"/>
        </w:rPr>
      </w:pPr>
    </w:p>
    <w:p>
      <w:pPr>
        <w:widowControl w:val="0"/>
        <w:pBdr>
          <w:top w:val="nil"/>
          <w:left w:val="nil"/>
          <w:bottom w:val="nil"/>
          <w:right w:val="nil"/>
          <w:between w:val="nil"/>
          <w:bar w:val="nil"/>
        </w:pBdr>
        <w:rPr>
          <w:rFonts w:eastAsia="Arial"/>
          <w:b w:val="0"/>
          <w:color w:val="000000"/>
          <w:u w:color="000000"/>
          <w:bdr w:val="nil"/>
          <w:lang w:val="es-ES_tradnl" w:eastAsia="es-CL"/>
        </w:rPr>
      </w:pPr>
      <w:r>
        <w:rPr>
          <w:rFonts w:eastAsia="Arial"/>
          <w:b w:val="0"/>
          <w:color w:val="000000"/>
          <w:u w:color="000000"/>
          <w:bdr w:val="nil"/>
          <w:lang w:val="es-ES_tradnl" w:eastAsia="es-CL"/>
        </w:rPr>
        <w:tab/>
        <w:t>Asimismo, consideró que las malas evaluaciones de tales programas debiesen ser reflejadas, de algún modo, en el presupuesto destinado a los mismos, a fin de que se puedan subsanar los errores y fallas cometidos en su desarrollo.</w:t>
      </w:r>
    </w:p>
    <w:p>
      <w:pPr>
        <w:widowControl w:val="0"/>
        <w:pBdr>
          <w:top w:val="nil"/>
          <w:left w:val="nil"/>
          <w:bottom w:val="nil"/>
          <w:right w:val="nil"/>
          <w:between w:val="nil"/>
          <w:bar w:val="nil"/>
        </w:pBdr>
        <w:rPr>
          <w:rFonts w:eastAsia="Arial"/>
          <w:b w:val="0"/>
          <w:color w:val="000000"/>
          <w:u w:color="000000"/>
          <w:bdr w:val="nil"/>
          <w:lang w:val="es-ES_tradnl" w:eastAsia="es-CL"/>
        </w:rPr>
      </w:pPr>
    </w:p>
    <w:p>
      <w:pPr>
        <w:widowControl w:val="0"/>
        <w:pBdr>
          <w:top w:val="nil"/>
          <w:left w:val="nil"/>
          <w:bottom w:val="nil"/>
          <w:right w:val="nil"/>
          <w:between w:val="nil"/>
          <w:bar w:val="nil"/>
        </w:pBdr>
        <w:rPr>
          <w:rFonts w:eastAsia="Arial"/>
          <w:b w:val="0"/>
          <w:color w:val="000000"/>
          <w:u w:color="000000"/>
          <w:bdr w:val="nil"/>
          <w:lang w:val="es-ES_tradnl" w:eastAsia="es-CL"/>
        </w:rPr>
      </w:pPr>
      <w:r>
        <w:rPr>
          <w:rFonts w:eastAsia="Arial"/>
          <w:b w:val="0"/>
          <w:color w:val="000000"/>
          <w:u w:color="000000"/>
          <w:bdr w:val="nil"/>
          <w:lang w:val="es-ES_tradnl" w:eastAsia="es-CL"/>
        </w:rPr>
        <w:tab/>
      </w:r>
      <w:r>
        <w:rPr>
          <w:rFonts w:eastAsia="Arial"/>
          <w:bCs/>
          <w:color w:val="000000"/>
          <w:u w:color="000000"/>
          <w:bdr w:val="nil"/>
          <w:lang w:val="es-ES_tradnl" w:eastAsia="es-CL"/>
        </w:rPr>
        <w:t xml:space="preserve">El Subdirector de Presupuestos, señor Gustavo Rivera, </w:t>
      </w:r>
      <w:r>
        <w:rPr>
          <w:rFonts w:eastAsia="Arial"/>
          <w:b w:val="0"/>
          <w:color w:val="000000"/>
          <w:u w:color="000000"/>
          <w:bdr w:val="nil"/>
          <w:lang w:val="es-ES_tradnl" w:eastAsia="es-CL"/>
        </w:rPr>
        <w:t>señaló que la DIPRES efectivamente realiza una evaluación detallada de los programas, en términos de sus resultados, su desarrollo y su proyección, a fin de examinar su consistencia y estabilidad de los mismos.</w:t>
      </w:r>
    </w:p>
    <w:p>
      <w:pPr>
        <w:widowControl w:val="0"/>
        <w:pBdr>
          <w:top w:val="nil"/>
          <w:left w:val="nil"/>
          <w:bottom w:val="nil"/>
          <w:right w:val="nil"/>
          <w:between w:val="nil"/>
          <w:bar w:val="nil"/>
        </w:pBdr>
        <w:rPr>
          <w:rFonts w:eastAsia="Arial"/>
          <w:b w:val="0"/>
          <w:color w:val="000000"/>
          <w:u w:color="000000"/>
          <w:bdr w:val="nil"/>
          <w:lang w:val="es-ES_tradnl" w:eastAsia="es-CL"/>
        </w:rPr>
      </w:pPr>
    </w:p>
    <w:p>
      <w:pPr>
        <w:widowControl w:val="0"/>
        <w:pBdr>
          <w:top w:val="nil"/>
          <w:left w:val="nil"/>
          <w:bottom w:val="nil"/>
          <w:right w:val="nil"/>
          <w:between w:val="nil"/>
          <w:bar w:val="nil"/>
        </w:pBdr>
        <w:rPr>
          <w:rFonts w:eastAsia="Arial"/>
          <w:b w:val="0"/>
          <w:color w:val="000000"/>
          <w:u w:color="000000"/>
          <w:bdr w:val="nil"/>
          <w:lang w:val="es-ES_tradnl" w:eastAsia="es-CL"/>
        </w:rPr>
      </w:pPr>
      <w:r>
        <w:rPr>
          <w:rFonts w:eastAsia="Arial"/>
          <w:b w:val="0"/>
          <w:color w:val="000000"/>
          <w:u w:color="000000"/>
          <w:bdr w:val="nil"/>
          <w:lang w:val="es-ES_tradnl" w:eastAsia="es-CL"/>
        </w:rPr>
        <w:tab/>
        <w:t>De ese modo, en caso de observarse falencias, la Dirección de Presupuestos formalmente solicita al órgano respectivo la reformulación del programa, haciéndose un seguimiento de tal proceso, a fin de que luego sea revisado el año próximo, con el objetivo de verificar si se han efectuado las correcciones respectivas.</w:t>
      </w:r>
    </w:p>
    <w:p>
      <w:pPr>
        <w:widowControl w:val="0"/>
        <w:pBdr>
          <w:top w:val="nil"/>
          <w:left w:val="nil"/>
          <w:bottom w:val="nil"/>
          <w:right w:val="nil"/>
          <w:between w:val="nil"/>
          <w:bar w:val="nil"/>
        </w:pBdr>
        <w:rPr>
          <w:rFonts w:eastAsia="Arial"/>
          <w:b w:val="0"/>
          <w:color w:val="000000"/>
          <w:u w:color="000000"/>
          <w:bdr w:val="nil"/>
          <w:lang w:val="es-ES_tradnl" w:eastAsia="es-CL"/>
        </w:rPr>
      </w:pPr>
    </w:p>
    <w:p>
      <w:pPr>
        <w:widowControl w:val="0"/>
        <w:pBdr>
          <w:top w:val="nil"/>
          <w:left w:val="nil"/>
          <w:bottom w:val="nil"/>
          <w:right w:val="nil"/>
          <w:between w:val="nil"/>
          <w:bar w:val="nil"/>
        </w:pBdr>
        <w:rPr>
          <w:rFonts w:eastAsia="Arial"/>
          <w:b w:val="0"/>
          <w:color w:val="000000"/>
          <w:u w:color="000000"/>
          <w:bdr w:val="nil"/>
          <w:lang w:val="es-ES_tradnl" w:eastAsia="es-CL"/>
        </w:rPr>
      </w:pPr>
      <w:r>
        <w:rPr>
          <w:rFonts w:eastAsia="Arial"/>
          <w:b w:val="0"/>
          <w:color w:val="000000"/>
          <w:u w:color="000000"/>
          <w:bdr w:val="nil"/>
          <w:lang w:val="es-ES_tradnl" w:eastAsia="es-CL"/>
        </w:rPr>
        <w:tab/>
        <w:t>En ese sentido, explicó, se suscribe un compromiso formal con el organismo a cargo del programa, en donde se especifican las cuestiones que debe subsanar, de lo cual DIPRES efectúa el respectivo seguimiento.</w:t>
      </w:r>
    </w:p>
    <w:p>
      <w:pPr>
        <w:widowControl w:val="0"/>
        <w:pBdr>
          <w:top w:val="nil"/>
          <w:left w:val="nil"/>
          <w:bottom w:val="nil"/>
          <w:right w:val="nil"/>
          <w:between w:val="nil"/>
          <w:bar w:val="nil"/>
        </w:pBdr>
        <w:rPr>
          <w:rFonts w:eastAsia="Arial"/>
          <w:b w:val="0"/>
          <w:color w:val="000000"/>
          <w:u w:color="000000"/>
          <w:bdr w:val="nil"/>
          <w:lang w:val="es-ES_tradnl" w:eastAsia="es-CL"/>
        </w:rPr>
      </w:pPr>
    </w:p>
    <w:p>
      <w:pPr>
        <w:widowControl w:val="0"/>
        <w:pBdr>
          <w:top w:val="nil"/>
          <w:left w:val="nil"/>
          <w:bottom w:val="nil"/>
          <w:right w:val="nil"/>
          <w:between w:val="nil"/>
          <w:bar w:val="nil"/>
        </w:pBdr>
        <w:rPr>
          <w:rFonts w:eastAsia="Arial"/>
          <w:b w:val="0"/>
          <w:color w:val="000000"/>
          <w:u w:color="000000"/>
          <w:bdr w:val="nil"/>
          <w:lang w:val="es-ES_tradnl" w:eastAsia="es-CL"/>
        </w:rPr>
      </w:pPr>
      <w:r>
        <w:rPr>
          <w:rFonts w:eastAsia="Arial"/>
          <w:b w:val="0"/>
          <w:color w:val="000000"/>
          <w:u w:color="000000"/>
          <w:bdr w:val="nil"/>
          <w:lang w:val="es-ES_tradnl" w:eastAsia="es-CL"/>
        </w:rPr>
        <w:tab/>
        <w:t>Por último, señaló que las atribuciones de la Dirección de Presupuestos permiten a esta última requerir la reformulación del determinado programa, pero no se puede sin más recortar o paralizar a aquéllos, sin perjuicio de que, extraordinariamente, han ocurrido casos en donde ello se ha efectuado.</w:t>
      </w:r>
    </w:p>
    <w:p>
      <w:pPr>
        <w:widowControl w:val="0"/>
        <w:pBdr>
          <w:top w:val="nil"/>
          <w:left w:val="nil"/>
          <w:bottom w:val="nil"/>
          <w:right w:val="nil"/>
          <w:between w:val="nil"/>
          <w:bar w:val="nil"/>
        </w:pBdr>
        <w:rPr>
          <w:rFonts w:eastAsia="Arial"/>
          <w:b w:val="0"/>
          <w:color w:val="000000"/>
          <w:u w:color="000000"/>
          <w:bdr w:val="nil"/>
          <w:lang w:val="es-ES_tradnl" w:eastAsia="es-CL"/>
        </w:rPr>
      </w:pPr>
    </w:p>
    <w:p>
      <w:pPr>
        <w:widowControl w:val="0"/>
        <w:pBdr>
          <w:top w:val="nil"/>
          <w:left w:val="nil"/>
          <w:bottom w:val="nil"/>
          <w:right w:val="nil"/>
          <w:between w:val="nil"/>
          <w:bar w:val="nil"/>
        </w:pBdr>
        <w:rPr>
          <w:rFonts w:eastAsia="Arial"/>
          <w:b w:val="0"/>
          <w:color w:val="000000"/>
          <w:u w:color="000000"/>
          <w:bdr w:val="nil"/>
          <w:lang w:val="es-ES_tradnl" w:eastAsia="es-CL"/>
        </w:rPr>
      </w:pPr>
      <w:r>
        <w:rPr>
          <w:rFonts w:eastAsia="Arial"/>
          <w:b w:val="0"/>
          <w:color w:val="000000"/>
          <w:u w:color="000000"/>
          <w:bdr w:val="nil"/>
          <w:lang w:val="es-ES_tradnl" w:eastAsia="es-CL"/>
        </w:rPr>
        <w:tab/>
      </w:r>
      <w:r>
        <w:rPr>
          <w:rFonts w:eastAsia="Arial"/>
          <w:bCs/>
          <w:color w:val="000000"/>
          <w:u w:color="000000"/>
          <w:bdr w:val="nil"/>
          <w:lang w:val="es-ES_tradnl" w:eastAsia="es-CL"/>
        </w:rPr>
        <w:t>El Presidente de la Subcomisión, Honorable Diputado señor De Mussy</w:t>
      </w:r>
      <w:r>
        <w:rPr>
          <w:rFonts w:eastAsia="Arial"/>
          <w:b w:val="0"/>
          <w:color w:val="000000"/>
          <w:u w:color="000000"/>
          <w:bdr w:val="nil"/>
          <w:lang w:val="es-ES_tradnl" w:eastAsia="es-CL"/>
        </w:rPr>
        <w:t>, preguntó cuál es la evaluación en general que tiene DIPRES respecto de los programas.</w:t>
      </w:r>
    </w:p>
    <w:p>
      <w:pPr>
        <w:widowControl w:val="0"/>
        <w:pBdr>
          <w:top w:val="nil"/>
          <w:left w:val="nil"/>
          <w:bottom w:val="nil"/>
          <w:right w:val="nil"/>
          <w:between w:val="nil"/>
          <w:bar w:val="nil"/>
        </w:pBdr>
        <w:rPr>
          <w:rFonts w:eastAsia="Arial"/>
          <w:b w:val="0"/>
          <w:color w:val="000000"/>
          <w:u w:color="000000"/>
          <w:bdr w:val="nil"/>
          <w:lang w:val="es-ES_tradnl" w:eastAsia="es-CL"/>
        </w:rPr>
      </w:pPr>
    </w:p>
    <w:p>
      <w:pPr>
        <w:widowControl w:val="0"/>
        <w:pBdr>
          <w:top w:val="nil"/>
          <w:left w:val="nil"/>
          <w:bottom w:val="nil"/>
          <w:right w:val="nil"/>
          <w:between w:val="nil"/>
          <w:bar w:val="nil"/>
        </w:pBdr>
        <w:rPr>
          <w:rFonts w:eastAsia="Arial"/>
          <w:b w:val="0"/>
          <w:color w:val="000000"/>
          <w:u w:color="000000"/>
          <w:bdr w:val="nil"/>
          <w:lang w:val="es-ES_tradnl" w:eastAsia="es-CL"/>
        </w:rPr>
      </w:pPr>
      <w:r>
        <w:rPr>
          <w:rFonts w:eastAsia="Arial"/>
          <w:b w:val="0"/>
          <w:color w:val="000000"/>
          <w:u w:color="000000"/>
          <w:bdr w:val="nil"/>
          <w:lang w:val="es-ES_tradnl" w:eastAsia="es-CL"/>
        </w:rPr>
        <w:tab/>
      </w:r>
      <w:r>
        <w:rPr>
          <w:rFonts w:eastAsia="Arial"/>
          <w:bCs/>
          <w:color w:val="000000"/>
          <w:u w:color="000000"/>
          <w:bdr w:val="nil"/>
          <w:lang w:val="es-ES_tradnl" w:eastAsia="es-CL"/>
        </w:rPr>
        <w:t xml:space="preserve">El Subdirector de Presupuestos, señor Gustavo Rivera, </w:t>
      </w:r>
      <w:r>
        <w:rPr>
          <w:rFonts w:eastAsia="Arial"/>
          <w:b w:val="0"/>
          <w:color w:val="000000"/>
          <w:u w:color="000000"/>
          <w:bdr w:val="nil"/>
          <w:lang w:val="es-ES_tradnl" w:eastAsia="es-CL"/>
        </w:rPr>
        <w:t>indicó que los programas siempre están sujetos a perfeccionamientos, por lo que es probable encontrar elementos en donde exista la posibilidad de mejora.</w:t>
      </w:r>
    </w:p>
    <w:p>
      <w:pPr>
        <w:widowControl w:val="0"/>
        <w:pBdr>
          <w:top w:val="nil"/>
          <w:left w:val="nil"/>
          <w:bottom w:val="nil"/>
          <w:right w:val="nil"/>
          <w:between w:val="nil"/>
          <w:bar w:val="nil"/>
        </w:pBdr>
        <w:rPr>
          <w:rFonts w:eastAsia="Arial"/>
          <w:b w:val="0"/>
          <w:color w:val="000000"/>
          <w:u w:color="000000"/>
          <w:bdr w:val="nil"/>
          <w:lang w:val="es-ES_tradnl" w:eastAsia="es-CL"/>
        </w:rPr>
      </w:pPr>
    </w:p>
    <w:p>
      <w:pPr>
        <w:widowControl w:val="0"/>
        <w:pBdr>
          <w:top w:val="nil"/>
          <w:left w:val="nil"/>
          <w:bottom w:val="nil"/>
          <w:right w:val="nil"/>
          <w:between w:val="nil"/>
          <w:bar w:val="nil"/>
        </w:pBdr>
        <w:rPr>
          <w:rFonts w:eastAsia="Arial"/>
          <w:b w:val="0"/>
          <w:color w:val="000000"/>
          <w:u w:color="000000"/>
          <w:bdr w:val="nil"/>
          <w:lang w:val="es-ES_tradnl" w:eastAsia="es-CL"/>
        </w:rPr>
      </w:pPr>
      <w:r>
        <w:rPr>
          <w:rFonts w:eastAsia="Arial"/>
          <w:b w:val="0"/>
          <w:color w:val="000000"/>
          <w:u w:color="000000"/>
          <w:bdr w:val="nil"/>
          <w:lang w:val="es-ES_tradnl" w:eastAsia="es-CL"/>
        </w:rPr>
        <w:tab/>
      </w:r>
      <w:r>
        <w:rPr>
          <w:rFonts w:eastAsia="Arial"/>
          <w:bCs/>
          <w:color w:val="000000"/>
          <w:u w:color="000000"/>
          <w:bdr w:val="nil"/>
          <w:lang w:val="es-ES_tradnl" w:eastAsia="es-CL"/>
        </w:rPr>
        <w:t>El Presidente de la Subcomisión, Honorable Diputado señor De Mussy</w:t>
      </w:r>
      <w:r>
        <w:rPr>
          <w:rFonts w:eastAsia="Arial"/>
          <w:b w:val="0"/>
          <w:color w:val="000000"/>
          <w:u w:color="000000"/>
          <w:bdr w:val="nil"/>
          <w:lang w:val="es-ES_tradnl" w:eastAsia="es-CL"/>
        </w:rPr>
        <w:t>, expresó que, según datos del presente año, 17 de los 22 programas evaluados por DIPRES fueron evaluados como insuficientes, por lo que preguntó si ello es una situación normal o esto es un hecho aislado respecto de lo acaecido en otros años.</w:t>
      </w:r>
    </w:p>
    <w:p>
      <w:pPr>
        <w:widowControl w:val="0"/>
        <w:pBdr>
          <w:top w:val="nil"/>
          <w:left w:val="nil"/>
          <w:bottom w:val="nil"/>
          <w:right w:val="nil"/>
          <w:between w:val="nil"/>
          <w:bar w:val="nil"/>
        </w:pBdr>
        <w:rPr>
          <w:rFonts w:eastAsia="Arial"/>
          <w:b w:val="0"/>
          <w:color w:val="000000"/>
          <w:u w:color="000000"/>
          <w:bdr w:val="nil"/>
          <w:lang w:val="es-ES_tradnl" w:eastAsia="es-CL"/>
        </w:rPr>
      </w:pPr>
    </w:p>
    <w:p>
      <w:pPr>
        <w:widowControl w:val="0"/>
        <w:pBdr>
          <w:top w:val="nil"/>
          <w:left w:val="nil"/>
          <w:bottom w:val="nil"/>
          <w:right w:val="nil"/>
          <w:between w:val="nil"/>
          <w:bar w:val="nil"/>
        </w:pBdr>
        <w:rPr>
          <w:rFonts w:eastAsia="Arial"/>
          <w:b w:val="0"/>
          <w:color w:val="000000"/>
          <w:u w:color="000000"/>
          <w:bdr w:val="nil"/>
          <w:lang w:val="es-ES_tradnl" w:eastAsia="es-CL"/>
        </w:rPr>
      </w:pPr>
      <w:r>
        <w:rPr>
          <w:rFonts w:eastAsia="Arial"/>
          <w:b w:val="0"/>
          <w:color w:val="000000"/>
          <w:u w:color="000000"/>
          <w:bdr w:val="nil"/>
          <w:lang w:val="es-ES_tradnl" w:eastAsia="es-CL"/>
        </w:rPr>
        <w:tab/>
      </w:r>
      <w:r>
        <w:rPr>
          <w:rFonts w:eastAsia="Arial"/>
          <w:bCs/>
          <w:color w:val="000000"/>
          <w:u w:color="000000"/>
          <w:bdr w:val="nil"/>
          <w:lang w:val="es-ES_tradnl" w:eastAsia="es-CL"/>
        </w:rPr>
        <w:t>El Subdirector de Presupuestos, señor Gustavo Rivera</w:t>
      </w:r>
      <w:r>
        <w:rPr>
          <w:rFonts w:eastAsia="Arial"/>
          <w:b w:val="0"/>
          <w:color w:val="000000"/>
          <w:u w:color="000000"/>
          <w:bdr w:val="nil"/>
          <w:lang w:val="es-ES_tradnl" w:eastAsia="es-CL"/>
        </w:rPr>
        <w:t>, señaló que esa cifra de programas mal evaluados responde a lo estricto del análisis que lleva a cabo DIPRES, en el cual los programas se sujetan a altos estándares de exigencia, en los cuales se verifica la claridad de los objetivos perseguidos por tales programas, la idoneidad de los medios empleados para ello, la coherencia de las etapas de desarrollo, entre otros elementos.</w:t>
      </w:r>
    </w:p>
    <w:p>
      <w:pPr>
        <w:widowControl w:val="0"/>
        <w:pBdr>
          <w:top w:val="nil"/>
          <w:left w:val="nil"/>
          <w:bottom w:val="nil"/>
          <w:right w:val="nil"/>
          <w:between w:val="nil"/>
          <w:bar w:val="nil"/>
        </w:pBdr>
        <w:rPr>
          <w:rFonts w:eastAsia="Arial"/>
          <w:b w:val="0"/>
          <w:color w:val="000000"/>
          <w:u w:color="000000"/>
          <w:bdr w:val="nil"/>
          <w:lang w:val="es-ES_tradnl" w:eastAsia="es-CL"/>
        </w:rPr>
      </w:pPr>
    </w:p>
    <w:p>
      <w:pPr>
        <w:widowControl w:val="0"/>
        <w:pBdr>
          <w:top w:val="nil"/>
          <w:left w:val="nil"/>
          <w:bottom w:val="nil"/>
          <w:right w:val="nil"/>
          <w:between w:val="nil"/>
          <w:bar w:val="nil"/>
        </w:pBdr>
        <w:rPr>
          <w:rFonts w:eastAsia="Arial"/>
          <w:b w:val="0"/>
          <w:color w:val="000000"/>
          <w:u w:color="000000"/>
          <w:bdr w:val="nil"/>
          <w:lang w:val="es-ES_tradnl" w:eastAsia="es-CL"/>
        </w:rPr>
      </w:pPr>
      <w:r>
        <w:rPr>
          <w:rFonts w:eastAsia="Arial"/>
          <w:b w:val="0"/>
          <w:color w:val="000000"/>
          <w:u w:color="000000"/>
          <w:bdr w:val="nil"/>
          <w:lang w:val="es-ES_tradnl" w:eastAsia="es-CL"/>
        </w:rPr>
        <w:tab/>
        <w:t>Sin perjuicio de lo anterior, agregó, sólo una proporción del total de programas son los que se sujetan a la evaluación de la DIPRES, respecto de los cuales, a su vez, un porcentaje son evaluados de modo insuficiente.</w:t>
      </w:r>
    </w:p>
    <w:p>
      <w:pPr>
        <w:widowControl w:val="0"/>
        <w:pBdr>
          <w:top w:val="nil"/>
          <w:left w:val="nil"/>
          <w:bottom w:val="nil"/>
          <w:right w:val="nil"/>
          <w:between w:val="nil"/>
          <w:bar w:val="nil"/>
        </w:pBdr>
        <w:rPr>
          <w:rFonts w:eastAsia="Arial"/>
          <w:b w:val="0"/>
          <w:color w:val="000000"/>
          <w:u w:color="000000"/>
          <w:bdr w:val="nil"/>
          <w:lang w:val="es-ES_tradnl" w:eastAsia="es-CL"/>
        </w:rPr>
      </w:pPr>
    </w:p>
    <w:p>
      <w:pPr>
        <w:widowControl w:val="0"/>
        <w:pBdr>
          <w:top w:val="nil"/>
          <w:left w:val="nil"/>
          <w:bottom w:val="nil"/>
          <w:right w:val="nil"/>
          <w:between w:val="nil"/>
          <w:bar w:val="nil"/>
        </w:pBdr>
        <w:rPr>
          <w:rFonts w:eastAsia="Arial"/>
          <w:b w:val="0"/>
          <w:color w:val="000000"/>
          <w:u w:color="000000"/>
          <w:bdr w:val="nil"/>
          <w:lang w:val="es-ES_tradnl" w:eastAsia="es-CL"/>
        </w:rPr>
      </w:pPr>
      <w:r>
        <w:rPr>
          <w:rFonts w:eastAsia="Arial"/>
          <w:b w:val="0"/>
          <w:color w:val="000000"/>
          <w:u w:color="000000"/>
          <w:bdr w:val="nil"/>
          <w:lang w:val="es-ES_tradnl" w:eastAsia="es-CL"/>
        </w:rPr>
        <w:tab/>
        <w:t>Por último, señaló que en los dos últimos años se han llevado a cabo recortes presupuestarios respecto de programas que han presentado incorrecciones en su desarrollo.</w:t>
      </w:r>
    </w:p>
    <w:p>
      <w:pPr>
        <w:widowControl w:val="0"/>
        <w:pBdr>
          <w:top w:val="nil"/>
          <w:left w:val="nil"/>
          <w:bottom w:val="nil"/>
          <w:right w:val="nil"/>
          <w:between w:val="nil"/>
          <w:bar w:val="nil"/>
        </w:pBdr>
        <w:rPr>
          <w:rFonts w:eastAsia="Arial"/>
          <w:b w:val="0"/>
          <w:color w:val="000000"/>
          <w:u w:color="000000"/>
          <w:bdr w:val="nil"/>
          <w:lang w:val="es-ES_tradnl" w:eastAsia="es-CL"/>
        </w:rPr>
      </w:pPr>
    </w:p>
    <w:p>
      <w:pPr>
        <w:widowControl w:val="0"/>
        <w:pBdr>
          <w:top w:val="nil"/>
          <w:left w:val="nil"/>
          <w:bottom w:val="nil"/>
          <w:right w:val="nil"/>
          <w:between w:val="nil"/>
          <w:bar w:val="nil"/>
        </w:pBdr>
        <w:rPr>
          <w:rFonts w:eastAsia="Arial"/>
          <w:b w:val="0"/>
          <w:color w:val="000000"/>
          <w:u w:color="000000"/>
          <w:bdr w:val="nil"/>
          <w:lang w:val="es-ES_tradnl" w:eastAsia="es-CL"/>
        </w:rPr>
      </w:pPr>
      <w:r>
        <w:rPr>
          <w:rFonts w:eastAsia="Arial"/>
          <w:b w:val="0"/>
          <w:color w:val="000000"/>
          <w:u w:color="000000"/>
          <w:bdr w:val="nil"/>
          <w:lang w:val="es-ES_tradnl" w:eastAsia="es-CL"/>
        </w:rPr>
        <w:tab/>
      </w:r>
      <w:r>
        <w:rPr>
          <w:rFonts w:eastAsia="Arial"/>
          <w:bCs/>
          <w:color w:val="000000"/>
          <w:u w:color="000000"/>
          <w:bdr w:val="nil"/>
          <w:lang w:val="es-ES_tradnl" w:eastAsia="es-CL"/>
        </w:rPr>
        <w:t>El Presidente de la Subcomisión, Honorable Diputado señor De Mussy</w:t>
      </w:r>
      <w:r>
        <w:rPr>
          <w:rFonts w:eastAsia="Arial"/>
          <w:b w:val="0"/>
          <w:color w:val="000000"/>
          <w:u w:color="000000"/>
          <w:bdr w:val="nil"/>
          <w:lang w:val="es-ES_tradnl" w:eastAsia="es-CL"/>
        </w:rPr>
        <w:t>, solicitó la remisión de la evolución de los resultados obtenidos por los programas públicos evaluados por los Paneles de Expertos de DIPRES en los últimos 5 años, que han sido reformulados.</w:t>
      </w:r>
    </w:p>
    <w:p>
      <w:pPr>
        <w:rPr>
          <w:b w:val="0"/>
          <w:sz w:val="23"/>
          <w:szCs w:val="23"/>
          <w:lang w:val="es-ES_tradnl"/>
        </w:rPr>
      </w:pPr>
    </w:p>
    <w:p>
      <w:pPr>
        <w:rPr>
          <w:lang w:val="es-ES_tradnl"/>
        </w:rPr>
      </w:pPr>
      <w:r>
        <w:rPr>
          <w:b w:val="0"/>
          <w:sz w:val="23"/>
          <w:szCs w:val="23"/>
          <w:lang w:val="es-ES_tradnl"/>
        </w:rPr>
        <w:tab/>
      </w:r>
      <w:r>
        <w:rPr>
          <w:lang w:val="es-ES_tradnl"/>
        </w:rPr>
        <w:t>Sometido a votación el Capítulo 02, Programa 01, fue aprobado sin enmiendas por la unanimidad de los miembros presentes de la Subcomisión, Honorable Diputado señor De Mussy (Presidente), Honorables Senadores señores Coloma y Tuma, y Honorables Diputados señores Schilling y Silva.</w:t>
      </w:r>
    </w:p>
    <w:p>
      <w:pPr>
        <w:rPr>
          <w:b w:val="0"/>
          <w:sz w:val="23"/>
          <w:szCs w:val="23"/>
          <w:lang w:val="es-ES_tradnl"/>
        </w:rPr>
      </w:pPr>
    </w:p>
    <w:p>
      <w:pPr>
        <w:rPr>
          <w:b w:val="0"/>
          <w:sz w:val="23"/>
          <w:szCs w:val="23"/>
        </w:rPr>
      </w:pPr>
    </w:p>
    <w:p>
      <w:pPr>
        <w:jc w:val="center"/>
        <w:rPr>
          <w:sz w:val="23"/>
          <w:szCs w:val="23"/>
        </w:rPr>
      </w:pPr>
      <w:r>
        <w:rPr>
          <w:sz w:val="23"/>
          <w:szCs w:val="23"/>
        </w:rPr>
        <w:t>CAPITULO 03</w:t>
      </w:r>
    </w:p>
    <w:p>
      <w:pPr>
        <w:jc w:val="center"/>
        <w:rPr>
          <w:sz w:val="23"/>
          <w:szCs w:val="23"/>
        </w:rPr>
      </w:pPr>
    </w:p>
    <w:p>
      <w:pPr>
        <w:jc w:val="center"/>
        <w:rPr>
          <w:sz w:val="23"/>
          <w:szCs w:val="23"/>
        </w:rPr>
      </w:pPr>
      <w:r>
        <w:rPr>
          <w:sz w:val="23"/>
          <w:szCs w:val="23"/>
        </w:rPr>
        <w:t>Programa 01</w:t>
      </w:r>
    </w:p>
    <w:p>
      <w:pPr>
        <w:jc w:val="center"/>
        <w:rPr>
          <w:sz w:val="23"/>
          <w:szCs w:val="23"/>
        </w:rPr>
      </w:pPr>
      <w:r>
        <w:rPr>
          <w:sz w:val="23"/>
          <w:szCs w:val="23"/>
        </w:rPr>
        <w:t>Servicio de Impuestos Internos.</w:t>
      </w:r>
    </w:p>
    <w:p>
      <w:pPr>
        <w:rPr>
          <w:sz w:val="23"/>
          <w:szCs w:val="23"/>
        </w:rPr>
      </w:pPr>
    </w:p>
    <w:p>
      <w:r>
        <w:tab/>
      </w:r>
      <w:r>
        <w:rPr>
          <w:b w:val="0"/>
        </w:rPr>
        <w:t>Considera ingresos y gastos por</w:t>
      </w:r>
      <w:r>
        <w:t xml:space="preserve"> $ 185.470.237 miles.</w:t>
      </w:r>
    </w:p>
    <w:p/>
    <w:p>
      <w:pPr>
        <w:rPr>
          <w:b w:val="0"/>
        </w:rPr>
      </w:pPr>
      <w:r>
        <w:rPr>
          <w:b w:val="0"/>
        </w:rPr>
        <w:tab/>
        <w:t>El monto de recursos asignados a esta repartición por la Ley de Presupuestos en vigor alcanza a $ 183.433.318 miles, lo que implica una variación de 1,1%.</w:t>
      </w:r>
    </w:p>
    <w:p>
      <w:pPr>
        <w:rPr>
          <w:b w:val="0"/>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w:color w:val="000000"/>
          <w:u w:color="000000"/>
          <w:bdr w:val="nil"/>
          <w:lang w:val="es-ES_tradnl" w:eastAsia="es-CL"/>
        </w:rPr>
        <w:tab/>
        <w:t>El Director del Servicio de Impuestos Internos, señor Fernando Barraza</w:t>
      </w:r>
      <w:r>
        <w:rPr>
          <w:rFonts w:eastAsia="Arial"/>
          <w:b w:val="0"/>
          <w:color w:val="000000"/>
          <w:u w:color="000000"/>
          <w:bdr w:val="nil"/>
          <w:lang w:val="es-ES_tradnl" w:eastAsia="es-CL"/>
        </w:rPr>
        <w:t>, inició su presentación refiriéndose al contexto estratégico del organismo que dirige.</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w:bCs/>
          <w:color w:val="000000"/>
          <w:u w:color="000000"/>
          <w:bdr w:val="nil"/>
          <w:lang w:val="es-ES_tradnl" w:eastAsia="es-CL"/>
        </w:rPr>
        <w:tab/>
        <w:t>I. Contexto estratégico del SII</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w:b w:val="0"/>
          <w:color w:val="000000"/>
          <w:u w:color="000000"/>
          <w:bdr w:val="nil"/>
          <w:lang w:val="es-ES_tradnl" w:eastAsia="es-CL"/>
        </w:rPr>
        <w:tab/>
        <w:t xml:space="preserve">En este punto, indicó que el compromiso del Servicio con el Estado y los ciudadanos es </w:t>
      </w:r>
      <w:r>
        <w:rPr>
          <w:rFonts w:eastAsia="Arial"/>
          <w:b w:val="0"/>
          <w:bCs/>
          <w:color w:val="000000"/>
          <w:u w:color="000000"/>
          <w:bdr w:val="nil"/>
          <w:lang w:val="es-ES_tradnl" w:eastAsia="es-CL"/>
        </w:rPr>
        <w:t xml:space="preserve">asegurar el cumplimiento tributario </w:t>
      </w:r>
      <w:r>
        <w:rPr>
          <w:rFonts w:eastAsia="Arial"/>
          <w:b w:val="0"/>
          <w:color w:val="000000"/>
          <w:u w:color="000000"/>
          <w:bdr w:val="nil"/>
          <w:lang w:val="es-ES_tradnl" w:eastAsia="es-CL"/>
        </w:rPr>
        <w:t>de los contribuyentes a fin de permita contar con los recursos necesarios para el desarrollo y progreso del país.</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w:b w:val="0"/>
          <w:color w:val="000000"/>
          <w:u w:color="000000"/>
          <w:bdr w:val="nil"/>
          <w:lang w:val="es-ES_tradnl" w:eastAsia="es-CL"/>
        </w:rPr>
        <w:tab/>
        <w:t xml:space="preserve">La estrategia para ello, agregó, se basa en el </w:t>
      </w:r>
      <w:r>
        <w:rPr>
          <w:rFonts w:eastAsia="Arial"/>
          <w:b w:val="0"/>
          <w:bCs/>
          <w:color w:val="000000"/>
          <w:u w:color="000000"/>
          <w:bdr w:val="nil"/>
          <w:lang w:val="es-ES_tradnl" w:eastAsia="es-CL"/>
        </w:rPr>
        <w:t xml:space="preserve">conocimiento del comportamiento tributario </w:t>
      </w:r>
      <w:r>
        <w:rPr>
          <w:rFonts w:eastAsia="Arial"/>
          <w:b w:val="0"/>
          <w:color w:val="000000"/>
          <w:u w:color="000000"/>
          <w:bdr w:val="nil"/>
          <w:lang w:val="es-ES_tradnl" w:eastAsia="es-CL"/>
        </w:rPr>
        <w:t xml:space="preserve">del contribuyente y la </w:t>
      </w:r>
      <w:r>
        <w:rPr>
          <w:rFonts w:eastAsia="Arial"/>
          <w:b w:val="0"/>
          <w:bCs/>
          <w:color w:val="000000"/>
          <w:u w:color="000000"/>
          <w:bdr w:val="nil"/>
          <w:lang w:val="es-ES_tradnl" w:eastAsia="es-CL"/>
        </w:rPr>
        <w:t>segmentación de acciones</w:t>
      </w:r>
      <w:r>
        <w:rPr>
          <w:rFonts w:eastAsia="Arial"/>
          <w:bCs/>
          <w:color w:val="000000"/>
          <w:u w:color="000000"/>
          <w:bdr w:val="nil"/>
          <w:lang w:val="es-ES_tradnl" w:eastAsia="es-CL"/>
        </w:rPr>
        <w:t xml:space="preserve"> </w:t>
      </w:r>
      <w:r>
        <w:rPr>
          <w:rFonts w:eastAsia="Arial"/>
          <w:b w:val="0"/>
          <w:color w:val="000000"/>
          <w:u w:color="000000"/>
          <w:bdr w:val="nil"/>
          <w:lang w:val="es-ES_tradnl" w:eastAsia="es-CL"/>
        </w:rPr>
        <w:t>según el riesgo de incumplimiento tributario específico.</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w:b w:val="0"/>
          <w:color w:val="000000"/>
          <w:u w:color="000000"/>
          <w:bdr w:val="nil"/>
          <w:lang w:val="es-ES_tradnl" w:eastAsia="es-CL"/>
        </w:rPr>
        <w:tab/>
        <w:t>Del tipo de acciones que se desarrollan en el SII, explicó, se desprenden dos de las principales líneas de desarrollo:</w:t>
      </w:r>
    </w:p>
    <w:p>
      <w:pPr>
        <w:pBdr>
          <w:top w:val="nil"/>
          <w:left w:val="nil"/>
          <w:bottom w:val="nil"/>
          <w:right w:val="nil"/>
          <w:between w:val="nil"/>
          <w:bar w:val="nil"/>
        </w:pBdr>
        <w:rPr>
          <w:rFonts w:eastAsia="Arial"/>
          <w:bCs/>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w:bCs/>
          <w:color w:val="000000"/>
          <w:u w:color="000000"/>
          <w:bdr w:val="nil"/>
          <w:lang w:val="es-ES_tradnl" w:eastAsia="es-CL"/>
        </w:rPr>
        <w:tab/>
        <w:t xml:space="preserve">- </w:t>
      </w:r>
      <w:r>
        <w:rPr>
          <w:rFonts w:eastAsia="Arial"/>
          <w:b w:val="0"/>
          <w:bCs/>
          <w:color w:val="000000"/>
          <w:u w:color="000000"/>
          <w:bdr w:val="nil"/>
          <w:lang w:val="es-ES_tradnl" w:eastAsia="es-CL"/>
        </w:rPr>
        <w:t>Mejorar la efectividad de la fiscalización</w:t>
      </w:r>
    </w:p>
    <w:p>
      <w:pPr>
        <w:pBdr>
          <w:top w:val="nil"/>
          <w:left w:val="nil"/>
          <w:bottom w:val="nil"/>
          <w:right w:val="nil"/>
          <w:between w:val="nil"/>
          <w:bar w:val="nil"/>
        </w:pBdr>
        <w:rPr>
          <w:rFonts w:eastAsia="Arial"/>
          <w:b w:val="0"/>
          <w:bCs/>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w:b w:val="0"/>
          <w:bCs/>
          <w:color w:val="000000"/>
          <w:u w:color="000000"/>
          <w:bdr w:val="nil"/>
          <w:lang w:val="es-ES_tradnl" w:eastAsia="es-CL"/>
        </w:rPr>
        <w:tab/>
        <w:t>- Mejorar la asistencia al contribuyente</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bCs/>
          <w:color w:val="000000"/>
          <w:u w:color="000000"/>
          <w:bdr w:val="nil"/>
          <w:lang w:val="es-ES_tradnl" w:eastAsia="es-CL"/>
        </w:rPr>
        <w:tab/>
        <w:t>Tales líneas, añadió, se están implementando a través de la materialización de los desafíos institucionales, a saber:</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Cs/>
          <w:color w:val="000000"/>
          <w:u w:color="000000"/>
          <w:bdr w:val="nil"/>
          <w:lang w:val="es-ES_tradnl" w:eastAsia="es-CL"/>
        </w:rPr>
        <w:tab/>
        <w:t>a. Implementación de la Ley de Fortalecimiento del SII</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Unicode MS" w:cs="Arial Unicode MS"/>
          <w:b w:val="0"/>
          <w:color w:val="000000"/>
          <w:u w:color="000000"/>
          <w:bdr w:val="nil"/>
          <w:lang w:val="es-ES_tradnl" w:eastAsia="es-CL"/>
        </w:rPr>
      </w:pPr>
      <w:r>
        <w:rPr>
          <w:rFonts w:eastAsia="Arial Unicode MS" w:cs="Arial Unicode MS"/>
          <w:b w:val="0"/>
          <w:color w:val="000000"/>
          <w:u w:color="000000"/>
          <w:bdr w:val="nil"/>
          <w:lang w:val="es-ES_tradnl" w:eastAsia="es-CL"/>
        </w:rPr>
        <w:tab/>
        <w:t>- Aumento gradual de los cargos en planta del Servicio.</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Unicode MS" w:cs="Arial Unicode MS"/>
          <w:b w:val="0"/>
          <w:color w:val="000000"/>
          <w:u w:color="000000"/>
          <w:bdr w:val="nil"/>
          <w:lang w:val="es-ES_tradnl" w:eastAsia="es-CL"/>
        </w:rPr>
      </w:pPr>
      <w:r>
        <w:rPr>
          <w:rFonts w:eastAsia="Arial Unicode MS" w:cs="Arial Unicode MS"/>
          <w:b w:val="0"/>
          <w:color w:val="000000"/>
          <w:u w:color="000000"/>
          <w:bdr w:val="nil"/>
          <w:lang w:val="es-ES_tradnl" w:eastAsia="es-CL"/>
        </w:rPr>
        <w:tab/>
        <w:t>- Actualización y modernización de las condiciones de ingreso al organismo.</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 Fortalecimiento de la carrera funcionaria.</w:t>
      </w:r>
    </w:p>
    <w:p>
      <w:pPr>
        <w:pBdr>
          <w:top w:val="nil"/>
          <w:left w:val="nil"/>
          <w:bottom w:val="nil"/>
          <w:right w:val="nil"/>
          <w:between w:val="nil"/>
          <w:bar w:val="nil"/>
        </w:pBdr>
        <w:rPr>
          <w:rFonts w:eastAsia="Arial Unicode MS" w:cs="Arial Unicode MS"/>
          <w:b w:val="0"/>
          <w:color w:val="000000"/>
          <w:u w:color="000000"/>
          <w:bdr w:val="nil"/>
          <w:lang w:val="es-ES_tradnl" w:eastAsia="es-CL"/>
        </w:rPr>
      </w:pPr>
    </w:p>
    <w:p>
      <w:pPr>
        <w:pBdr>
          <w:top w:val="nil"/>
          <w:left w:val="nil"/>
          <w:bottom w:val="nil"/>
          <w:right w:val="nil"/>
          <w:between w:val="nil"/>
          <w:bar w:val="nil"/>
        </w:pBdr>
        <w:rPr>
          <w:rFonts w:eastAsia="Arial Unicode MS" w:cs="Arial Unicode MS"/>
          <w:b w:val="0"/>
          <w:color w:val="000000"/>
          <w:u w:color="000000"/>
          <w:bdr w:val="nil"/>
          <w:lang w:val="es-ES_tradnl" w:eastAsia="es-CL"/>
        </w:rPr>
      </w:pPr>
      <w:r>
        <w:rPr>
          <w:rFonts w:eastAsia="Arial Unicode MS" w:cs="Arial Unicode MS"/>
          <w:b w:val="0"/>
          <w:color w:val="000000"/>
          <w:u w:color="000000"/>
          <w:bdr w:val="nil"/>
          <w:lang w:val="es-ES_tradnl" w:eastAsia="es-CL"/>
        </w:rPr>
        <w:tab/>
        <w:t>- Mejoramiento de la organización funcional.</w:t>
      </w:r>
    </w:p>
    <w:p>
      <w:pPr>
        <w:pBdr>
          <w:top w:val="nil"/>
          <w:left w:val="nil"/>
          <w:bottom w:val="nil"/>
          <w:right w:val="nil"/>
          <w:between w:val="nil"/>
          <w:bar w:val="nil"/>
        </w:pBdr>
        <w:rPr>
          <w:rFonts w:eastAsia="Arial Unicode MS" w:cs="Arial Unicode MS"/>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 Modificación de la estructura de remuneraciones.</w:t>
      </w:r>
    </w:p>
    <w:p>
      <w:pPr>
        <w:pBdr>
          <w:top w:val="nil"/>
          <w:left w:val="nil"/>
          <w:bottom w:val="nil"/>
          <w:right w:val="nil"/>
          <w:between w:val="nil"/>
          <w:bar w:val="nil"/>
        </w:pBdr>
        <w:rPr>
          <w:rFonts w:eastAsia="Arial"/>
          <w:bCs/>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Cs/>
          <w:color w:val="000000"/>
          <w:u w:color="000000"/>
          <w:bdr w:val="nil"/>
          <w:lang w:val="es-ES_tradnl" w:eastAsia="es-CL"/>
        </w:rPr>
        <w:tab/>
        <w:t>b. Continuar con la implementación de la Reforma Tributaria</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Unicode MS" w:cs="Arial Unicode MS"/>
          <w:b w:val="0"/>
          <w:color w:val="000000"/>
          <w:u w:color="000000"/>
          <w:bdr w:val="nil"/>
          <w:lang w:val="es-ES_tradnl" w:eastAsia="es-CL"/>
        </w:rPr>
      </w:pPr>
      <w:r>
        <w:rPr>
          <w:rFonts w:eastAsia="Arial Unicode MS" w:cs="Arial Unicode MS"/>
          <w:b w:val="0"/>
          <w:color w:val="000000"/>
          <w:u w:color="000000"/>
          <w:bdr w:val="nil"/>
          <w:lang w:val="es-ES_tradnl" w:eastAsia="es-CL"/>
        </w:rPr>
        <w:tab/>
        <w:t>Para lo cual se desplegarán cambios y ajustes en:</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Unicode MS" w:cs="Arial Unicode MS"/>
          <w:b w:val="0"/>
          <w:color w:val="000000"/>
          <w:u w:color="000000"/>
          <w:bdr w:val="nil"/>
          <w:lang w:val="es-ES_tradnl" w:eastAsia="es-CL"/>
        </w:rPr>
      </w:pPr>
      <w:r>
        <w:rPr>
          <w:rFonts w:eastAsia="Arial Unicode MS" w:cs="Arial Unicode MS"/>
          <w:b w:val="0"/>
          <w:color w:val="000000"/>
          <w:u w:color="000000"/>
          <w:bdr w:val="nil"/>
          <w:lang w:val="es-ES_tradnl" w:eastAsia="es-CL"/>
        </w:rPr>
        <w:tab/>
        <w:t>- Procesos.</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Unicode MS" w:cs="Arial Unicode MS"/>
          <w:b w:val="0"/>
          <w:color w:val="000000"/>
          <w:u w:color="000000"/>
          <w:bdr w:val="nil"/>
          <w:lang w:val="es-ES_tradnl" w:eastAsia="es-CL"/>
        </w:rPr>
      </w:pPr>
      <w:r>
        <w:rPr>
          <w:rFonts w:eastAsia="Arial Unicode MS" w:cs="Arial Unicode MS"/>
          <w:b w:val="0"/>
          <w:color w:val="000000"/>
          <w:u w:color="000000"/>
          <w:bdr w:val="nil"/>
          <w:lang w:val="es-ES_tradnl" w:eastAsia="es-CL"/>
        </w:rPr>
        <w:tab/>
        <w:t>- Plataforma tecnológica.</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Unicode MS" w:cs="Arial Unicode MS"/>
          <w:b w:val="0"/>
          <w:color w:val="000000"/>
          <w:u w:color="000000"/>
          <w:bdr w:val="nil"/>
          <w:lang w:val="es-ES_tradnl" w:eastAsia="es-CL"/>
        </w:rPr>
      </w:pPr>
      <w:r>
        <w:rPr>
          <w:rFonts w:eastAsia="Arial Unicode MS" w:cs="Arial Unicode MS"/>
          <w:b w:val="0"/>
          <w:color w:val="000000"/>
          <w:u w:color="000000"/>
          <w:bdr w:val="nil"/>
          <w:lang w:val="es-ES_tradnl" w:eastAsia="es-CL"/>
        </w:rPr>
        <w:tab/>
        <w:t>- Aspectos jurídicos.</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Unicode MS" w:cs="Arial Unicode MS"/>
          <w:b w:val="0"/>
          <w:color w:val="000000"/>
          <w:u w:color="000000"/>
          <w:bdr w:val="nil"/>
          <w:lang w:val="es-ES_tradnl" w:eastAsia="es-CL"/>
        </w:rPr>
      </w:pPr>
      <w:r>
        <w:rPr>
          <w:rFonts w:eastAsia="Arial Unicode MS" w:cs="Arial Unicode MS"/>
          <w:b w:val="0"/>
          <w:color w:val="000000"/>
          <w:u w:color="000000"/>
          <w:bdr w:val="nil"/>
          <w:lang w:val="es-ES_tradnl" w:eastAsia="es-CL"/>
        </w:rPr>
        <w:tab/>
        <w:t>- Formularios.</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 Otros.</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Cs/>
          <w:color w:val="000000"/>
          <w:u w:color="000000"/>
          <w:bdr w:val="nil"/>
          <w:lang w:val="es-ES_tradnl" w:eastAsia="es-CL"/>
        </w:rPr>
      </w:pPr>
      <w:r>
        <w:rPr>
          <w:rFonts w:eastAsia="Arial"/>
          <w:bCs/>
          <w:color w:val="000000"/>
          <w:u w:color="000000"/>
          <w:bdr w:val="nil"/>
          <w:lang w:val="es-ES_tradnl" w:eastAsia="es-CL"/>
        </w:rPr>
        <w:tab/>
        <w:t xml:space="preserve">II. Metas estratégicas 2017 </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w:b w:val="0"/>
          <w:color w:val="000000"/>
          <w:u w:color="000000"/>
          <w:bdr w:val="nil"/>
          <w:lang w:val="es-ES_tradnl" w:eastAsia="es-CL"/>
        </w:rPr>
        <w:tab/>
        <w:t>Posteriormente, se refirió a las metas estratégicas del Servicio para el año 2017, efectuando un listado descriptivo al respecto.</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Cs/>
          <w:color w:val="000000"/>
          <w:u w:color="000000"/>
          <w:bdr w:val="nil"/>
          <w:lang w:val="es-ES_tradnl" w:eastAsia="es-CL"/>
        </w:rPr>
        <w:tab/>
        <w:t>- Continuar con la Implementación de la Ley de Fortalecimiento del SII</w:t>
      </w:r>
      <w:r>
        <w:rPr>
          <w:rFonts w:eastAsia="Arial Unicode MS" w:cs="Arial Unicode MS"/>
          <w:b w:val="0"/>
          <w:bCs/>
          <w:color w:val="000000"/>
          <w:u w:color="000000"/>
          <w:bdr w:val="nil"/>
          <w:lang w:val="es-ES_tradnl" w:eastAsia="es-CL"/>
        </w:rPr>
        <w:t>: e</w:t>
      </w:r>
      <w:r>
        <w:rPr>
          <w:rFonts w:eastAsia="Arial Unicode MS" w:cs="Arial Unicode MS"/>
          <w:b w:val="0"/>
          <w:color w:val="000000"/>
          <w:u w:color="000000"/>
          <w:bdr w:val="nil"/>
          <w:lang w:val="es-ES_tradnl" w:eastAsia="es-CL"/>
        </w:rPr>
        <w:t>ntrega de nuevas y mejores herramientas para adaptarse a los cambios impositivos y el aumento de la capacidad fiscalizadora del organismo.</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Unicode MS" w:cs="Arial Unicode MS"/>
          <w:b w:val="0"/>
          <w:color w:val="000000"/>
          <w:u w:color="000000"/>
          <w:bdr w:val="nil"/>
          <w:lang w:val="es-ES_tradnl" w:eastAsia="es-CL"/>
        </w:rPr>
      </w:pPr>
      <w:r>
        <w:rPr>
          <w:rFonts w:eastAsia="Arial Unicode MS" w:cs="Arial Unicode MS"/>
          <w:b w:val="0"/>
          <w:color w:val="000000"/>
          <w:u w:color="000000"/>
          <w:bdr w:val="nil"/>
          <w:lang w:val="es-ES_tradnl" w:eastAsia="es-CL"/>
        </w:rPr>
        <w:tab/>
        <w:t>Se considera, además, el desarrollo de la carrera funcionaria, un mejoramiento de la organización funcional del Servicio, la reestructuración de las remuneraciones y el aumento de la dotación.</w:t>
      </w:r>
    </w:p>
    <w:p>
      <w:pPr>
        <w:pBdr>
          <w:top w:val="nil"/>
          <w:left w:val="nil"/>
          <w:bottom w:val="nil"/>
          <w:right w:val="nil"/>
          <w:between w:val="nil"/>
          <w:bar w:val="nil"/>
        </w:pBdr>
        <w:rPr>
          <w:rFonts w:eastAsia="Arial Unicode MS" w:cs="Arial Unicode MS"/>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Posteriormente, graficó las distintas etapas contempladas para la implementación de la Ley de Fortalecimiento del Servicio de Impuestos Internos, a través de la siguiente lámina.</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jc w:val="center"/>
        <w:rPr>
          <w:rFonts w:eastAsia="Arial"/>
          <w:bCs/>
          <w:color w:val="000000"/>
          <w:u w:color="000000"/>
          <w:bdr w:val="nil"/>
          <w:lang w:val="es-ES_tradnl" w:eastAsia="es-CL"/>
        </w:rPr>
      </w:pPr>
      <w:r>
        <w:rPr>
          <w:rFonts w:eastAsia="Arial"/>
          <w:bCs/>
          <w:color w:val="000000"/>
          <w:u w:color="000000"/>
          <w:bdr w:val="nil"/>
          <w:lang w:val="es-ES_tradnl" w:eastAsia="es-CL"/>
        </w:rPr>
        <w:t>Implementación de la Ley de Fortalecimiento del SII</w:t>
      </w:r>
    </w:p>
    <w:p>
      <w:pPr>
        <w:pBdr>
          <w:top w:val="nil"/>
          <w:left w:val="nil"/>
          <w:bottom w:val="nil"/>
          <w:right w:val="nil"/>
          <w:between w:val="nil"/>
          <w:bar w:val="nil"/>
        </w:pBdr>
        <w:rPr>
          <w:rFonts w:eastAsia="Arial Unicode MS" w:cs="Arial Unicode MS"/>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w:b w:val="0"/>
          <w:noProof/>
          <w:color w:val="000000"/>
          <w:u w:color="000000"/>
          <w:bdr w:val="nil"/>
          <w:lang w:eastAsia="es-CL"/>
        </w:rPr>
        <w:pict>
          <v:shape id="_x0000_i1032" type="#_x0000_t75" style="width:447.9pt;height:296.45pt;visibility:visible">
            <v:imagedata r:id="rId15" o:title=""/>
          </v:shape>
        </w:pic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Cs/>
          <w:color w:val="000000"/>
          <w:u w:color="000000"/>
          <w:bdr w:val="nil"/>
          <w:lang w:val="es-ES_tradnl" w:eastAsia="es-CL"/>
        </w:rPr>
        <w:tab/>
        <w:t>- Continuar con la Implementación de la Reforma Tributaria</w:t>
      </w:r>
      <w:r>
        <w:rPr>
          <w:rFonts w:eastAsia="Arial Unicode MS" w:cs="Arial Unicode MS"/>
          <w:b w:val="0"/>
          <w:bCs/>
          <w:color w:val="000000"/>
          <w:u w:color="000000"/>
          <w:bdr w:val="nil"/>
          <w:lang w:val="es-ES_tradnl" w:eastAsia="es-CL"/>
        </w:rPr>
        <w:t xml:space="preserve">: </w:t>
      </w:r>
      <w:r>
        <w:rPr>
          <w:rFonts w:eastAsia="Arial Unicode MS" w:cs="Arial Unicode MS"/>
          <w:b w:val="0"/>
          <w:color w:val="000000"/>
          <w:u w:color="000000"/>
          <w:bdr w:val="nil"/>
          <w:lang w:val="es-ES_tradnl" w:eastAsia="es-CL"/>
        </w:rPr>
        <w:t>para lo cual se consideran iniciativas tales como la adecuación a cambios legales, implementación y ajuste de sistemas, incremento de dotación, capacitación a funcionarios y la adecuación de la infraestructura correspondiente.</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w:b w:val="0"/>
          <w:color w:val="000000"/>
          <w:u w:color="000000"/>
          <w:bdr w:val="nil"/>
          <w:lang w:val="es-ES_tradnl" w:eastAsia="es-CL"/>
        </w:rPr>
        <w:tab/>
        <w:t xml:space="preserve">Al respecto, resaltó </w:t>
      </w:r>
      <w:r>
        <w:rPr>
          <w:rFonts w:eastAsia="Arial Unicode MS" w:cs="Arial Unicode MS"/>
          <w:b w:val="0"/>
          <w:color w:val="000000"/>
          <w:u w:color="000000"/>
          <w:bdr w:val="nil"/>
          <w:lang w:val="es-ES_tradnl" w:eastAsia="es-CL"/>
        </w:rPr>
        <w:t xml:space="preserve">el ingreso de </w:t>
      </w:r>
      <w:r>
        <w:rPr>
          <w:rFonts w:eastAsia="Arial Unicode MS" w:cs="Arial Unicode MS"/>
          <w:bCs/>
          <w:color w:val="000000"/>
          <w:u w:color="000000"/>
          <w:bdr w:val="nil"/>
          <w:lang w:val="es-ES_tradnl" w:eastAsia="es-CL"/>
        </w:rPr>
        <w:t>740 nuevos funcionarios</w:t>
      </w:r>
      <w:r>
        <w:rPr>
          <w:rFonts w:eastAsia="Arial Unicode MS" w:cs="Arial Unicode MS"/>
          <w:b w:val="0"/>
          <w:color w:val="000000"/>
          <w:u w:color="000000"/>
          <w:bdr w:val="nil"/>
          <w:lang w:val="es-ES_tradnl" w:eastAsia="es-CL"/>
        </w:rPr>
        <w:t xml:space="preserve"> para enfrentar los desafíos de este proceso.</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Cs/>
          <w:color w:val="000000"/>
          <w:u w:color="000000"/>
          <w:bdr w:val="nil"/>
          <w:lang w:val="es-ES_tradnl" w:eastAsia="es-CL"/>
        </w:rPr>
        <w:tab/>
        <w:t>- Fiscalización y Cumplimiento Tributario</w:t>
      </w:r>
      <w:r>
        <w:rPr>
          <w:rFonts w:eastAsia="Arial Unicode MS" w:cs="Arial Unicode MS"/>
          <w:b w:val="0"/>
          <w:bCs/>
          <w:color w:val="000000"/>
          <w:u w:color="000000"/>
          <w:bdr w:val="nil"/>
          <w:lang w:val="es-ES_tradnl" w:eastAsia="es-CL"/>
        </w:rPr>
        <w:t>: c</w:t>
      </w:r>
      <w:r>
        <w:rPr>
          <w:rFonts w:eastAsia="Arial Unicode MS" w:cs="Arial Unicode MS"/>
          <w:b w:val="0"/>
          <w:color w:val="000000"/>
          <w:u w:color="000000"/>
          <w:bdr w:val="nil"/>
          <w:lang w:val="es-ES_tradnl" w:eastAsia="es-CL"/>
        </w:rPr>
        <w:t>ontinuar el desarrollo de procesos y estrategias para monitorear y fiscalizar el cumplimiento tributario, tanto de manera preventiva como también correctiva, cuando el cumplimiento no ocurre.</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Unicode MS" w:cs="Arial Unicode MS"/>
          <w:b w:val="0"/>
          <w:color w:val="000000"/>
          <w:u w:color="000000"/>
          <w:bdr w:val="nil"/>
          <w:lang w:val="es-ES_tradnl" w:eastAsia="es-CL"/>
        </w:rPr>
      </w:pPr>
      <w:r>
        <w:rPr>
          <w:rFonts w:eastAsia="Arial Unicode MS" w:cs="Arial Unicode MS"/>
          <w:bCs/>
          <w:color w:val="000000"/>
          <w:u w:color="000000"/>
          <w:bdr w:val="nil"/>
          <w:lang w:val="es-ES_tradnl" w:eastAsia="es-CL"/>
        </w:rPr>
        <w:tab/>
        <w:t>- Facilitación y Asistencia a los Contribuyentes</w:t>
      </w:r>
      <w:r>
        <w:rPr>
          <w:rFonts w:eastAsia="Arial Unicode MS" w:cs="Arial Unicode MS"/>
          <w:b w:val="0"/>
          <w:bCs/>
          <w:color w:val="000000"/>
          <w:u w:color="000000"/>
          <w:bdr w:val="nil"/>
          <w:lang w:val="es-ES_tradnl" w:eastAsia="es-CL"/>
        </w:rPr>
        <w:t>: p</w:t>
      </w:r>
      <w:r>
        <w:rPr>
          <w:rFonts w:eastAsia="Arial Unicode MS" w:cs="Arial Unicode MS"/>
          <w:b w:val="0"/>
          <w:color w:val="000000"/>
          <w:u w:color="000000"/>
          <w:bdr w:val="nil"/>
          <w:lang w:val="es-ES_tradnl" w:eastAsia="es-CL"/>
        </w:rPr>
        <w:t>otenciar la facilitación del cumplimiento de las obligaciones tributarias de los contribuyentes, fortaleciendo la oficina virtual y la simplificación de trámites.</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 xml:space="preserve">- </w:t>
      </w:r>
      <w:r>
        <w:rPr>
          <w:rFonts w:eastAsia="Arial Unicode MS" w:cs="Arial Unicode MS"/>
          <w:color w:val="000000"/>
          <w:u w:color="000000"/>
          <w:bdr w:val="nil"/>
          <w:lang w:val="es-ES_tradnl" w:eastAsia="es-CL"/>
        </w:rPr>
        <w:t xml:space="preserve">Modernización de las </w:t>
      </w:r>
      <w:r>
        <w:rPr>
          <w:rFonts w:eastAsia="Arial Unicode MS" w:cs="Arial Unicode MS"/>
          <w:bCs/>
          <w:color w:val="000000"/>
          <w:u w:color="000000"/>
          <w:bdr w:val="nil"/>
          <w:lang w:val="es-ES_tradnl" w:eastAsia="es-CL"/>
        </w:rPr>
        <w:t>plantas y estructura</w:t>
      </w:r>
      <w:r>
        <w:rPr>
          <w:rFonts w:eastAsia="Arial Unicode MS" w:cs="Arial Unicode MS"/>
          <w:color w:val="000000"/>
          <w:u w:color="000000"/>
          <w:bdr w:val="nil"/>
          <w:lang w:val="es-ES_tradnl" w:eastAsia="es-CL"/>
        </w:rPr>
        <w:t xml:space="preserve"> de la dotación</w:t>
      </w:r>
      <w:r>
        <w:rPr>
          <w:rFonts w:eastAsia="Arial Unicode MS" w:cs="Arial Unicode MS"/>
          <w:b w:val="0"/>
          <w:color w:val="000000"/>
          <w:u w:color="000000"/>
          <w:bdr w:val="nil"/>
          <w:lang w:val="es-ES_tradnl" w:eastAsia="es-CL"/>
        </w:rPr>
        <w:t>: determinación de nuevos requisitos de ingreso a la planta del SII, modernización de las exigencias para ingresar a contrata e Incremento y estructuración de cada una de las plantas.</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Cs/>
          <w:color w:val="000000"/>
          <w:u w:color="000000"/>
          <w:bdr w:val="nil"/>
          <w:lang w:val="es-ES_tradnl" w:eastAsia="es-CL"/>
        </w:rPr>
        <w:tab/>
        <w:t>- Reglamentación Interna del desarrollo de carrera funcionaria</w:t>
      </w:r>
      <w:r>
        <w:rPr>
          <w:rFonts w:eastAsia="Arial Unicode MS" w:cs="Arial Unicode MS"/>
          <w:b w:val="0"/>
          <w:bCs/>
          <w:color w:val="000000"/>
          <w:u w:color="000000"/>
          <w:bdr w:val="nil"/>
          <w:lang w:val="es-ES_tradnl" w:eastAsia="es-CL"/>
        </w:rPr>
        <w:t>: disposición de r</w:t>
      </w:r>
      <w:r>
        <w:rPr>
          <w:rFonts w:eastAsia="Arial Unicode MS" w:cs="Arial Unicode MS"/>
          <w:b w:val="0"/>
          <w:color w:val="000000"/>
          <w:u w:color="000000"/>
          <w:bdr w:val="nil"/>
          <w:lang w:val="es-ES_tradnl" w:eastAsia="es-CL"/>
        </w:rPr>
        <w:t>eglamentos internos que promuevan una estructura de desarrollo de carrera basadas en el mérito y la igualdad de oportunidades.</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Cs/>
          <w:color w:val="000000"/>
          <w:u w:color="000000"/>
          <w:bdr w:val="nil"/>
          <w:lang w:val="es-ES_tradnl" w:eastAsia="es-CL"/>
        </w:rPr>
        <w:tab/>
        <w:t xml:space="preserve">- Nuevos cargos en escalafón directivo y reglamentación del cuarto nivel </w:t>
      </w:r>
      <w:r>
        <w:rPr>
          <w:rFonts w:eastAsia="Arial Unicode MS" w:cs="Arial Unicode MS"/>
          <w:color w:val="000000"/>
          <w:u w:color="000000"/>
          <w:bdr w:val="nil"/>
          <w:lang w:val="es-ES_tradnl" w:eastAsia="es-CL"/>
        </w:rPr>
        <w:t>jerárquico</w:t>
      </w:r>
      <w:r>
        <w:rPr>
          <w:rFonts w:eastAsia="Arial Unicode MS" w:cs="Arial Unicode MS"/>
          <w:b w:val="0"/>
          <w:color w:val="000000"/>
          <w:u w:color="000000"/>
          <w:bdr w:val="nil"/>
          <w:lang w:val="es-ES_tradnl" w:eastAsia="es-CL"/>
        </w:rPr>
        <w:t>: formalización de Jefaturas de Unidad del SII en el escalafón directivo, desplegando la pertinente reglamentación interna para la formalización de jefaturas de grupo y área (4to nivel).</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Unicode MS" w:cs="Arial Unicode MS"/>
          <w:b w:val="0"/>
          <w:color w:val="000000"/>
          <w:u w:color="000000"/>
          <w:bdr w:val="nil"/>
          <w:lang w:val="es-ES_tradnl" w:eastAsia="es-CL"/>
        </w:rPr>
      </w:pPr>
      <w:r>
        <w:rPr>
          <w:rFonts w:eastAsia="Arial Unicode MS" w:cs="Arial Unicode MS"/>
          <w:bCs/>
          <w:color w:val="000000"/>
          <w:u w:color="000000"/>
          <w:bdr w:val="nil"/>
          <w:lang w:val="es-ES_tradnl" w:eastAsia="es-CL"/>
        </w:rPr>
        <w:tab/>
        <w:t>- Aspectos vinculados a remuneraciones</w:t>
      </w:r>
      <w:r>
        <w:rPr>
          <w:rFonts w:eastAsia="Arial Unicode MS" w:cs="Arial Unicode MS"/>
          <w:b w:val="0"/>
          <w:bCs/>
          <w:color w:val="000000"/>
          <w:u w:color="000000"/>
          <w:bdr w:val="nil"/>
          <w:lang w:val="es-ES_tradnl" w:eastAsia="es-CL"/>
        </w:rPr>
        <w:t>: d</w:t>
      </w:r>
      <w:r>
        <w:rPr>
          <w:rFonts w:eastAsia="Arial Unicode MS" w:cs="Arial Unicode MS"/>
          <w:b w:val="0"/>
          <w:color w:val="000000"/>
          <w:u w:color="000000"/>
          <w:bdr w:val="nil"/>
          <w:lang w:val="es-ES_tradnl" w:eastAsia="es-CL"/>
        </w:rPr>
        <w:t>isminución de la variabilidad mensual de las remuneraciones, otorgamiento de bono por experiencia calificada a funcionarios auxiliares, administrativos y técnicos con más de 10 años en el grado tope.</w:t>
      </w:r>
    </w:p>
    <w:p>
      <w:pPr>
        <w:pBdr>
          <w:top w:val="nil"/>
          <w:left w:val="nil"/>
          <w:bottom w:val="nil"/>
          <w:right w:val="nil"/>
          <w:between w:val="nil"/>
          <w:bar w:val="nil"/>
        </w:pBdr>
        <w:rPr>
          <w:rFonts w:eastAsia="Arial Unicode MS" w:cs="Arial Unicode MS"/>
          <w:b w:val="0"/>
          <w:color w:val="000000"/>
          <w:u w:color="000000"/>
          <w:bdr w:val="nil"/>
          <w:lang w:val="es-ES_tradnl" w:eastAsia="es-CL"/>
        </w:rPr>
      </w:pPr>
    </w:p>
    <w:p>
      <w:pPr>
        <w:pBdr>
          <w:top w:val="nil"/>
          <w:left w:val="nil"/>
          <w:bottom w:val="nil"/>
          <w:right w:val="nil"/>
          <w:between w:val="nil"/>
          <w:bar w:val="nil"/>
        </w:pBdr>
        <w:rPr>
          <w:rFonts w:eastAsia="Arial Unicode MS" w:cs="Arial Unicode MS"/>
          <w:color w:val="000000"/>
          <w:u w:color="000000"/>
          <w:bdr w:val="nil"/>
          <w:lang w:val="es-ES_tradnl" w:eastAsia="es-CL"/>
        </w:rPr>
      </w:pPr>
      <w:r>
        <w:rPr>
          <w:rFonts w:eastAsia="Arial Unicode MS" w:cs="Arial Unicode MS"/>
          <w:b w:val="0"/>
          <w:color w:val="000000"/>
          <w:u w:color="000000"/>
          <w:bdr w:val="nil"/>
          <w:lang w:val="es-ES_tradnl" w:eastAsia="es-CL"/>
        </w:rPr>
        <w:tab/>
      </w:r>
      <w:r>
        <w:rPr>
          <w:rFonts w:eastAsia="Arial Unicode MS" w:cs="Arial Unicode MS"/>
          <w:color w:val="000000"/>
          <w:u w:color="000000"/>
          <w:bdr w:val="nil"/>
          <w:lang w:val="es-ES_tradnl" w:eastAsia="es-CL"/>
        </w:rPr>
        <w:t>III. Cifras y aspectos relacionados con la Reforma Tributaria</w:t>
      </w:r>
    </w:p>
    <w:p>
      <w:pPr>
        <w:pBdr>
          <w:top w:val="nil"/>
          <w:left w:val="nil"/>
          <w:bottom w:val="nil"/>
          <w:right w:val="nil"/>
          <w:between w:val="nil"/>
          <w:bar w:val="nil"/>
        </w:pBdr>
        <w:rPr>
          <w:rFonts w:eastAsia="Arial Unicode MS" w:cs="Arial Unicode MS"/>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En este acápite, se refirió, primeramente, a las estadísticas de programas de inducción y de capacitación de la Reforma Tributaria efectuados por el Servicio</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jc w:val="center"/>
        <w:rPr>
          <w:rFonts w:eastAsia="Arial Unicode MS" w:cs="Arial Unicode MS"/>
          <w:bCs/>
          <w:color w:val="000000"/>
          <w:u w:color="000000"/>
          <w:bdr w:val="nil"/>
          <w:lang w:val="es-ES_tradnl" w:eastAsia="es-CL"/>
        </w:rPr>
      </w:pPr>
      <w:r>
        <w:rPr>
          <w:rFonts w:eastAsia="Arial Unicode MS" w:cs="Arial Unicode MS"/>
          <w:bCs/>
          <w:color w:val="000000"/>
          <w:u w:color="000000"/>
          <w:bdr w:val="nil"/>
          <w:lang w:val="es-ES_tradnl" w:eastAsia="es-CL"/>
        </w:rPr>
        <w:t>PROGRAMAS DE INDUCCIÓN REALIZADOS ENERO A SEPTIEMBRE 2016</w:t>
      </w:r>
    </w:p>
    <w:p>
      <w:pPr>
        <w:pBdr>
          <w:top w:val="nil"/>
          <w:left w:val="nil"/>
          <w:bottom w:val="nil"/>
          <w:right w:val="nil"/>
          <w:between w:val="nil"/>
          <w:bar w:val="nil"/>
        </w:pBdr>
        <w:jc w:val="center"/>
        <w:rPr>
          <w:rFonts w:eastAsia="Arial"/>
          <w:b w:val="0"/>
          <w:color w:val="000000"/>
          <w:u w:color="000000"/>
          <w:bdr w:val="nil"/>
          <w:lang w:val="es-ES_tradnl" w:eastAsia="es-CL"/>
        </w:rPr>
      </w:pPr>
    </w:p>
    <w:p>
      <w:pPr>
        <w:pBdr>
          <w:top w:val="nil"/>
          <w:left w:val="nil"/>
          <w:bottom w:val="nil"/>
          <w:right w:val="nil"/>
          <w:between w:val="nil"/>
          <w:bar w:val="nil"/>
        </w:pBdr>
        <w:jc w:val="center"/>
        <w:rPr>
          <w:rFonts w:eastAsia="Arial"/>
          <w:b w:val="0"/>
          <w:color w:val="000000"/>
          <w:u w:color="000000"/>
          <w:bdr w:val="nil"/>
          <w:lang w:val="es-ES_tradnl" w:eastAsia="es-CL"/>
        </w:rPr>
      </w:pPr>
      <w:r>
        <w:rPr>
          <w:rFonts w:eastAsia="Arial"/>
          <w:b w:val="0"/>
          <w:noProof/>
          <w:color w:val="000000"/>
          <w:u w:color="000000"/>
          <w:bdr w:val="nil"/>
          <w:lang w:eastAsia="es-CL"/>
        </w:rPr>
        <w:pict>
          <v:shape id="_x0000_i1033" type="#_x0000_t75" style="width:413.65pt;height:117.7pt;visibility:visible">
            <v:imagedata r:id="rId16" o:title=""/>
          </v:shape>
        </w:pic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jc w:val="center"/>
        <w:rPr>
          <w:rFonts w:eastAsia="Arial"/>
          <w:b w:val="0"/>
          <w:color w:val="000000"/>
          <w:u w:color="000000"/>
          <w:bdr w:val="nil"/>
          <w:lang w:val="es-ES_tradnl" w:eastAsia="es-CL"/>
        </w:rPr>
      </w:pPr>
      <w:r>
        <w:rPr>
          <w:rFonts w:eastAsia="Arial Unicode MS" w:cs="Arial Unicode MS"/>
          <w:bCs/>
          <w:color w:val="000000"/>
          <w:u w:color="000000"/>
          <w:bdr w:val="nil"/>
          <w:lang w:val="es-ES_tradnl" w:eastAsia="es-CL"/>
        </w:rPr>
        <w:t>TOTAL CAPACITACIÓN REFORMA TRIBUTARIA ENERO A SEPTIEMBRE 2016</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jc w:val="center"/>
        <w:rPr>
          <w:rFonts w:eastAsia="Arial"/>
          <w:b w:val="0"/>
          <w:color w:val="000000"/>
          <w:u w:color="000000"/>
          <w:bdr w:val="nil"/>
          <w:lang w:val="es-ES_tradnl" w:eastAsia="es-CL"/>
        </w:rPr>
      </w:pPr>
      <w:r>
        <w:rPr>
          <w:rFonts w:eastAsia="Arial"/>
          <w:b w:val="0"/>
          <w:noProof/>
          <w:color w:val="000000"/>
          <w:u w:color="000000"/>
          <w:bdr w:val="nil"/>
          <w:lang w:eastAsia="es-CL"/>
        </w:rPr>
        <w:pict>
          <v:shape id="_x0000_i1034" type="#_x0000_t75" style="width:413.65pt;height:81.45pt;visibility:visible">
            <v:imagedata r:id="rId17" o:title=""/>
          </v:shape>
        </w:pic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w:b w:val="0"/>
          <w:color w:val="000000"/>
          <w:u w:color="000000"/>
          <w:bdr w:val="nil"/>
          <w:lang w:val="es-ES_tradnl" w:eastAsia="es-CL"/>
        </w:rPr>
        <w:tab/>
        <w:t>Posteriormente, describió las acciones adoptadas durante el año en curso en lo concerniente a la implementación de la Reforma Tributaria.</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Unicode MS" w:cs="Arial Unicode MS"/>
          <w:b w:val="0"/>
          <w:color w:val="000000"/>
          <w:u w:color="000000"/>
          <w:bdr w:val="nil"/>
          <w:lang w:val="es-ES_tradnl" w:eastAsia="es-CL"/>
        </w:rPr>
      </w:pPr>
      <w:r>
        <w:rPr>
          <w:rFonts w:eastAsia="Arial Unicode MS" w:cs="Arial Unicode MS"/>
          <w:bCs/>
          <w:color w:val="000000"/>
          <w:u w:color="000000"/>
          <w:bdr w:val="nil"/>
          <w:lang w:val="es-ES_tradnl" w:eastAsia="es-CL"/>
        </w:rPr>
        <w:tab/>
      </w:r>
      <w:r>
        <w:rPr>
          <w:rFonts w:eastAsia="Arial Unicode MS" w:cs="Arial Unicode MS"/>
          <w:b w:val="0"/>
          <w:bCs/>
          <w:color w:val="000000"/>
          <w:u w:color="000000"/>
          <w:bdr w:val="nil"/>
          <w:lang w:val="es-ES_tradnl" w:eastAsia="es-CL"/>
        </w:rPr>
        <w:t>Así, señaló que ello</w:t>
      </w:r>
      <w:r>
        <w:rPr>
          <w:rFonts w:eastAsia="Arial Unicode MS" w:cs="Arial Unicode MS"/>
          <w:bCs/>
          <w:color w:val="000000"/>
          <w:u w:color="000000"/>
          <w:bdr w:val="nil"/>
          <w:lang w:val="es-ES_tradnl" w:eastAsia="es-CL"/>
        </w:rPr>
        <w:t xml:space="preserve"> </w:t>
      </w:r>
      <w:r>
        <w:rPr>
          <w:rFonts w:eastAsia="Arial Unicode MS" w:cs="Arial Unicode MS"/>
          <w:b w:val="0"/>
          <w:color w:val="000000"/>
          <w:u w:color="000000"/>
          <w:bdr w:val="nil"/>
          <w:lang w:val="es-ES_tradnl" w:eastAsia="es-CL"/>
        </w:rPr>
        <w:t>ha implicado un trabajo coordinado e intensivo para la implementación de las disposiciones legales y sus implicancias, lo que involucró desarrollos en diversos ámbitos: tecnológico, normativo, capacitación, contratación de personas, procesos, e infraestructura. De ese modo, indicó que los avances efectuados durante el presente año han sido los siguientes:</w:t>
      </w:r>
    </w:p>
    <w:p>
      <w:pPr>
        <w:pBdr>
          <w:top w:val="nil"/>
          <w:left w:val="nil"/>
          <w:bottom w:val="nil"/>
          <w:right w:val="nil"/>
          <w:between w:val="nil"/>
          <w:bar w:val="nil"/>
        </w:pBdr>
        <w:rPr>
          <w:rFonts w:eastAsia="Arial Unicode MS" w:cs="Arial Unicode MS"/>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Cs/>
          <w:color w:val="000000"/>
          <w:u w:color="000000"/>
          <w:bdr w:val="nil"/>
          <w:lang w:val="es-ES_tradnl" w:eastAsia="es-CL"/>
        </w:rPr>
        <w:tab/>
        <w:t>- Plan integral de Fiscalización para el 2016</w:t>
      </w:r>
      <w:r>
        <w:rPr>
          <w:rFonts w:eastAsia="Arial Unicode MS" w:cs="Arial Unicode MS"/>
          <w:b w:val="0"/>
          <w:bCs/>
          <w:color w:val="000000"/>
          <w:u w:color="000000"/>
          <w:bdr w:val="nil"/>
          <w:lang w:val="es-ES_tradnl" w:eastAsia="es-CL"/>
        </w:rPr>
        <w:t>: s</w:t>
      </w:r>
      <w:r>
        <w:rPr>
          <w:rFonts w:eastAsia="Arial Unicode MS" w:cs="Arial Unicode MS"/>
          <w:b w:val="0"/>
          <w:color w:val="000000"/>
          <w:u w:color="000000"/>
          <w:bdr w:val="nil"/>
          <w:lang w:val="es-ES_tradnl" w:eastAsia="es-CL"/>
        </w:rPr>
        <w:t xml:space="preserve">e publicó el Plan de Gestión de Cumplimiento Tributario para 2016, que persigue reducir la evasión y elusión de impuestos, y está alineado con los cambios introducidos por la Reforma Tributaria. </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Cs/>
          <w:color w:val="000000"/>
          <w:u w:color="000000"/>
          <w:bdr w:val="nil"/>
          <w:lang w:val="es-ES_tradnl" w:eastAsia="es-CL"/>
        </w:rPr>
        <w:tab/>
        <w:t>- Publicación de todas las circulares vinculadas con la Reforma Tributaria y Ley de simplificación</w:t>
      </w:r>
      <w:r>
        <w:rPr>
          <w:rFonts w:eastAsia="Arial Unicode MS" w:cs="Arial Unicode MS"/>
          <w:b w:val="0"/>
          <w:bCs/>
          <w:color w:val="000000"/>
          <w:u w:color="000000"/>
          <w:bdr w:val="nil"/>
          <w:lang w:val="es-ES_tradnl" w:eastAsia="es-CL"/>
        </w:rPr>
        <w:t>: e</w:t>
      </w:r>
      <w:r>
        <w:rPr>
          <w:rFonts w:eastAsia="Arial Unicode MS" w:cs="Arial Unicode MS"/>
          <w:b w:val="0"/>
          <w:color w:val="000000"/>
          <w:u w:color="000000"/>
          <w:bdr w:val="nil"/>
          <w:lang w:val="es-ES_tradnl" w:eastAsia="es-CL"/>
        </w:rPr>
        <w:t>l proceso consideró la emisión en cinco meses de 20 circulares. Las circulares contienen instrucciones, explicaciones y ejemplos prácticos para facilitar la implementación adecuada de la nueva legislación y su correcta aplicación y asimilación por parte de los contribuyentes.</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Cs/>
          <w:color w:val="000000"/>
          <w:u w:color="000000"/>
          <w:bdr w:val="nil"/>
          <w:lang w:val="es-ES_tradnl" w:eastAsia="es-CL"/>
        </w:rPr>
        <w:tab/>
        <w:t>- Declaraciones voluntarias de capitales en el exterior</w:t>
      </w:r>
      <w:r>
        <w:rPr>
          <w:rFonts w:eastAsia="Arial Unicode MS" w:cs="Arial Unicode MS"/>
          <w:b w:val="0"/>
          <w:bCs/>
          <w:color w:val="000000"/>
          <w:u w:color="000000"/>
          <w:bdr w:val="nil"/>
          <w:lang w:val="es-ES_tradnl" w:eastAsia="es-CL"/>
        </w:rPr>
        <w:t>: u</w:t>
      </w:r>
      <w:r>
        <w:rPr>
          <w:rFonts w:eastAsia="Arial Unicode MS" w:cs="Arial Unicode MS"/>
          <w:b w:val="0"/>
          <w:color w:val="000000"/>
          <w:u w:color="000000"/>
          <w:bdr w:val="nil"/>
          <w:lang w:val="es-ES_tradnl" w:eastAsia="es-CL"/>
        </w:rPr>
        <w:t>n total de 7.832 declaraciones recibió el Servicio de Impuestos Internos, lo que significó la determinación e ingresos de tributos en arcas fiscales de US$1.502 millones.</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bCs/>
          <w:color w:val="000000"/>
          <w:u w:color="000000"/>
          <w:bdr w:val="nil"/>
          <w:lang w:val="es-ES_tradnl" w:eastAsia="es-CL"/>
        </w:rPr>
        <w:tab/>
      </w:r>
      <w:r>
        <w:rPr>
          <w:rFonts w:eastAsia="Arial Unicode MS" w:cs="Arial Unicode MS"/>
          <w:bCs/>
          <w:color w:val="000000"/>
          <w:u w:color="000000"/>
          <w:bdr w:val="nil"/>
          <w:lang w:val="es-ES_tradnl" w:eastAsia="es-CL"/>
        </w:rPr>
        <w:t>- Consulta pública de normas</w:t>
      </w:r>
      <w:r>
        <w:rPr>
          <w:rFonts w:eastAsia="Arial Unicode MS" w:cs="Arial Unicode MS"/>
          <w:b w:val="0"/>
          <w:bCs/>
          <w:color w:val="000000"/>
          <w:u w:color="000000"/>
          <w:bdr w:val="nil"/>
          <w:lang w:val="es-ES_tradnl" w:eastAsia="es-CL"/>
        </w:rPr>
        <w:t>: s</w:t>
      </w:r>
      <w:r>
        <w:rPr>
          <w:rFonts w:eastAsia="Arial Unicode MS" w:cs="Arial Unicode MS"/>
          <w:b w:val="0"/>
          <w:color w:val="000000"/>
          <w:u w:color="000000"/>
          <w:bdr w:val="nil"/>
          <w:lang w:val="es-ES_tradnl" w:eastAsia="es-CL"/>
        </w:rPr>
        <w:t>e habilitó un sitio donde se deja a disposición de los contribuyentes aquellas normas que el SII está elaborando, previo a su publicación oficial, con el objetivo de que los interesados puedan emitir su opinión sobre su contenido y efectos, o formular propuestas sobre los mismos.</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Cs/>
          <w:color w:val="000000"/>
          <w:u w:color="000000"/>
          <w:bdr w:val="nil"/>
          <w:lang w:val="es-ES_tradnl" w:eastAsia="es-CL"/>
        </w:rPr>
        <w:tab/>
        <w:t>- Sustitución de Multas por Programa de Capacitación</w:t>
      </w:r>
      <w:r>
        <w:rPr>
          <w:rFonts w:eastAsia="Arial Unicode MS" w:cs="Arial Unicode MS"/>
          <w:b w:val="0"/>
          <w:bCs/>
          <w:color w:val="000000"/>
          <w:u w:color="000000"/>
          <w:bdr w:val="nil"/>
          <w:lang w:val="es-ES_tradnl" w:eastAsia="es-CL"/>
        </w:rPr>
        <w:t>: e</w:t>
      </w:r>
      <w:r>
        <w:rPr>
          <w:rFonts w:eastAsia="Arial Unicode MS" w:cs="Arial Unicode MS"/>
          <w:b w:val="0"/>
          <w:color w:val="000000"/>
          <w:u w:color="000000"/>
          <w:bdr w:val="nil"/>
          <w:lang w:val="es-ES_tradnl" w:eastAsia="es-CL"/>
        </w:rPr>
        <w:t>s una opción que tienen los contribuyentes acogidos al artículo 14 ter de la Ley sobre Impuesto a la Renta, que cumplan con determinados requisitos, para solicitar la sustitución de la multa respectiva por la participación en programas de capacitación.</w:t>
      </w: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 xml:space="preserve"> </w:t>
      </w: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Cs/>
          <w:color w:val="000000"/>
          <w:u w:color="000000"/>
          <w:bdr w:val="nil"/>
          <w:lang w:val="es-ES_tradnl" w:eastAsia="es-CL"/>
        </w:rPr>
        <w:tab/>
        <w:t xml:space="preserve">- Retasación de propiedades a valor de mercado en el país: </w:t>
      </w:r>
      <w:r>
        <w:rPr>
          <w:rFonts w:eastAsia="Arial Unicode MS" w:cs="Arial Unicode MS"/>
          <w:b w:val="0"/>
          <w:bCs/>
          <w:color w:val="000000"/>
          <w:u w:color="000000"/>
          <w:bdr w:val="nil"/>
          <w:lang w:val="es-ES_tradnl" w:eastAsia="es-CL"/>
        </w:rPr>
        <w:t>e</w:t>
      </w:r>
      <w:r>
        <w:rPr>
          <w:rFonts w:eastAsia="Arial Unicode MS" w:cs="Arial Unicode MS"/>
          <w:b w:val="0"/>
          <w:color w:val="000000"/>
          <w:u w:color="000000"/>
          <w:bdr w:val="nil"/>
          <w:lang w:val="es-ES_tradnl" w:eastAsia="es-CL"/>
        </w:rPr>
        <w:t>l plazo para realizar el trámite vencía originalmente el 31 de diciembre de 2015, pero fue extendido hasta el 30 de junio de este año por la ley N° 20.899, de simplificación o adecuación de la Reforma Tributaria. Totalizando ambos períodos, se recibieron 61.575 comunicaciones de Tasaciones.</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Cs/>
          <w:color w:val="000000"/>
          <w:u w:color="000000"/>
          <w:bdr w:val="nil"/>
          <w:lang w:val="es-ES_tradnl" w:eastAsia="es-CL"/>
        </w:rPr>
        <w:tab/>
        <w:t>- Operación Renta 2016 con cambios por la Reforma Tributaria y nuevas facilidades para declarar</w:t>
      </w:r>
      <w:r>
        <w:rPr>
          <w:rFonts w:eastAsia="Arial Unicode MS" w:cs="Arial Unicode MS"/>
          <w:b w:val="0"/>
          <w:bCs/>
          <w:color w:val="000000"/>
          <w:u w:color="000000"/>
          <w:bdr w:val="nil"/>
          <w:lang w:val="es-ES_tradnl" w:eastAsia="es-CL"/>
        </w:rPr>
        <w:t>: s</w:t>
      </w:r>
      <w:r>
        <w:rPr>
          <w:rFonts w:eastAsia="Arial Unicode MS" w:cs="Arial Unicode MS"/>
          <w:b w:val="0"/>
          <w:color w:val="000000"/>
          <w:u w:color="000000"/>
          <w:bdr w:val="nil"/>
          <w:lang w:val="es-ES_tradnl" w:eastAsia="es-CL"/>
        </w:rPr>
        <w:t>e habilitaron nuevas herramientas de facilitación y cambios en el formulario electrónico que buscan mejorar la utilización del mismo, para evitar errores en el proceso de declaración y los mecanismos de control, en el marco del programa integral de fiscalización que está aplicando el SII.</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Cs/>
          <w:color w:val="000000"/>
          <w:u w:color="000000"/>
          <w:bdr w:val="nil"/>
          <w:lang w:val="es-ES_tradnl" w:eastAsia="es-CL"/>
        </w:rPr>
        <w:tab/>
        <w:t>- Seminarios de Reforma Tributaria</w:t>
      </w:r>
      <w:r>
        <w:rPr>
          <w:rFonts w:eastAsia="Arial Unicode MS" w:cs="Arial Unicode MS"/>
          <w:b w:val="0"/>
          <w:bCs/>
          <w:color w:val="000000"/>
          <w:u w:color="000000"/>
          <w:bdr w:val="nil"/>
          <w:lang w:val="es-ES_tradnl" w:eastAsia="es-CL"/>
        </w:rPr>
        <w:t>: s</w:t>
      </w:r>
      <w:r>
        <w:rPr>
          <w:rFonts w:eastAsia="Arial Unicode MS" w:cs="Arial Unicode MS"/>
          <w:b w:val="0"/>
          <w:color w:val="000000"/>
          <w:u w:color="000000"/>
          <w:bdr w:val="nil"/>
          <w:lang w:val="es-ES_tradnl" w:eastAsia="es-CL"/>
        </w:rPr>
        <w:t>e han realizado 44 seminarios de Reforma Tributaria a nivel nacional para contribuyentes, explicando en profundidad cómo operan los nuevos regímenes tributarios</w:t>
      </w:r>
    </w:p>
    <w:p>
      <w:pPr>
        <w:pBdr>
          <w:top w:val="nil"/>
          <w:left w:val="nil"/>
          <w:bottom w:val="nil"/>
          <w:right w:val="nil"/>
          <w:between w:val="nil"/>
          <w:bar w:val="nil"/>
        </w:pBdr>
        <w:rPr>
          <w:rFonts w:eastAsia="Arial"/>
          <w:bCs/>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Cs/>
          <w:color w:val="000000"/>
          <w:u w:color="000000"/>
          <w:bdr w:val="nil"/>
          <w:lang w:val="es-ES_tradnl" w:eastAsia="es-CL"/>
        </w:rPr>
        <w:tab/>
        <w:t>- Calculadora para determinar pago de impuestos sobre FUT histórico y retiros en exceso</w:t>
      </w:r>
      <w:r>
        <w:rPr>
          <w:rFonts w:eastAsia="Arial Unicode MS" w:cs="Arial Unicode MS"/>
          <w:b w:val="0"/>
          <w:bCs/>
          <w:color w:val="000000"/>
          <w:u w:color="000000"/>
          <w:bdr w:val="nil"/>
          <w:lang w:val="es-ES_tradnl" w:eastAsia="es-CL"/>
        </w:rPr>
        <w:t>: e</w:t>
      </w:r>
      <w:r>
        <w:rPr>
          <w:rFonts w:eastAsia="Arial Unicode MS" w:cs="Arial Unicode MS"/>
          <w:b w:val="0"/>
          <w:color w:val="000000"/>
          <w:u w:color="000000"/>
          <w:bdr w:val="nil"/>
          <w:lang w:val="es-ES_tradnl" w:eastAsia="es-CL"/>
        </w:rPr>
        <w:t>l Servicio de Impuestos Internos habilitó en su página Web una calculadora que permite determinar el valor que se deberá pagar por estos conceptos.</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Cs/>
          <w:color w:val="000000"/>
          <w:u w:color="000000"/>
          <w:bdr w:val="nil"/>
          <w:lang w:val="es-ES_tradnl" w:eastAsia="es-CL"/>
        </w:rPr>
        <w:tab/>
        <w:t>- Textos Comparados de Cambios Introducidos por Ley N°20.899 a Normativa Tributaria</w:t>
      </w:r>
      <w:r>
        <w:rPr>
          <w:rFonts w:eastAsia="Arial Unicode MS" w:cs="Arial Unicode MS"/>
          <w:b w:val="0"/>
          <w:bCs/>
          <w:color w:val="000000"/>
          <w:u w:color="000000"/>
          <w:bdr w:val="nil"/>
          <w:lang w:val="es-ES_tradnl" w:eastAsia="es-CL"/>
        </w:rPr>
        <w:t>: t</w:t>
      </w:r>
      <w:r>
        <w:rPr>
          <w:rFonts w:eastAsia="Arial Unicode MS" w:cs="Arial Unicode MS"/>
          <w:b w:val="0"/>
          <w:color w:val="000000"/>
          <w:u w:color="000000"/>
          <w:bdr w:val="nil"/>
          <w:lang w:val="es-ES_tradnl" w:eastAsia="es-CL"/>
        </w:rPr>
        <w:t>exto con el detalle de las modificaciones que la Ley N° 20.899, que simplifica el Sistema de Tributación a la Renta y perfecciona otras disposiciones legales tributarias, introduce en la Ley de la Renta, del IVA, del Código Tributario, DL N° 828 y otras normativas.</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w:b w:val="0"/>
          <w:color w:val="000000"/>
          <w:u w:color="000000"/>
          <w:bdr w:val="nil"/>
          <w:lang w:val="es-ES_tradnl" w:eastAsia="es-CL"/>
        </w:rPr>
        <w:tab/>
        <w:t>Posteriormente, enlistó los desafíos, para el año 2017, originados por la Reforma Tributaria para el Servicio de Impuestos Internos.</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 xml:space="preserve">- </w:t>
      </w:r>
      <w:r>
        <w:rPr>
          <w:rFonts w:eastAsia="Arial Unicode MS" w:cs="Arial Unicode MS"/>
          <w:color w:val="000000"/>
          <w:u w:color="000000"/>
          <w:bdr w:val="nil"/>
          <w:lang w:val="es-ES_tradnl" w:eastAsia="es-CL"/>
        </w:rPr>
        <w:t>Impuesto a emisiones contaminantes</w:t>
      </w:r>
      <w:r>
        <w:rPr>
          <w:rFonts w:eastAsia="Arial Unicode MS" w:cs="Arial Unicode MS"/>
          <w:b w:val="0"/>
          <w:color w:val="000000"/>
          <w:u w:color="000000"/>
          <w:bdr w:val="nil"/>
          <w:lang w:val="es-ES_tradnl" w:eastAsia="es-CL"/>
        </w:rPr>
        <w:t xml:space="preserve">: se establece un impuesto anual de beneficio fiscal que grava las emisiones al aire de material particulado (MP), óxidos de nitrógeno (NOx), dióxido de azufre (SO2) y dióxido de carbono (CO2), producidas por establecimientos cuyas fuentes fijas, conformadas por calderas o turbinas, individualmente o en su conjunto sumen, una potencia térmica mayor o igual a 50 MWt (megavatios térmicos), considerando el límite superior del valor energético del combustible. </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r>
      <w:r>
        <w:rPr>
          <w:rFonts w:eastAsia="Arial Unicode MS" w:cs="Arial Unicode MS"/>
          <w:color w:val="000000"/>
          <w:u w:color="000000"/>
          <w:bdr w:val="nil"/>
          <w:lang w:val="es-ES_tradnl" w:eastAsia="es-CL"/>
        </w:rPr>
        <w:t>- Nuevo sistema de tributación a la Renta atribuido y Semi – Integrado</w:t>
      </w:r>
      <w:r>
        <w:rPr>
          <w:rFonts w:eastAsia="Arial Unicode MS" w:cs="Arial Unicode MS"/>
          <w:b w:val="0"/>
          <w:color w:val="000000"/>
          <w:u w:color="000000"/>
          <w:bdr w:val="nil"/>
          <w:lang w:val="es-ES_tradnl" w:eastAsia="es-CL"/>
        </w:rPr>
        <w:t>: se dispone de un nuevo régimen de tributación sobre las rentas empresariales, modificando una serie de normas relacionadas, como aquellas necesarias para determinar la base imponible del Impuesto Global Complementario (IGC) o Impuesto Adicional (IA), las normas de retención de IA, las normas de crédito por Impuesto de Primera Categoría (IDPC).</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r>
      <w:r>
        <w:rPr>
          <w:rFonts w:eastAsia="Arial Unicode MS" w:cs="Arial Unicode MS"/>
          <w:color w:val="000000"/>
          <w:u w:color="000000"/>
          <w:bdr w:val="nil"/>
          <w:lang w:val="es-ES_tradnl" w:eastAsia="es-CL"/>
        </w:rPr>
        <w:t>- Normas de Ganancia de Capital:</w:t>
      </w:r>
      <w:r>
        <w:rPr>
          <w:rFonts w:eastAsia="Arial Unicode MS" w:cs="Arial Unicode MS"/>
          <w:b w:val="0"/>
          <w:color w:val="000000"/>
          <w:u w:color="000000"/>
          <w:bdr w:val="nil"/>
          <w:lang w:val="es-ES_tradnl" w:eastAsia="es-CL"/>
        </w:rPr>
        <w:t xml:space="preserve"> la Reforma Tributaria eliminará tasa del 20% y gravará la ganancia de capital a la tasa promedio marginal del Impuesto Global Complementario, durante el período en que el contribuyente tuvo la propiedad de las acciones.</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r>
      <w:r>
        <w:rPr>
          <w:rFonts w:eastAsia="Arial Unicode MS" w:cs="Arial Unicode MS"/>
          <w:color w:val="000000"/>
          <w:u w:color="000000"/>
          <w:bdr w:val="nil"/>
          <w:lang w:val="es-ES_tradnl" w:eastAsia="es-CL"/>
        </w:rPr>
        <w:t>- Tributación de Fondos Mutuos e Inversión</w:t>
      </w:r>
      <w:r>
        <w:rPr>
          <w:rFonts w:eastAsia="Arial Unicode MS" w:cs="Arial Unicode MS"/>
          <w:b w:val="0"/>
          <w:color w:val="000000"/>
          <w:u w:color="000000"/>
          <w:bdr w:val="nil"/>
          <w:lang w:val="es-ES_tradnl" w:eastAsia="es-CL"/>
        </w:rPr>
        <w:t xml:space="preserve">: modificaciones efectuadas al beneficio tributario contenido en el artículo 57 bis de la LIR a contar del 1° de enero de 2015, su derogación a partir del 1° de enero de 2017 y el tratamiento del saldo de ahorro por las inversiones que se efectúen hasta el 31.12.2016 y se hayan acogido a dicha norma legal. </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r>
      <w:r>
        <w:rPr>
          <w:rFonts w:eastAsia="Arial Unicode MS" w:cs="Arial Unicode MS"/>
          <w:color w:val="000000"/>
          <w:u w:color="000000"/>
          <w:bdr w:val="nil"/>
          <w:lang w:val="es-ES_tradnl" w:eastAsia="es-CL"/>
        </w:rPr>
        <w:t>- Bienes Raíces</w:t>
      </w:r>
      <w:r>
        <w:rPr>
          <w:rFonts w:eastAsia="Arial Unicode MS" w:cs="Arial Unicode MS"/>
          <w:b w:val="0"/>
          <w:color w:val="000000"/>
          <w:u w:color="000000"/>
          <w:bdr w:val="nil"/>
          <w:lang w:val="es-ES_tradnl" w:eastAsia="es-CL"/>
        </w:rPr>
        <w:t>: se modificará el régimen de tributación para la compra y venta de los bienes raíces. Las personas naturales que no determinen rentas efectivas de primera categoría y vendan bienes raíces adquiridos a partir del 1 de Enero de 2014, deberán tributar por ganancias de capital acumulativas  que superen las 8.000 UF</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r>
      <w:r>
        <w:rPr>
          <w:rFonts w:eastAsia="Arial Unicode MS" w:cs="Arial Unicode MS"/>
          <w:color w:val="000000"/>
          <w:u w:color="000000"/>
          <w:bdr w:val="nil"/>
          <w:lang w:val="es-ES_tradnl" w:eastAsia="es-CL"/>
        </w:rPr>
        <w:t>- Cambio Tasa de Impuesto Global Complementario</w:t>
      </w:r>
      <w:r>
        <w:rPr>
          <w:rFonts w:eastAsia="Arial Unicode MS" w:cs="Arial Unicode MS"/>
          <w:b w:val="0"/>
          <w:color w:val="000000"/>
          <w:u w:color="000000"/>
          <w:bdr w:val="nil"/>
          <w:lang w:val="es-ES_tradnl" w:eastAsia="es-CL"/>
        </w:rPr>
        <w:t>: bajan tasas de 40% a 35% para el tramo más alto de ingresos.</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w:bCs/>
          <w:color w:val="000000"/>
          <w:u w:color="000000"/>
          <w:bdr w:val="nil"/>
          <w:lang w:val="es-ES_tradnl" w:eastAsia="es-CL"/>
        </w:rPr>
        <w:tab/>
        <w:t>IV. Fiscalización y cumplimiento tributario</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w:b w:val="0"/>
          <w:color w:val="000000"/>
          <w:u w:color="000000"/>
          <w:bdr w:val="nil"/>
          <w:lang w:val="es-ES_tradnl" w:eastAsia="es-CL"/>
        </w:rPr>
        <w:tab/>
        <w:t>En este punto, exhibió las siguientes cifras acerca de la evolución de la evasión en el IVA, a través de los recuadros que a continuación se presentan.</w:t>
      </w:r>
    </w:p>
    <w:p>
      <w:pPr>
        <w:pBdr>
          <w:top w:val="nil"/>
          <w:left w:val="nil"/>
          <w:bottom w:val="nil"/>
          <w:right w:val="nil"/>
          <w:between w:val="nil"/>
          <w:bar w:val="nil"/>
        </w:pBdr>
        <w:rPr>
          <w:rFonts w:eastAsia="Arial Unicode MS" w:cs="Arial Unicode MS"/>
          <w:bCs/>
          <w:color w:val="000000"/>
          <w:u w:color="000000"/>
          <w:bdr w:val="nil"/>
          <w:lang w:val="es-ES_tradnl" w:eastAsia="es-CL"/>
        </w:rPr>
      </w:pPr>
    </w:p>
    <w:p>
      <w:pPr>
        <w:pBdr>
          <w:top w:val="nil"/>
          <w:left w:val="nil"/>
          <w:bottom w:val="nil"/>
          <w:right w:val="nil"/>
          <w:between w:val="nil"/>
          <w:bar w:val="nil"/>
        </w:pBdr>
        <w:jc w:val="center"/>
        <w:rPr>
          <w:rFonts w:eastAsia="Arial"/>
          <w:bCs/>
          <w:color w:val="000000"/>
          <w:u w:color="000000"/>
          <w:bdr w:val="nil"/>
          <w:lang w:val="es-ES_tradnl" w:eastAsia="es-CL"/>
        </w:rPr>
      </w:pPr>
      <w:r>
        <w:rPr>
          <w:rFonts w:eastAsia="Arial Unicode MS" w:cs="Arial Unicode MS"/>
          <w:bCs/>
          <w:color w:val="000000"/>
          <w:u w:color="000000"/>
          <w:bdr w:val="nil"/>
          <w:lang w:val="es-ES_tradnl" w:eastAsia="es-CL"/>
        </w:rPr>
        <w:t>Evasión de IVA</w:t>
      </w:r>
    </w:p>
    <w:p>
      <w:pPr>
        <w:pBdr>
          <w:top w:val="nil"/>
          <w:left w:val="nil"/>
          <w:bottom w:val="nil"/>
          <w:right w:val="nil"/>
          <w:between w:val="nil"/>
          <w:bar w:val="nil"/>
        </w:pBdr>
        <w:jc w:val="center"/>
        <w:rPr>
          <w:rFonts w:eastAsia="Arial"/>
          <w:b w:val="0"/>
          <w:color w:val="000000"/>
          <w:u w:color="000000"/>
          <w:bdr w:val="nil"/>
          <w:lang w:val="es-ES_tradnl" w:eastAsia="es-CL"/>
        </w:rPr>
      </w:pPr>
      <w:r>
        <w:rPr>
          <w:rFonts w:eastAsia="Arial Unicode MS" w:cs="Arial Unicode MS"/>
          <w:color w:val="000000"/>
          <w:u w:color="000000"/>
          <w:bdr w:val="nil"/>
          <w:lang w:val="es-ES_tradnl" w:eastAsia="es-CL"/>
        </w:rPr>
        <w:t>Serie evasión 2003-2015 (Montos en millones de pesos nominales</w:t>
      </w:r>
      <w:r>
        <w:rPr>
          <w:rFonts w:eastAsia="Arial Unicode MS" w:cs="Arial Unicode MS"/>
          <w:b w:val="0"/>
          <w:color w:val="000000"/>
          <w:u w:color="000000"/>
          <w:bdr w:val="nil"/>
          <w:lang w:val="es-ES_tradnl" w:eastAsia="es-CL"/>
        </w:rPr>
        <w:t>)</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w:b w:val="0"/>
          <w:noProof/>
          <w:color w:val="000000"/>
          <w:u w:color="000000"/>
          <w:bdr w:val="nil"/>
          <w:lang w:eastAsia="es-CL"/>
        </w:rPr>
        <w:pict>
          <v:shape id="_x0000_i1035" type="#_x0000_t75" style="width:413.65pt;height:42.7pt;visibility:visible">
            <v:imagedata r:id="rId18" o:title=""/>
          </v:shape>
        </w:pict>
      </w: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i/>
          <w:iCs/>
          <w:color w:val="000000"/>
          <w:u w:color="000000"/>
          <w:bdr w:val="nil"/>
          <w:lang w:val="es-ES_tradnl" w:eastAsia="es-CL"/>
        </w:rPr>
        <w:t>Elaborado por Subdirección de Gestión Estratégica y Estudios Tributarios - SII</w:t>
      </w: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i/>
          <w:iCs/>
          <w:color w:val="000000"/>
          <w:u w:color="000000"/>
          <w:bdr w:val="nil"/>
          <w:lang w:val="es-ES_tradnl" w:eastAsia="es-CL"/>
        </w:rPr>
        <w:t>(*) Cifras preliminares, sujetas a actualización según las publicaciones del Banco Central</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w:b w:val="0"/>
          <w:noProof/>
          <w:color w:val="000000"/>
          <w:u w:color="000000"/>
          <w:bdr w:val="nil"/>
          <w:lang w:eastAsia="es-CL"/>
        </w:rPr>
        <w:pict>
          <v:shape id="_x0000_i1036" type="#_x0000_t75" style="width:413.15pt;height:172.8pt;visibility:visible">
            <v:imagedata r:id="rId19" o:title=""/>
          </v:shape>
        </w:pic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w:b w:val="0"/>
          <w:color w:val="000000"/>
          <w:u w:color="000000"/>
          <w:bdr w:val="nil"/>
          <w:lang w:val="es-ES_tradnl" w:eastAsia="es-CL"/>
        </w:rPr>
        <w:tab/>
        <w:t>En esa línea, explicó que la Reforma Tributaria establece metas de recaudación asociadas a la disminución de la evasión y la elusión tributaria, las que alcanzan a unos MM$ 503.100 para el 2015, respecto al año 2013 (expresado en pesos reales del 2015).</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w:b w:val="0"/>
          <w:color w:val="000000"/>
          <w:u w:color="000000"/>
          <w:bdr w:val="nil"/>
          <w:lang w:val="es-ES_tradnl" w:eastAsia="es-CL"/>
        </w:rPr>
        <w:tab/>
        <w:t>De ese modo, agregó, con la disminución de evasión observada en los años 2014 y 2015, que alcanza los 4,2 puntos de evasión, se genera una mayor recaudación de 673.133 MM$ para 2015, superando la meta fijada por la Reforma Tributaria.</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 xml:space="preserve">En este punto, el </w:t>
      </w:r>
      <w:r>
        <w:rPr>
          <w:rFonts w:eastAsia="Arial Unicode MS" w:cs="Arial Unicode MS"/>
          <w:bCs/>
          <w:color w:val="000000"/>
          <w:u w:color="000000"/>
          <w:bdr w:val="nil"/>
          <w:lang w:val="es-ES_tradnl" w:eastAsia="es-CL"/>
        </w:rPr>
        <w:t>Honorable Senador señor Coloma</w:t>
      </w:r>
      <w:r>
        <w:rPr>
          <w:rFonts w:eastAsia="Arial Unicode MS" w:cs="Arial Unicode MS"/>
          <w:b w:val="0"/>
          <w:color w:val="000000"/>
          <w:u w:color="000000"/>
          <w:bdr w:val="nil"/>
          <w:lang w:val="es-ES_tradnl" w:eastAsia="es-CL"/>
        </w:rPr>
        <w:t>, consultó si la reducción de la evasión responde, básicamente, a la extensión de la factura electrónica.</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w:b w:val="0"/>
          <w:color w:val="000000"/>
          <w:u w:color="000000"/>
          <w:bdr w:val="nil"/>
          <w:lang w:val="es-ES_tradnl" w:eastAsia="es-CL"/>
        </w:rPr>
        <w:tab/>
      </w:r>
      <w:r>
        <w:rPr>
          <w:rFonts w:eastAsia="Arial Unicode MS" w:cs="Arial Unicode MS"/>
          <w:bCs/>
          <w:color w:val="000000"/>
          <w:u w:color="000000"/>
          <w:bdr w:val="nil"/>
          <w:lang w:val="es-ES_tradnl" w:eastAsia="es-CL"/>
        </w:rPr>
        <w:t>El Director del Servicio de Impuestos Internos,  señor Fernando Barraza</w:t>
      </w:r>
      <w:r>
        <w:rPr>
          <w:rFonts w:eastAsia="Arial Unicode MS" w:cs="Arial Unicode MS"/>
          <w:b w:val="0"/>
          <w:color w:val="000000"/>
          <w:u w:color="000000"/>
          <w:bdr w:val="nil"/>
          <w:lang w:val="es-ES_tradnl" w:eastAsia="es-CL"/>
        </w:rPr>
        <w:t>, indicó que además de dicha figura, la reducción se debe a algunas disposiciones propias de la Reforma Tributaria.</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Cs/>
          <w:color w:val="000000"/>
          <w:u w:color="000000"/>
          <w:bdr w:val="nil"/>
          <w:lang w:val="es-ES_tradnl" w:eastAsia="es-CL"/>
        </w:rPr>
      </w:pPr>
      <w:r>
        <w:rPr>
          <w:rFonts w:eastAsia="Arial Unicode MS" w:cs="Arial Unicode MS"/>
          <w:bCs/>
          <w:color w:val="000000"/>
          <w:u w:color="000000"/>
          <w:bdr w:val="nil"/>
          <w:lang w:val="es-ES_tradnl" w:eastAsia="es-CL"/>
        </w:rPr>
        <w:tab/>
        <w:t>a. Ingresos Tributarios</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En este acápite, indicó que en el primer semestre del 2016, los ingresos tributarios presentaron un crecimiento de 7,7% real, respecto al mismo período del año anterior, producido principalmente por los impuestos a la Renta.</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De igual modo, añadió, al mes de Agosto del año en curso, los ingresos tributarios acumulados alcanzan los MM$19.517.319, aumentando un 4,0% real respecto al año 2015, teniendo a los impuestos a la Renta y al IVA como el principal motor de crecimiento.</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w:b w:val="0"/>
          <w:color w:val="000000"/>
          <w:u w:color="000000"/>
          <w:bdr w:val="nil"/>
          <w:lang w:val="es-ES_tradnl" w:eastAsia="es-CL"/>
        </w:rPr>
        <w:tab/>
        <w:t>Lo anterior, lo reflejó a través del siguiente esquema:</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jc w:val="center"/>
        <w:rPr>
          <w:rFonts w:eastAsia="Arial"/>
          <w:b w:val="0"/>
          <w:color w:val="000000"/>
          <w:u w:color="000000"/>
          <w:bdr w:val="nil"/>
          <w:lang w:val="es-ES_tradnl" w:eastAsia="es-CL"/>
        </w:rPr>
      </w:pPr>
      <w:r>
        <w:rPr>
          <w:rFonts w:eastAsia="Arial"/>
          <w:b w:val="0"/>
          <w:noProof/>
          <w:color w:val="000000"/>
          <w:u w:color="000000"/>
          <w:bdr w:val="nil"/>
          <w:lang w:eastAsia="es-CL"/>
        </w:rPr>
        <w:pict>
          <v:shape id="_x0000_i1037" type="#_x0000_t75" style="width:292.45pt;height:145.5pt;visibility:visible">
            <v:imagedata r:id="rId20" o:title=""/>
          </v:shape>
        </w:pict>
      </w:r>
    </w:p>
    <w:p>
      <w:pPr>
        <w:pBdr>
          <w:top w:val="nil"/>
          <w:left w:val="nil"/>
          <w:bottom w:val="nil"/>
          <w:right w:val="nil"/>
          <w:between w:val="nil"/>
          <w:bar w:val="nil"/>
        </w:pBdr>
        <w:jc w:val="cente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Fuente: Dipres</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En este punto, indicó que, según estudios del Servicio de Impuestos Internos, dos tercios de dicho 4% se debe a la Reforma Tributaria.</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bCs/>
          <w:color w:val="000000"/>
          <w:u w:color="000000"/>
          <w:bdr w:val="nil"/>
          <w:lang w:val="es-ES_tradnl" w:eastAsia="es-CL"/>
        </w:rPr>
      </w:pPr>
      <w:r>
        <w:rPr>
          <w:rFonts w:eastAsia="Arial Unicode MS" w:cs="Arial Unicode MS"/>
          <w:bCs/>
          <w:color w:val="000000"/>
          <w:u w:color="000000"/>
          <w:bdr w:val="nil"/>
          <w:lang w:val="es-ES_tradnl" w:eastAsia="es-CL"/>
        </w:rPr>
        <w:tab/>
      </w:r>
      <w:r>
        <w:rPr>
          <w:rFonts w:eastAsia="Arial Unicode MS" w:cs="Arial Unicode MS"/>
          <w:b w:val="0"/>
          <w:bCs/>
          <w:color w:val="000000"/>
          <w:u w:color="000000"/>
          <w:bdr w:val="nil"/>
          <w:lang w:val="es-ES_tradnl" w:eastAsia="es-CL"/>
        </w:rPr>
        <w:t>Posteriormente, describió las cifras referentes a la recaudación del IVA Neto y el nominal de consumo de hogares.</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jc w:val="center"/>
        <w:rPr>
          <w:rFonts w:eastAsia="Arial"/>
          <w:color w:val="000000"/>
          <w:u w:color="000000"/>
          <w:bdr w:val="nil"/>
          <w:lang w:val="es-ES_tradnl" w:eastAsia="es-CL"/>
        </w:rPr>
      </w:pPr>
      <w:r>
        <w:rPr>
          <w:rFonts w:eastAsia="Arial Unicode MS" w:cs="Arial Unicode MS"/>
          <w:color w:val="000000"/>
          <w:u w:color="000000"/>
          <w:bdr w:val="nil"/>
          <w:lang w:val="es-ES_tradnl" w:eastAsia="es-CL"/>
        </w:rPr>
        <w:t>IVA Neto y Consumo Hogares acumulados a julio y junio 2016 (Montos en millones de pesos nominales)</w:t>
      </w:r>
    </w:p>
    <w:tbl>
      <w:tblPr>
        <w:tblW w:w="7515" w:type="dxa"/>
        <w:jc w:val="center"/>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2412"/>
        <w:gridCol w:w="2552"/>
        <w:gridCol w:w="2551"/>
      </w:tblGrid>
      <w:tr>
        <w:tblPrEx>
          <w:tblCellMar>
            <w:top w:w="0" w:type="dxa"/>
            <w:left w:w="0" w:type="dxa"/>
            <w:bottom w:w="0" w:type="dxa"/>
            <w:right w:w="0" w:type="dxa"/>
          </w:tblCellMar>
        </w:tblPrEx>
        <w:trPr>
          <w:trHeight w:val="588"/>
          <w:jc w:val="center"/>
        </w:trPr>
        <w:tc>
          <w:tcPr>
            <w:tcW w:w="2412" w:type="dxa"/>
            <w:tcBorders>
              <w:top w:val="single" w:sz="8" w:space="0" w:color="FFFFFF"/>
              <w:left w:val="single" w:sz="8" w:space="0" w:color="FFFFFF"/>
              <w:bottom w:val="single" w:sz="24" w:space="0" w:color="FFFFFF"/>
              <w:right w:val="single" w:sz="8" w:space="0" w:color="FFFFFF"/>
            </w:tcBorders>
            <w:shd w:val="clear" w:color="auto" w:fill="5B9BD5"/>
            <w:tcMar>
              <w:top w:w="80" w:type="dxa"/>
              <w:left w:w="80" w:type="dxa"/>
              <w:bottom w:w="80" w:type="dxa"/>
              <w:right w:w="80" w:type="dxa"/>
            </w:tcMar>
            <w:vAlign w:val="center"/>
          </w:tcPr>
          <w:p>
            <w:pPr>
              <w:pBdr>
                <w:top w:val="nil"/>
                <w:left w:val="nil"/>
                <w:bottom w:val="nil"/>
                <w:right w:val="nil"/>
                <w:between w:val="nil"/>
                <w:bar w:val="nil"/>
              </w:pBdr>
              <w:rPr>
                <w:rFonts w:eastAsia="Arial"/>
                <w:b w:val="0"/>
                <w:color w:val="000000"/>
                <w:sz w:val="28"/>
                <w:u w:color="000000"/>
                <w:bdr w:val="nil"/>
                <w:lang w:val="es-ES_tradnl" w:eastAsia="es-CL"/>
              </w:rPr>
            </w:pPr>
          </w:p>
        </w:tc>
        <w:tc>
          <w:tcPr>
            <w:tcW w:w="2552" w:type="dxa"/>
            <w:tcBorders>
              <w:top w:val="single" w:sz="8" w:space="0" w:color="FFFFFF"/>
              <w:left w:val="single" w:sz="8" w:space="0" w:color="FFFFFF"/>
              <w:bottom w:val="single" w:sz="24" w:space="0" w:color="FFFFFF"/>
              <w:right w:val="single" w:sz="8" w:space="0" w:color="FFFFFF"/>
            </w:tcBorders>
            <w:shd w:val="clear" w:color="auto" w:fill="5B9BD5"/>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28"/>
                <w:u w:color="000000"/>
                <w:bdr w:val="nil"/>
                <w:lang w:val="es-ES_tradnl" w:eastAsia="es-CL"/>
              </w:rPr>
            </w:pPr>
            <w:r>
              <w:rPr>
                <w:rFonts w:ascii="Calibri" w:hAnsi="Calibri" w:cs="Calibri"/>
                <w:bCs/>
                <w:color w:val="FFFFFF"/>
                <w:kern w:val="24"/>
                <w:sz w:val="28"/>
                <w:u w:color="FFFFFF"/>
                <w:bdr w:val="nil"/>
                <w:lang w:val="es-ES_tradnl" w:eastAsia="es-CL"/>
              </w:rPr>
              <w:t>Monto (MM$)</w:t>
            </w:r>
          </w:p>
        </w:tc>
        <w:tc>
          <w:tcPr>
            <w:tcW w:w="2551" w:type="dxa"/>
            <w:tcBorders>
              <w:top w:val="single" w:sz="8" w:space="0" w:color="FFFFFF"/>
              <w:left w:val="single" w:sz="8" w:space="0" w:color="FFFFFF"/>
              <w:bottom w:val="single" w:sz="24" w:space="0" w:color="FFFFFF"/>
              <w:right w:val="single" w:sz="8" w:space="0" w:color="FFFFFF"/>
            </w:tcBorders>
            <w:shd w:val="clear" w:color="auto" w:fill="5B9BD5"/>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28"/>
                <w:u w:color="000000"/>
                <w:bdr w:val="nil"/>
                <w:lang w:val="es-ES_tradnl" w:eastAsia="es-CL"/>
              </w:rPr>
            </w:pPr>
            <w:r>
              <w:rPr>
                <w:rFonts w:ascii="Calibri" w:hAnsi="Calibri" w:cs="Calibri"/>
                <w:bCs/>
                <w:color w:val="FFFFFF"/>
                <w:kern w:val="24"/>
                <w:sz w:val="28"/>
                <w:u w:color="FFFFFF"/>
                <w:bdr w:val="nil"/>
                <w:lang w:val="es-ES_tradnl" w:eastAsia="es-CL"/>
              </w:rPr>
              <w:t>Var Nominal(%)</w:t>
            </w:r>
          </w:p>
        </w:tc>
      </w:tr>
      <w:tr>
        <w:tblPrEx>
          <w:tblCellMar>
            <w:top w:w="0" w:type="dxa"/>
            <w:left w:w="0" w:type="dxa"/>
            <w:bottom w:w="0" w:type="dxa"/>
            <w:right w:w="0" w:type="dxa"/>
          </w:tblCellMar>
        </w:tblPrEx>
        <w:trPr>
          <w:trHeight w:val="480"/>
          <w:jc w:val="center"/>
        </w:trPr>
        <w:tc>
          <w:tcPr>
            <w:tcW w:w="2412" w:type="dxa"/>
            <w:tcBorders>
              <w:top w:val="single" w:sz="24" w:space="0" w:color="FFFFFF"/>
              <w:left w:val="single" w:sz="8" w:space="0" w:color="FFFFFF"/>
              <w:bottom w:val="single" w:sz="8" w:space="0" w:color="FFFFFF"/>
              <w:right w:val="single" w:sz="8" w:space="0" w:color="FFFFFF"/>
            </w:tcBorders>
            <w:shd w:val="clear" w:color="auto" w:fill="D2DEEF"/>
            <w:tcMar>
              <w:top w:w="80" w:type="dxa"/>
              <w:left w:w="80" w:type="dxa"/>
              <w:bottom w:w="80" w:type="dxa"/>
              <w:right w:w="80" w:type="dxa"/>
            </w:tcMar>
            <w:vAlign w:val="center"/>
          </w:tcPr>
          <w:p>
            <w:pPr>
              <w:pBdr>
                <w:top w:val="nil"/>
                <w:left w:val="nil"/>
                <w:bottom w:val="nil"/>
                <w:right w:val="nil"/>
                <w:between w:val="nil"/>
                <w:bar w:val="nil"/>
              </w:pBdr>
              <w:tabs>
                <w:tab w:val="clear" w:pos="2835"/>
              </w:tabs>
              <w:jc w:val="left"/>
              <w:rPr>
                <w:rFonts w:eastAsia="Arial"/>
                <w:b w:val="0"/>
                <w:color w:val="000000"/>
                <w:sz w:val="28"/>
                <w:u w:color="000000"/>
                <w:bdr w:val="nil"/>
                <w:lang w:val="es-ES_tradnl" w:eastAsia="es-CL"/>
              </w:rPr>
            </w:pPr>
            <w:r>
              <w:rPr>
                <w:rFonts w:ascii="Calibri" w:hAnsi="Calibri" w:cs="Calibri"/>
                <w:b w:val="0"/>
                <w:color w:val="000000"/>
                <w:kern w:val="24"/>
                <w:sz w:val="28"/>
                <w:u w:color="000000"/>
                <w:bdr w:val="nil"/>
                <w:lang w:val="es-ES_tradnl" w:eastAsia="es-CL"/>
              </w:rPr>
              <w:t>IVA Neto</w:t>
            </w:r>
            <w:r>
              <w:rPr>
                <w:rFonts w:ascii="Calibri" w:hAnsi="Calibri" w:cs="Calibri"/>
                <w:b w:val="0"/>
                <w:color w:val="000000"/>
                <w:kern w:val="24"/>
                <w:position w:val="16"/>
                <w:sz w:val="28"/>
                <w:u w:color="000000"/>
                <w:bdr w:val="nil"/>
                <w:vertAlign w:val="superscript"/>
                <w:lang w:val="es-ES_tradnl" w:eastAsia="es-CL"/>
              </w:rPr>
              <w:t>1</w:t>
            </w:r>
          </w:p>
        </w:tc>
        <w:tc>
          <w:tcPr>
            <w:tcW w:w="2552" w:type="dxa"/>
            <w:tcBorders>
              <w:top w:val="single" w:sz="24" w:space="0" w:color="FFFFFF"/>
              <w:left w:val="single" w:sz="8" w:space="0" w:color="FFFFFF"/>
              <w:bottom w:val="single" w:sz="8" w:space="0" w:color="FFFFFF"/>
              <w:right w:val="single" w:sz="8" w:space="0" w:color="FFFFFF"/>
            </w:tcBorders>
            <w:shd w:val="clear" w:color="auto" w:fill="D2DEEF"/>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28"/>
                <w:u w:color="000000"/>
                <w:bdr w:val="nil"/>
                <w:lang w:val="es-ES_tradnl" w:eastAsia="es-CL"/>
              </w:rPr>
            </w:pPr>
            <w:r>
              <w:rPr>
                <w:rFonts w:ascii="Calibri" w:hAnsi="Calibri" w:cs="Calibri"/>
                <w:b w:val="0"/>
                <w:color w:val="000000"/>
                <w:kern w:val="24"/>
                <w:sz w:val="28"/>
                <w:u w:color="000000"/>
                <w:bdr w:val="nil"/>
                <w:lang w:val="es-ES_tradnl" w:eastAsia="es-CL"/>
              </w:rPr>
              <w:t>7.683.837</w:t>
            </w:r>
          </w:p>
        </w:tc>
        <w:tc>
          <w:tcPr>
            <w:tcW w:w="2551" w:type="dxa"/>
            <w:tcBorders>
              <w:top w:val="single" w:sz="24" w:space="0" w:color="FFFFFF"/>
              <w:left w:val="single" w:sz="8" w:space="0" w:color="FFFFFF"/>
              <w:bottom w:val="single" w:sz="8" w:space="0" w:color="FFFFFF"/>
              <w:right w:val="single" w:sz="8" w:space="0" w:color="FFFFFF"/>
            </w:tcBorders>
            <w:shd w:val="clear" w:color="auto" w:fill="D2DEEF"/>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28"/>
                <w:u w:color="000000"/>
                <w:bdr w:val="nil"/>
                <w:lang w:val="es-ES_tradnl" w:eastAsia="es-CL"/>
              </w:rPr>
            </w:pPr>
            <w:r>
              <w:rPr>
                <w:rFonts w:ascii="Calibri" w:hAnsi="Calibri" w:cs="Calibri"/>
                <w:b w:val="0"/>
                <w:color w:val="000000"/>
                <w:kern w:val="24"/>
                <w:sz w:val="28"/>
                <w:u w:color="000000"/>
                <w:bdr w:val="nil"/>
                <w:lang w:val="es-ES_tradnl" w:eastAsia="es-CL"/>
              </w:rPr>
              <w:t>8,0%</w:t>
            </w:r>
          </w:p>
        </w:tc>
      </w:tr>
      <w:tr>
        <w:tblPrEx>
          <w:tblCellMar>
            <w:top w:w="0" w:type="dxa"/>
            <w:left w:w="0" w:type="dxa"/>
            <w:bottom w:w="0" w:type="dxa"/>
            <w:right w:w="0" w:type="dxa"/>
          </w:tblCellMar>
        </w:tblPrEx>
        <w:trPr>
          <w:trHeight w:val="493"/>
          <w:jc w:val="center"/>
        </w:trPr>
        <w:tc>
          <w:tcPr>
            <w:tcW w:w="2412" w:type="dxa"/>
            <w:tcBorders>
              <w:top w:val="single" w:sz="8" w:space="0" w:color="FFFFFF"/>
              <w:left w:val="single" w:sz="8" w:space="0" w:color="FFFFFF"/>
              <w:bottom w:val="single" w:sz="8" w:space="0" w:color="FFFFFF"/>
              <w:right w:val="single" w:sz="8" w:space="0" w:color="FFFFFF"/>
            </w:tcBorders>
            <w:shd w:val="clear" w:color="auto" w:fill="EAEFF7"/>
            <w:tcMar>
              <w:top w:w="80" w:type="dxa"/>
              <w:left w:w="80" w:type="dxa"/>
              <w:bottom w:w="80" w:type="dxa"/>
              <w:right w:w="80" w:type="dxa"/>
            </w:tcMar>
            <w:vAlign w:val="center"/>
          </w:tcPr>
          <w:p>
            <w:pPr>
              <w:pBdr>
                <w:top w:val="nil"/>
                <w:left w:val="nil"/>
                <w:bottom w:val="nil"/>
                <w:right w:val="nil"/>
                <w:between w:val="nil"/>
                <w:bar w:val="nil"/>
              </w:pBdr>
              <w:tabs>
                <w:tab w:val="clear" w:pos="2835"/>
              </w:tabs>
              <w:jc w:val="left"/>
              <w:rPr>
                <w:rFonts w:eastAsia="Arial"/>
                <w:b w:val="0"/>
                <w:color w:val="000000"/>
                <w:sz w:val="28"/>
                <w:u w:color="000000"/>
                <w:bdr w:val="nil"/>
                <w:lang w:val="es-ES_tradnl" w:eastAsia="es-CL"/>
              </w:rPr>
            </w:pPr>
            <w:r>
              <w:rPr>
                <w:rFonts w:ascii="Calibri" w:hAnsi="Calibri" w:cs="Calibri"/>
                <w:b w:val="0"/>
                <w:color w:val="000000"/>
                <w:kern w:val="24"/>
                <w:sz w:val="28"/>
                <w:u w:color="000000"/>
                <w:bdr w:val="nil"/>
                <w:lang w:val="es-ES_tradnl" w:eastAsia="es-CL"/>
              </w:rPr>
              <w:t>Consumo Hogares</w:t>
            </w:r>
            <w:r>
              <w:rPr>
                <w:rFonts w:ascii="Calibri" w:hAnsi="Calibri" w:cs="Calibri"/>
                <w:b w:val="0"/>
                <w:color w:val="000000"/>
                <w:kern w:val="24"/>
                <w:position w:val="16"/>
                <w:sz w:val="28"/>
                <w:u w:color="000000"/>
                <w:bdr w:val="nil"/>
                <w:vertAlign w:val="superscript"/>
                <w:lang w:val="es-ES_tradnl" w:eastAsia="es-CL"/>
              </w:rPr>
              <w:t>2</w:t>
            </w:r>
          </w:p>
        </w:tc>
        <w:tc>
          <w:tcPr>
            <w:tcW w:w="2552" w:type="dxa"/>
            <w:tcBorders>
              <w:top w:val="single" w:sz="8" w:space="0" w:color="FFFFFF"/>
              <w:left w:val="single" w:sz="8" w:space="0" w:color="FFFFFF"/>
              <w:bottom w:val="single" w:sz="8" w:space="0" w:color="FFFFFF"/>
              <w:right w:val="single" w:sz="8" w:space="0" w:color="FFFFFF"/>
            </w:tcBorders>
            <w:shd w:val="clear" w:color="auto" w:fill="EAEFF7"/>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28"/>
                <w:u w:color="000000"/>
                <w:bdr w:val="nil"/>
                <w:lang w:val="es-ES_tradnl" w:eastAsia="es-CL"/>
              </w:rPr>
            </w:pPr>
            <w:r>
              <w:rPr>
                <w:rFonts w:ascii="Calibri" w:hAnsi="Calibri" w:cs="Calibri"/>
                <w:b w:val="0"/>
                <w:color w:val="000000"/>
                <w:kern w:val="24"/>
                <w:sz w:val="28"/>
                <w:u w:color="000000"/>
                <w:bdr w:val="nil"/>
                <w:lang w:val="es-ES_tradnl" w:eastAsia="es-CL"/>
              </w:rPr>
              <w:t>51.741.432*</w:t>
            </w:r>
          </w:p>
        </w:tc>
        <w:tc>
          <w:tcPr>
            <w:tcW w:w="2551" w:type="dxa"/>
            <w:tcBorders>
              <w:top w:val="single" w:sz="8" w:space="0" w:color="FFFFFF"/>
              <w:left w:val="single" w:sz="8" w:space="0" w:color="FFFFFF"/>
              <w:bottom w:val="single" w:sz="8" w:space="0" w:color="FFFFFF"/>
              <w:right w:val="single" w:sz="8" w:space="0" w:color="FFFFFF"/>
            </w:tcBorders>
            <w:shd w:val="clear" w:color="auto" w:fill="EAEFF7"/>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28"/>
                <w:u w:color="000000"/>
                <w:bdr w:val="nil"/>
                <w:lang w:val="es-ES_tradnl" w:eastAsia="es-CL"/>
              </w:rPr>
            </w:pPr>
            <w:r>
              <w:rPr>
                <w:rFonts w:ascii="Calibri" w:hAnsi="Calibri" w:cs="Calibri"/>
                <w:b w:val="0"/>
                <w:color w:val="000000"/>
                <w:kern w:val="24"/>
                <w:sz w:val="28"/>
                <w:u w:color="000000"/>
                <w:bdr w:val="nil"/>
                <w:lang w:val="es-ES_tradnl" w:eastAsia="es-CL"/>
              </w:rPr>
              <w:t>7,2%*</w:t>
            </w:r>
          </w:p>
        </w:tc>
      </w:tr>
    </w:tbl>
    <w:p>
      <w:pPr>
        <w:widowControl w:val="0"/>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sz w:val="20"/>
          <w:szCs w:val="20"/>
          <w:u w:color="000000"/>
          <w:bdr w:val="nil"/>
          <w:lang w:val="es-ES_tradnl" w:eastAsia="es-CL"/>
        </w:rPr>
      </w:pPr>
      <w:r>
        <w:rPr>
          <w:rFonts w:eastAsia="Arial Unicode MS" w:cs="Arial Unicode MS"/>
          <w:b w:val="0"/>
          <w:i/>
          <w:iCs/>
          <w:color w:val="000000"/>
          <w:sz w:val="20"/>
          <w:szCs w:val="20"/>
          <w:u w:color="000000"/>
          <w:bdr w:val="nil"/>
          <w:lang w:val="es-ES_tradnl" w:eastAsia="es-CL"/>
        </w:rPr>
        <w:t>Elaborado por Subdirección de Estudios, SII</w:t>
      </w:r>
    </w:p>
    <w:p>
      <w:pPr>
        <w:numPr>
          <w:ilvl w:val="0"/>
          <w:numId w:val="6"/>
        </w:numPr>
        <w:pBdr>
          <w:top w:val="nil"/>
          <w:left w:val="nil"/>
          <w:bottom w:val="nil"/>
          <w:right w:val="nil"/>
          <w:between w:val="nil"/>
          <w:bar w:val="nil"/>
        </w:pBdr>
        <w:rPr>
          <w:rFonts w:eastAsia="Arial"/>
          <w:b w:val="0"/>
          <w:color w:val="000000"/>
          <w:sz w:val="20"/>
          <w:szCs w:val="20"/>
          <w:u w:color="000000"/>
          <w:bdr w:val="nil"/>
          <w:lang w:val="es-ES_tradnl" w:eastAsia="es-CL"/>
        </w:rPr>
      </w:pPr>
      <w:r>
        <w:rPr>
          <w:rFonts w:eastAsia="Arial"/>
          <w:b w:val="0"/>
          <w:i/>
          <w:iCs/>
          <w:color w:val="000000"/>
          <w:sz w:val="20"/>
          <w:szCs w:val="20"/>
          <w:u w:color="000000"/>
          <w:bdr w:val="nil"/>
          <w:lang w:val="es-ES_tradnl" w:eastAsia="es-CL"/>
        </w:rPr>
        <w:t>Cifra acumulada al mes de julio</w:t>
      </w:r>
    </w:p>
    <w:p>
      <w:pPr>
        <w:numPr>
          <w:ilvl w:val="0"/>
          <w:numId w:val="6"/>
        </w:numPr>
        <w:pBdr>
          <w:top w:val="nil"/>
          <w:left w:val="nil"/>
          <w:bottom w:val="nil"/>
          <w:right w:val="nil"/>
          <w:between w:val="nil"/>
          <w:bar w:val="nil"/>
        </w:pBdr>
        <w:rPr>
          <w:rFonts w:eastAsia="Arial"/>
          <w:b w:val="0"/>
          <w:color w:val="000000"/>
          <w:sz w:val="20"/>
          <w:szCs w:val="20"/>
          <w:u w:color="000000"/>
          <w:bdr w:val="nil"/>
          <w:lang w:val="es-ES_tradnl" w:eastAsia="es-CL"/>
        </w:rPr>
      </w:pPr>
      <w:r>
        <w:rPr>
          <w:rFonts w:eastAsia="Arial"/>
          <w:b w:val="0"/>
          <w:i/>
          <w:iCs/>
          <w:color w:val="000000"/>
          <w:sz w:val="20"/>
          <w:szCs w:val="20"/>
          <w:u w:color="000000"/>
          <w:bdr w:val="nil"/>
          <w:lang w:val="es-ES_tradnl" w:eastAsia="es-CL"/>
        </w:rPr>
        <w:t>Cifra acumulada al mes de junio</w:t>
      </w:r>
    </w:p>
    <w:p>
      <w:pPr>
        <w:pBdr>
          <w:top w:val="nil"/>
          <w:left w:val="nil"/>
          <w:bottom w:val="nil"/>
          <w:right w:val="nil"/>
          <w:between w:val="nil"/>
          <w:bar w:val="nil"/>
        </w:pBdr>
        <w:rPr>
          <w:rFonts w:eastAsia="Arial"/>
          <w:b w:val="0"/>
          <w:color w:val="000000"/>
          <w:sz w:val="20"/>
          <w:szCs w:val="20"/>
          <w:u w:color="000000"/>
          <w:bdr w:val="nil"/>
          <w:lang w:val="es-ES_tradnl" w:eastAsia="es-CL"/>
        </w:rPr>
      </w:pPr>
      <w:r>
        <w:rPr>
          <w:rFonts w:eastAsia="Arial Unicode MS" w:cs="Arial Unicode MS"/>
          <w:b w:val="0"/>
          <w:i/>
          <w:iCs/>
          <w:color w:val="000000"/>
          <w:sz w:val="20"/>
          <w:szCs w:val="20"/>
          <w:u w:color="000000"/>
          <w:bdr w:val="nil"/>
          <w:lang w:val="es-ES_tradnl" w:eastAsia="es-CL"/>
        </w:rPr>
        <w:t>(*) Cifras preliminares, sujetas a actualización según las publicaciones del Banco Central</w:t>
      </w:r>
    </w:p>
    <w:p>
      <w:pPr>
        <w:pBdr>
          <w:top w:val="nil"/>
          <w:left w:val="nil"/>
          <w:bottom w:val="nil"/>
          <w:right w:val="nil"/>
          <w:between w:val="nil"/>
          <w:bar w:val="nil"/>
        </w:pBdr>
        <w:rPr>
          <w:rFonts w:eastAsia="Arial"/>
          <w:b w:val="0"/>
          <w:color w:val="000000"/>
          <w:sz w:val="20"/>
          <w:szCs w:val="20"/>
          <w:u w:color="000000"/>
          <w:bdr w:val="nil"/>
          <w:lang w:val="es-ES_tradnl" w:eastAsia="es-CL"/>
        </w:rPr>
      </w:pPr>
    </w:p>
    <w:p>
      <w:pPr>
        <w:pBdr>
          <w:top w:val="nil"/>
          <w:left w:val="nil"/>
          <w:bottom w:val="nil"/>
          <w:right w:val="nil"/>
          <w:between w:val="nil"/>
          <w:bar w:val="nil"/>
        </w:pBdr>
        <w:rPr>
          <w:rFonts w:eastAsia="Arial"/>
          <w:b w:val="0"/>
          <w:color w:val="000000"/>
          <w:sz w:val="20"/>
          <w:szCs w:val="2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Así, resaltó que el crecimiento nominal del IVA Neto al mes de julio, se muestra superior que el del consumo de hogares de las cuentas nacionales publicadas por el Banco Central para el primer semestre del 2015, que crece un 7,2% nominal. Ambas variables son utilizadas en la estimación de evasión de IVA.</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 xml:space="preserve">En parte, subrayó, el mejor desempeño observado se debería al Modelo de Cumplimiento Tributario basado en la gestión de riesgos, que comenzó a implementarse en el segundo semestre del año 2014 y que se espera asuma su versión permanente hacía el 2017. </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color w:val="000000"/>
          <w:u w:color="000000"/>
          <w:bdr w:val="nil"/>
          <w:lang w:val="es-ES_tradnl" w:eastAsia="es-CL"/>
        </w:rPr>
      </w:pPr>
      <w:r>
        <w:rPr>
          <w:rFonts w:eastAsia="Arial"/>
          <w:b w:val="0"/>
          <w:color w:val="000000"/>
          <w:u w:color="000000"/>
          <w:bdr w:val="nil"/>
          <w:lang w:val="es-ES_tradnl" w:eastAsia="es-CL"/>
        </w:rPr>
        <w:tab/>
      </w:r>
      <w:r>
        <w:rPr>
          <w:rFonts w:eastAsia="Arial"/>
          <w:color w:val="000000"/>
          <w:u w:color="000000"/>
          <w:bdr w:val="nil"/>
          <w:lang w:val="es-ES_tradnl" w:eastAsia="es-CL"/>
        </w:rPr>
        <w:t>V. Modelo de Gestión del Cumplimiento Tributario</w:t>
      </w:r>
    </w:p>
    <w:p>
      <w:pPr>
        <w:pBdr>
          <w:top w:val="nil"/>
          <w:left w:val="nil"/>
          <w:bottom w:val="nil"/>
          <w:right w:val="nil"/>
          <w:between w:val="nil"/>
          <w:bar w:val="nil"/>
        </w:pBdr>
        <w:rPr>
          <w:rFonts w:eastAsia="Arial"/>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w:b w:val="0"/>
          <w:color w:val="000000"/>
          <w:u w:color="000000"/>
          <w:bdr w:val="nil"/>
          <w:lang w:val="es-ES_tradnl" w:eastAsia="es-CL"/>
        </w:rPr>
        <w:tab/>
        <w:t>Comenzó el análisis de esta materia, a través de la presentación del esquema que a continuación se exhibe.</w:t>
      </w:r>
    </w:p>
    <w:p>
      <w:pPr>
        <w:pBdr>
          <w:top w:val="nil"/>
          <w:left w:val="nil"/>
          <w:bottom w:val="nil"/>
          <w:right w:val="nil"/>
          <w:between w:val="nil"/>
          <w:bar w:val="nil"/>
        </w:pBdr>
        <w:rPr>
          <w:rFonts w:eastAsia="Arial"/>
          <w:b w:val="0"/>
          <w:color w:val="000000"/>
          <w:sz w:val="20"/>
          <w:szCs w:val="20"/>
          <w:u w:color="000000"/>
          <w:bdr w:val="nil"/>
          <w:lang w:val="es-ES_tradnl" w:eastAsia="es-CL"/>
        </w:rPr>
      </w:pPr>
    </w:p>
    <w:p>
      <w:pPr>
        <w:pBdr>
          <w:top w:val="nil"/>
          <w:left w:val="nil"/>
          <w:bottom w:val="nil"/>
          <w:right w:val="nil"/>
          <w:between w:val="nil"/>
          <w:bar w:val="nil"/>
        </w:pBdr>
        <w:rPr>
          <w:rFonts w:eastAsia="Arial"/>
          <w:b w:val="0"/>
          <w:color w:val="000000"/>
          <w:sz w:val="20"/>
          <w:szCs w:val="20"/>
          <w:u w:color="000000"/>
          <w:bdr w:val="nil"/>
          <w:lang w:val="es-ES_tradnl" w:eastAsia="es-CL"/>
        </w:rPr>
      </w:pPr>
    </w:p>
    <w:p>
      <w:pPr>
        <w:pBdr>
          <w:top w:val="nil"/>
          <w:left w:val="nil"/>
          <w:bottom w:val="nil"/>
          <w:right w:val="nil"/>
          <w:between w:val="nil"/>
          <w:bar w:val="nil"/>
        </w:pBdr>
        <w:rPr>
          <w:rFonts w:eastAsia="Arial"/>
          <w:b w:val="0"/>
          <w:color w:val="000000"/>
          <w:sz w:val="20"/>
          <w:szCs w:val="20"/>
          <w:u w:color="000000"/>
          <w:bdr w:val="nil"/>
          <w:lang w:val="es-ES_tradnl" w:eastAsia="es-CL"/>
        </w:rPr>
      </w:pPr>
      <w:r>
        <w:rPr>
          <w:rFonts w:eastAsia="Arial"/>
          <w:b w:val="0"/>
          <w:noProof/>
          <w:color w:val="000000"/>
          <w:sz w:val="20"/>
          <w:szCs w:val="20"/>
          <w:u w:color="000000"/>
          <w:bdr w:val="nil"/>
          <w:lang w:eastAsia="es-CL"/>
        </w:rPr>
        <w:pict>
          <v:shape id="_x0000_i1038" type="#_x0000_t75" style="width:413.65pt;height:287pt;visibility:visible">
            <v:imagedata r:id="rId21" o:title=""/>
          </v:shape>
        </w:pic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Cs/>
          <w:color w:val="000000"/>
          <w:u w:color="000000"/>
          <w:bdr w:val="nil"/>
          <w:lang w:val="es-ES_tradnl" w:eastAsia="es-CL"/>
        </w:rPr>
        <w:tab/>
      </w:r>
      <w:r>
        <w:rPr>
          <w:rFonts w:eastAsia="Arial Unicode MS" w:cs="Arial Unicode MS"/>
          <w:b w:val="0"/>
          <w:bCs/>
          <w:color w:val="000000"/>
          <w:u w:color="000000"/>
          <w:bdr w:val="nil"/>
          <w:lang w:val="es-ES_tradnl" w:eastAsia="es-CL"/>
        </w:rPr>
        <w:t>Posteriormente, describió las características del Modelo de Gestión del Cumplimiento Tributario, del siguiente modo:</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 xml:space="preserve">- Se establecen los </w:t>
      </w:r>
      <w:r>
        <w:rPr>
          <w:rFonts w:eastAsia="Arial Unicode MS" w:cs="Arial Unicode MS"/>
          <w:bCs/>
          <w:color w:val="000000"/>
          <w:u w:color="000000"/>
          <w:bdr w:val="nil"/>
          <w:lang w:val="es-ES_tradnl" w:eastAsia="es-CL"/>
        </w:rPr>
        <w:t>Segmentos Relevantes del Sistema Tributario</w:t>
      </w:r>
      <w:r>
        <w:rPr>
          <w:rFonts w:eastAsia="Arial Unicode MS" w:cs="Arial Unicode MS"/>
          <w:b w:val="0"/>
          <w:color w:val="000000"/>
          <w:u w:color="000000"/>
          <w:bdr w:val="nil"/>
          <w:lang w:val="es-ES_tradnl" w:eastAsia="es-CL"/>
        </w:rPr>
        <w:t>: i) se caracterizan los segmentos que explican una parte relevante del sistema tributario; ii) se identifican las causas que están detrás del incumplimiento, de acuerdo al segmento; iii) se define la curva de riesgos y tratamientos específicos para cada uno de ellos y iv) se aplican los tratamientos estructurales, preventivos y correctivos.</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Unicode MS" w:cs="Arial Unicode MS"/>
          <w:b w:val="0"/>
          <w:color w:val="000000"/>
          <w:u w:color="000000"/>
          <w:bdr w:val="nil"/>
          <w:lang w:val="es-ES_tradnl" w:eastAsia="es-CL"/>
        </w:rPr>
      </w:pPr>
      <w:r>
        <w:rPr>
          <w:rFonts w:eastAsia="Arial Unicode MS" w:cs="Arial Unicode MS"/>
          <w:b w:val="0"/>
          <w:color w:val="000000"/>
          <w:u w:color="000000"/>
          <w:bdr w:val="nil"/>
          <w:lang w:val="es-ES_tradnl" w:eastAsia="es-CL"/>
        </w:rPr>
        <w:tab/>
        <w:t xml:space="preserve">- Se establecen los </w:t>
      </w:r>
      <w:r>
        <w:rPr>
          <w:rFonts w:eastAsia="Arial Unicode MS" w:cs="Arial Unicode MS"/>
          <w:bCs/>
          <w:color w:val="000000"/>
          <w:u w:color="000000"/>
          <w:bdr w:val="nil"/>
          <w:lang w:val="es-ES_tradnl" w:eastAsia="es-CL"/>
        </w:rPr>
        <w:t xml:space="preserve">Indicadores de Brecha Tributaria Operacional sobre </w:t>
      </w:r>
      <w:r>
        <w:rPr>
          <w:rFonts w:eastAsia="Arial Unicode MS" w:cs="Arial Unicode MS"/>
          <w:b w:val="0"/>
          <w:color w:val="000000"/>
          <w:u w:color="000000"/>
          <w:bdr w:val="nil"/>
          <w:lang w:val="es-ES_tradnl" w:eastAsia="es-CL"/>
        </w:rPr>
        <w:t>esos segmentos: i) se calculan las brechas para las 4 obligaciones esenciales del sistema: Registros de contribuyentes, entrega de información, declaración y pago de las obligaciones tributarias y ii) se disponen metas estratégicas de largo plazo, y operativas de corto plazo, para reducir las brechas de incumplimiento en las 4 obligaciones.</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El impacto final de reducir las brechas de incumplimiento es reducir los niveles de evasión</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 xml:space="preserve">- Se establecen </w:t>
      </w:r>
      <w:r>
        <w:rPr>
          <w:rFonts w:eastAsia="Arial Unicode MS" w:cs="Arial Unicode MS"/>
          <w:bCs/>
          <w:color w:val="000000"/>
          <w:u w:color="000000"/>
          <w:bdr w:val="nil"/>
          <w:lang w:val="es-ES_tradnl" w:eastAsia="es-CL"/>
        </w:rPr>
        <w:t>Planes de tratamiento</w:t>
      </w:r>
      <w:r>
        <w:rPr>
          <w:rFonts w:eastAsia="Arial Unicode MS" w:cs="Arial Unicode MS"/>
          <w:b w:val="0"/>
          <w:color w:val="000000"/>
          <w:u w:color="000000"/>
          <w:bdr w:val="nil"/>
          <w:lang w:val="es-ES_tradnl" w:eastAsia="es-CL"/>
        </w:rPr>
        <w:t xml:space="preserve"> para cada segmento o brecha: i) estos planes contienen </w:t>
      </w:r>
      <w:r>
        <w:rPr>
          <w:rFonts w:eastAsia="Arial Unicode MS" w:cs="Arial Unicode MS"/>
          <w:bCs/>
          <w:color w:val="000000"/>
          <w:u w:color="000000"/>
          <w:bdr w:val="nil"/>
          <w:lang w:val="es-ES_tradnl" w:eastAsia="es-CL"/>
        </w:rPr>
        <w:t>Acciones estructurales</w:t>
      </w:r>
      <w:r>
        <w:rPr>
          <w:rFonts w:eastAsia="Arial Unicode MS" w:cs="Arial Unicode MS"/>
          <w:b w:val="0"/>
          <w:color w:val="000000"/>
          <w:u w:color="000000"/>
          <w:bdr w:val="nil"/>
          <w:lang w:val="es-ES_tradnl" w:eastAsia="es-CL"/>
        </w:rPr>
        <w:t xml:space="preserve"> (nuevas obligaciones, cambios en formularios, propuesta de declaraciones, etc.), </w:t>
      </w:r>
      <w:r>
        <w:rPr>
          <w:rFonts w:eastAsia="Arial Unicode MS" w:cs="Arial Unicode MS"/>
          <w:bCs/>
          <w:color w:val="000000"/>
          <w:u w:color="000000"/>
          <w:bdr w:val="nil"/>
          <w:lang w:val="es-ES_tradnl" w:eastAsia="es-CL"/>
        </w:rPr>
        <w:t>Acciones preventivas y disuasivas</w:t>
      </w:r>
      <w:r>
        <w:rPr>
          <w:rFonts w:eastAsia="Arial Unicode MS" w:cs="Arial Unicode MS"/>
          <w:b w:val="0"/>
          <w:color w:val="000000"/>
          <w:u w:color="000000"/>
          <w:bdr w:val="nil"/>
          <w:lang w:val="es-ES_tradnl" w:eastAsia="es-CL"/>
        </w:rPr>
        <w:t xml:space="preserve"> (campañas comunicacionales, alertas electrónicas y charlas a los segmentos identificados, para difundir las brechas y acordar contratos de adhesión voluntarios), </w:t>
      </w:r>
      <w:r>
        <w:rPr>
          <w:rFonts w:eastAsia="Arial Unicode MS" w:cs="Arial Unicode MS"/>
          <w:color w:val="000000"/>
          <w:u w:color="000000"/>
          <w:bdr w:val="nil"/>
          <w:lang w:val="es-ES_tradnl" w:eastAsia="es-CL"/>
        </w:rPr>
        <w:t>Acciones Correctivas</w:t>
      </w:r>
      <w:r>
        <w:rPr>
          <w:rFonts w:eastAsia="Arial Unicode MS" w:cs="Arial Unicode MS"/>
          <w:b w:val="0"/>
          <w:color w:val="000000"/>
          <w:u w:color="000000"/>
          <w:bdr w:val="nil"/>
          <w:lang w:val="es-ES_tradnl" w:eastAsia="es-CL"/>
        </w:rPr>
        <w:t xml:space="preserve"> (revisiones masivas,  selectivas, etc.).</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 xml:space="preserve">El tratamiento es </w:t>
      </w:r>
      <w:r>
        <w:rPr>
          <w:rFonts w:eastAsia="Arial Unicode MS" w:cs="Arial Unicode MS"/>
          <w:b w:val="0"/>
          <w:bCs/>
          <w:color w:val="000000"/>
          <w:u w:color="000000"/>
          <w:bdr w:val="nil"/>
          <w:lang w:val="es-ES_tradnl" w:eastAsia="es-CL"/>
        </w:rPr>
        <w:t>proporcional al comportamiento tributario</w:t>
      </w:r>
      <w:r>
        <w:rPr>
          <w:rFonts w:eastAsia="Arial Unicode MS" w:cs="Arial Unicode MS"/>
          <w:b w:val="0"/>
          <w:color w:val="000000"/>
          <w:u w:color="000000"/>
          <w:bdr w:val="nil"/>
          <w:lang w:val="es-ES_tradnl" w:eastAsia="es-CL"/>
        </w:rPr>
        <w:t>. A mejor perfil de cumplimiento: servicios, apoyo, orientación, plataformas dedicadas, capacitación. Para perfiles deteriorados se aplica un enfoque escalonado: mensajería exhaustiva, revisiones de riesgo remotas, revisiones de riesgo en terreno y en oficina, verificaciones de cumplimiento masivas y auditorias.</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 xml:space="preserve">En el futuro se avanzará sustancialmente en la automatización de  la estimación de los riesgos y definición de los tratamientos para cada segmento identificado. </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w:b w:val="0"/>
          <w:color w:val="000000"/>
          <w:u w:color="000000"/>
          <w:bdr w:val="nil"/>
          <w:lang w:val="es-ES_tradnl" w:eastAsia="es-CL"/>
        </w:rPr>
        <w:tab/>
        <w:t xml:space="preserve">Posteriormente, describió el esquema del </w:t>
      </w:r>
      <w:r>
        <w:rPr>
          <w:rFonts w:eastAsia="Arial Unicode MS" w:cs="Arial Unicode MS"/>
          <w:b w:val="0"/>
          <w:bCs/>
          <w:color w:val="000000"/>
          <w:u w:color="000000"/>
          <w:bdr w:val="nil"/>
          <w:lang w:val="es-ES_tradnl" w:eastAsia="es-CL"/>
        </w:rPr>
        <w:t>Plan de Gestión del Cumplimiento Tributario, a través de la siguiente lámina.</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w:b w:val="0"/>
          <w:noProof/>
          <w:color w:val="000000"/>
          <w:u w:color="000000"/>
          <w:bdr w:val="nil"/>
          <w:lang w:eastAsia="es-CL"/>
        </w:rPr>
        <w:pict>
          <v:shape id="_x0000_i1039" type="#_x0000_t75" style="width:413.15pt;height:255.7pt;visibility:visible">
            <v:imagedata r:id="rId22" o:title=""/>
          </v:shape>
        </w:pic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Unicode MS" w:cs="Arial Unicode MS"/>
          <w:bCs/>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Cs/>
          <w:color w:val="000000"/>
          <w:u w:color="000000"/>
          <w:bdr w:val="nil"/>
          <w:lang w:val="es-ES_tradnl" w:eastAsia="es-CL"/>
        </w:rPr>
        <w:tab/>
      </w:r>
      <w:r>
        <w:rPr>
          <w:rFonts w:eastAsia="Arial Unicode MS" w:cs="Arial Unicode MS"/>
          <w:b w:val="0"/>
          <w:bCs/>
          <w:color w:val="000000"/>
          <w:u w:color="000000"/>
          <w:bdr w:val="nil"/>
          <w:lang w:val="es-ES_tradnl" w:eastAsia="es-CL"/>
        </w:rPr>
        <w:t>En seguida, explicó las acciones de tratamiento preventivas y correctivas desarrolladas en el año en curso.</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Unicode MS" w:cs="Arial Unicode MS"/>
          <w:b w:val="0"/>
          <w:color w:val="000000"/>
          <w:u w:color="000000"/>
          <w:bdr w:val="nil"/>
          <w:lang w:val="es-ES_tradnl" w:eastAsia="es-CL"/>
        </w:rPr>
      </w:pPr>
      <w:r>
        <w:rPr>
          <w:rFonts w:eastAsia="Arial Unicode MS" w:cs="Arial Unicode MS"/>
          <w:b w:val="0"/>
          <w:color w:val="000000"/>
          <w:u w:color="000000"/>
          <w:bdr w:val="nil"/>
          <w:lang w:val="es-ES_tradnl" w:eastAsia="es-CL"/>
        </w:rPr>
        <w:tab/>
      </w:r>
      <w:r>
        <w:rPr>
          <w:rFonts w:eastAsia="Arial Unicode MS" w:cs="Arial Unicode MS"/>
          <w:color w:val="000000"/>
          <w:u w:color="000000"/>
          <w:bdr w:val="nil"/>
          <w:lang w:val="es-ES_tradnl" w:eastAsia="es-CL"/>
        </w:rPr>
        <w:t>Acciones NO PRESENCIALES</w:t>
      </w:r>
      <w:r>
        <w:rPr>
          <w:rFonts w:eastAsia="Arial Unicode MS" w:cs="Arial Unicode MS"/>
          <w:b w:val="0"/>
          <w:color w:val="000000"/>
          <w:u w:color="000000"/>
          <w:bdr w:val="nil"/>
          <w:lang w:val="es-ES_tradnl" w:eastAsia="es-CL"/>
        </w:rPr>
        <w:t>:</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Unicode MS" w:cs="Arial Unicode MS"/>
          <w:b w:val="0"/>
          <w:color w:val="000000"/>
          <w:u w:color="000000"/>
          <w:bdr w:val="nil"/>
          <w:lang w:val="es-ES_tradnl" w:eastAsia="es-CL"/>
        </w:rPr>
      </w:pPr>
      <w:r>
        <w:rPr>
          <w:rFonts w:eastAsia="Arial Unicode MS" w:cs="Arial Unicode MS"/>
          <w:b w:val="0"/>
          <w:color w:val="000000"/>
          <w:u w:color="000000"/>
          <w:bdr w:val="nil"/>
          <w:lang w:val="es-ES_tradnl" w:eastAsia="es-CL"/>
        </w:rPr>
        <w:tab/>
        <w:t>- 3.000.000 mensajes emergentes para contribuyentes que interactúen con página web del SII, para informar sobre obligaciones tributarias o incumplimientos específicos.</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Unicode MS" w:cs="Arial Unicode MS"/>
          <w:b w:val="0"/>
          <w:color w:val="000000"/>
          <w:u w:color="000000"/>
          <w:bdr w:val="nil"/>
          <w:lang w:val="es-ES_tradnl" w:eastAsia="es-CL"/>
        </w:rPr>
      </w:pPr>
      <w:r>
        <w:rPr>
          <w:rFonts w:eastAsia="Arial Unicode MS" w:cs="Arial Unicode MS"/>
          <w:b w:val="0"/>
          <w:color w:val="000000"/>
          <w:u w:color="000000"/>
          <w:bdr w:val="nil"/>
          <w:lang w:val="es-ES_tradnl" w:eastAsia="es-CL"/>
        </w:rPr>
        <w:tab/>
        <w:t>- 800.000 avisos electrónicos para recordar incumplimientos pendientes.</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Unicode MS" w:cs="Arial Unicode MS"/>
          <w:b w:val="0"/>
          <w:color w:val="000000"/>
          <w:u w:color="000000"/>
          <w:bdr w:val="nil"/>
          <w:lang w:val="es-ES_tradnl" w:eastAsia="es-CL"/>
        </w:rPr>
      </w:pPr>
      <w:r>
        <w:rPr>
          <w:rFonts w:eastAsia="Arial Unicode MS" w:cs="Arial Unicode MS"/>
          <w:b w:val="0"/>
          <w:color w:val="000000"/>
          <w:u w:color="000000"/>
          <w:bdr w:val="nil"/>
          <w:lang w:val="es-ES_tradnl" w:eastAsia="es-CL"/>
        </w:rPr>
        <w:tab/>
        <w:t>- 200.000 controles remotos de inconsistencias en declaraciones de renta a contribuyentes de bajo riesgo, para que sean solucionadas por Internet.</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 xml:space="preserve">- 10.000 revisiones de riesgo de incumplimiento tributario. </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Unicode MS" w:cs="Arial Unicode MS"/>
          <w:color w:val="000000"/>
          <w:u w:color="000000"/>
          <w:bdr w:val="nil"/>
          <w:lang w:val="es-ES_tradnl" w:eastAsia="es-CL"/>
        </w:rPr>
      </w:pPr>
      <w:r>
        <w:rPr>
          <w:rFonts w:eastAsia="Arial Unicode MS" w:cs="Arial Unicode MS"/>
          <w:b w:val="0"/>
          <w:color w:val="000000"/>
          <w:u w:color="000000"/>
          <w:bdr w:val="nil"/>
          <w:lang w:val="es-ES_tradnl" w:eastAsia="es-CL"/>
        </w:rPr>
        <w:tab/>
      </w:r>
      <w:r>
        <w:rPr>
          <w:rFonts w:eastAsia="Arial Unicode MS" w:cs="Arial Unicode MS"/>
          <w:color w:val="000000"/>
          <w:u w:color="000000"/>
          <w:bdr w:val="nil"/>
          <w:lang w:val="es-ES_tradnl" w:eastAsia="es-CL"/>
        </w:rPr>
        <w:t>Acciones PRESENCIALES</w:t>
      </w:r>
    </w:p>
    <w:p>
      <w:pPr>
        <w:pBdr>
          <w:top w:val="nil"/>
          <w:left w:val="nil"/>
          <w:bottom w:val="nil"/>
          <w:right w:val="nil"/>
          <w:between w:val="nil"/>
          <w:bar w:val="nil"/>
        </w:pBdr>
        <w:rPr>
          <w:rFonts w:eastAsia="Arial"/>
          <w:color w:val="000000"/>
          <w:u w:color="000000"/>
          <w:bdr w:val="nil"/>
          <w:lang w:val="es-ES_tradnl" w:eastAsia="es-CL"/>
        </w:rPr>
      </w:pPr>
    </w:p>
    <w:p>
      <w:pPr>
        <w:pBdr>
          <w:top w:val="nil"/>
          <w:left w:val="nil"/>
          <w:bottom w:val="nil"/>
          <w:right w:val="nil"/>
          <w:between w:val="nil"/>
          <w:bar w:val="nil"/>
        </w:pBdr>
        <w:rPr>
          <w:rFonts w:eastAsia="Arial Unicode MS" w:cs="Arial Unicode MS"/>
          <w:b w:val="0"/>
          <w:color w:val="000000"/>
          <w:u w:color="000000"/>
          <w:bdr w:val="nil"/>
          <w:lang w:val="es-ES_tradnl" w:eastAsia="es-CL"/>
        </w:rPr>
      </w:pPr>
      <w:r>
        <w:rPr>
          <w:rFonts w:eastAsia="Arial Unicode MS" w:cs="Arial Unicode MS"/>
          <w:b w:val="0"/>
          <w:color w:val="000000"/>
          <w:u w:color="000000"/>
          <w:bdr w:val="nil"/>
          <w:lang w:val="es-ES_tradnl" w:eastAsia="es-CL"/>
        </w:rPr>
        <w:tab/>
        <w:t>- 350.000 verificaciones de cumplimiento tributario en terreno.</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Unicode MS" w:cs="Arial Unicode MS"/>
          <w:b w:val="0"/>
          <w:color w:val="000000"/>
          <w:u w:color="000000"/>
          <w:bdr w:val="nil"/>
          <w:lang w:val="es-ES_tradnl" w:eastAsia="es-CL"/>
        </w:rPr>
      </w:pPr>
      <w:r>
        <w:rPr>
          <w:rFonts w:eastAsia="Arial Unicode MS" w:cs="Arial Unicode MS"/>
          <w:b w:val="0"/>
          <w:color w:val="000000"/>
          <w:u w:color="000000"/>
          <w:bdr w:val="nil"/>
          <w:lang w:val="es-ES_tradnl" w:eastAsia="es-CL"/>
        </w:rPr>
        <w:tab/>
        <w:t>- 3.000 revisiones presenciales de riesgo.</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Unicode MS" w:cs="Arial Unicode MS"/>
          <w:b w:val="0"/>
          <w:color w:val="000000"/>
          <w:u w:color="000000"/>
          <w:bdr w:val="nil"/>
          <w:lang w:val="es-ES_tradnl" w:eastAsia="es-CL"/>
        </w:rPr>
      </w:pPr>
      <w:r>
        <w:rPr>
          <w:rFonts w:eastAsia="Arial Unicode MS" w:cs="Arial Unicode MS"/>
          <w:b w:val="0"/>
          <w:color w:val="000000"/>
          <w:u w:color="000000"/>
          <w:bdr w:val="nil"/>
          <w:lang w:val="es-ES_tradnl" w:eastAsia="es-CL"/>
        </w:rPr>
        <w:tab/>
        <w:t>- 150.000 revisiones de cumplimiento para el impuesto de Renta y de IVA (Planes masivos).</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- 4.200 auditorías para los contribuyentes de más alto riesgo.</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color w:val="000000"/>
          <w:u w:color="000000"/>
          <w:bdr w:val="nil"/>
          <w:lang w:val="es-ES_tradnl" w:eastAsia="es-CL"/>
        </w:rPr>
      </w:pPr>
      <w:r>
        <w:rPr>
          <w:rFonts w:eastAsia="Arial"/>
          <w:b w:val="0"/>
          <w:color w:val="000000"/>
          <w:u w:color="000000"/>
          <w:bdr w:val="nil"/>
          <w:lang w:val="es-ES_tradnl" w:eastAsia="es-CL"/>
        </w:rPr>
        <w:tab/>
      </w:r>
      <w:r>
        <w:rPr>
          <w:rFonts w:eastAsia="Arial"/>
          <w:color w:val="000000"/>
          <w:u w:color="000000"/>
          <w:bdr w:val="nil"/>
          <w:lang w:val="es-ES_tradnl" w:eastAsia="es-CL"/>
        </w:rPr>
        <w:t>VI. Fiscalización y cumplimiento tributario</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Unicode MS" w:cs="Arial Unicode MS"/>
          <w:b w:val="0"/>
          <w:color w:val="000000"/>
          <w:u w:color="000000"/>
          <w:bdr w:val="nil"/>
          <w:lang w:val="es-ES_tradnl" w:eastAsia="es-CL"/>
        </w:rPr>
      </w:pPr>
      <w:r>
        <w:rPr>
          <w:rFonts w:eastAsia="Arial Unicode MS" w:cs="Arial Unicode MS"/>
          <w:b w:val="0"/>
          <w:bCs/>
          <w:color w:val="000000"/>
          <w:u w:color="000000"/>
          <w:bdr w:val="nil"/>
          <w:lang w:val="es-ES_tradnl" w:eastAsia="es-CL"/>
        </w:rPr>
        <w:tab/>
        <w:t xml:space="preserve">Inició el análisis de este acápite, con la explicación sobre los </w:t>
      </w:r>
      <w:r>
        <w:rPr>
          <w:rFonts w:eastAsia="Arial Unicode MS" w:cs="Arial Unicode MS"/>
          <w:b w:val="0"/>
          <w:color w:val="000000"/>
          <w:u w:color="000000"/>
          <w:bdr w:val="nil"/>
          <w:lang w:val="es-ES_tradnl" w:eastAsia="es-CL"/>
        </w:rPr>
        <w:t>Indicadores de Acción Institucional y sus resultados, mediante el esquema que a continuación se presenta.</w:t>
      </w:r>
    </w:p>
    <w:p>
      <w:pPr>
        <w:pBdr>
          <w:top w:val="nil"/>
          <w:left w:val="nil"/>
          <w:bottom w:val="nil"/>
          <w:right w:val="nil"/>
          <w:between w:val="nil"/>
          <w:bar w:val="nil"/>
        </w:pBdr>
        <w:rPr>
          <w:rFonts w:eastAsia="Arial Unicode MS" w:cs="Arial Unicode MS"/>
          <w:b w:val="0"/>
          <w:color w:val="000000"/>
          <w:u w:color="000000"/>
          <w:bdr w:val="nil"/>
          <w:lang w:val="es-ES_tradnl" w:eastAsia="es-CL"/>
        </w:rPr>
      </w:pPr>
    </w:p>
    <w:tbl>
      <w:tblPr>
        <w:tblW w:w="8944" w:type="dxa"/>
        <w:jc w:val="center"/>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5670"/>
        <w:gridCol w:w="1636"/>
        <w:gridCol w:w="1638"/>
      </w:tblGrid>
      <w:tr>
        <w:tblPrEx>
          <w:tblCellMar>
            <w:top w:w="0" w:type="dxa"/>
            <w:left w:w="0" w:type="dxa"/>
            <w:bottom w:w="0" w:type="dxa"/>
            <w:right w:w="0" w:type="dxa"/>
          </w:tblCellMar>
        </w:tblPrEx>
        <w:trPr>
          <w:trHeight w:val="257"/>
          <w:jc w:val="center"/>
        </w:trPr>
        <w:tc>
          <w:tcPr>
            <w:tcW w:w="8943" w:type="dxa"/>
            <w:gridSpan w:val="3"/>
            <w:tcBorders>
              <w:top w:val="nil"/>
              <w:left w:val="nil"/>
              <w:bottom w:val="nil"/>
              <w:right w:val="nil"/>
            </w:tcBorders>
            <w:shd w:val="clear" w:color="auto" w:fill="auto"/>
            <w:tcMar>
              <w:top w:w="80" w:type="dxa"/>
              <w:left w:w="80" w:type="dxa"/>
              <w:bottom w:w="80" w:type="dxa"/>
              <w:right w:w="80" w:type="dxa"/>
            </w:tcMar>
            <w:vAlign w:val="bottom"/>
          </w:tcPr>
          <w:p>
            <w:pPr>
              <w:pBdr>
                <w:top w:val="nil"/>
                <w:left w:val="nil"/>
                <w:bottom w:val="nil"/>
                <w:right w:val="nil"/>
                <w:between w:val="nil"/>
                <w:bar w:val="nil"/>
              </w:pBdr>
              <w:rPr>
                <w:rFonts w:eastAsia="Arial"/>
                <w:b w:val="0"/>
                <w:color w:val="000000"/>
                <w:u w:color="000000"/>
                <w:bdr w:val="nil"/>
                <w:lang w:val="es-ES_tradnl" w:eastAsia="es-CL"/>
              </w:rPr>
            </w:pPr>
          </w:p>
        </w:tc>
      </w:tr>
      <w:tr>
        <w:tblPrEx>
          <w:tblCellMar>
            <w:top w:w="0" w:type="dxa"/>
            <w:left w:w="0" w:type="dxa"/>
            <w:bottom w:w="0" w:type="dxa"/>
            <w:right w:w="0" w:type="dxa"/>
          </w:tblCellMar>
        </w:tblPrEx>
        <w:trPr>
          <w:trHeight w:val="909"/>
          <w:jc w:val="center"/>
        </w:trPr>
        <w:tc>
          <w:tcPr>
            <w:tcW w:w="5670" w:type="dxa"/>
            <w:tcBorders>
              <w:top w:val="nil"/>
              <w:left w:val="single" w:sz="8" w:space="0" w:color="FFFFFF"/>
              <w:bottom w:val="single" w:sz="8" w:space="0" w:color="FFFFFF"/>
              <w:right w:val="single" w:sz="8" w:space="0" w:color="FFFFFF"/>
            </w:tcBorders>
            <w:shd w:val="clear" w:color="auto" w:fill="B9CDE5"/>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20"/>
                <w:szCs w:val="20"/>
                <w:u w:color="000000"/>
                <w:bdr w:val="nil"/>
                <w:lang w:val="es-ES_tradnl" w:eastAsia="es-CL"/>
              </w:rPr>
            </w:pPr>
            <w:r>
              <w:rPr>
                <w:rFonts w:eastAsia="Arial"/>
                <w:bCs/>
                <w:color w:val="0070C0"/>
                <w:kern w:val="24"/>
                <w:sz w:val="20"/>
                <w:szCs w:val="20"/>
                <w:u w:color="0070C0"/>
                <w:bdr w:val="nil"/>
                <w:lang w:val="es-ES_tradnl" w:eastAsia="es-CL"/>
              </w:rPr>
              <w:t>Indicadores de acción Institucional</w:t>
            </w:r>
          </w:p>
        </w:tc>
        <w:tc>
          <w:tcPr>
            <w:tcW w:w="1636" w:type="dxa"/>
            <w:tcBorders>
              <w:top w:val="single" w:sz="8" w:space="0" w:color="FFFFFF"/>
              <w:left w:val="single" w:sz="8" w:space="0" w:color="FFFFFF"/>
              <w:bottom w:val="single" w:sz="8" w:space="0" w:color="FFFFFF"/>
              <w:right w:val="single" w:sz="8" w:space="0" w:color="FFFFFF"/>
            </w:tcBorders>
            <w:shd w:val="clear" w:color="auto" w:fill="B9CDE5"/>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20"/>
                <w:szCs w:val="20"/>
                <w:u w:color="000000"/>
                <w:bdr w:val="nil"/>
                <w:lang w:val="es-ES_tradnl" w:eastAsia="es-CL"/>
              </w:rPr>
            </w:pPr>
            <w:r>
              <w:rPr>
                <w:rFonts w:eastAsia="Arial"/>
                <w:bCs/>
                <w:color w:val="0070C0"/>
                <w:kern w:val="24"/>
                <w:sz w:val="20"/>
                <w:szCs w:val="20"/>
                <w:u w:color="0070C0"/>
                <w:bdr w:val="nil"/>
                <w:lang w:val="es-ES_tradnl" w:eastAsia="es-CL"/>
              </w:rPr>
              <w:t>Resultado a Agosto</w:t>
            </w:r>
          </w:p>
          <w:p>
            <w:pPr>
              <w:pBdr>
                <w:top w:val="nil"/>
                <w:left w:val="nil"/>
                <w:bottom w:val="nil"/>
                <w:right w:val="nil"/>
                <w:between w:val="nil"/>
                <w:bar w:val="nil"/>
              </w:pBdr>
              <w:tabs>
                <w:tab w:val="clear" w:pos="2835"/>
              </w:tabs>
              <w:jc w:val="center"/>
              <w:rPr>
                <w:rFonts w:eastAsia="Arial"/>
                <w:b w:val="0"/>
                <w:color w:val="000000"/>
                <w:sz w:val="20"/>
                <w:szCs w:val="20"/>
                <w:u w:color="000000"/>
                <w:bdr w:val="nil"/>
                <w:lang w:val="es-ES_tradnl" w:eastAsia="es-CL"/>
              </w:rPr>
            </w:pPr>
            <w:r>
              <w:rPr>
                <w:rFonts w:eastAsia="Arial"/>
                <w:bCs/>
                <w:color w:val="0070C0"/>
                <w:kern w:val="24"/>
                <w:sz w:val="20"/>
                <w:szCs w:val="20"/>
                <w:u w:color="0070C0"/>
                <w:bdr w:val="nil"/>
                <w:lang w:val="es-ES_tradnl" w:eastAsia="es-CL"/>
              </w:rPr>
              <w:t>2016</w:t>
            </w:r>
          </w:p>
        </w:tc>
        <w:tc>
          <w:tcPr>
            <w:tcW w:w="1638" w:type="dxa"/>
            <w:tcBorders>
              <w:top w:val="single" w:sz="8" w:space="0" w:color="FFFFFF"/>
              <w:left w:val="single" w:sz="8" w:space="0" w:color="FFFFFF"/>
              <w:bottom w:val="single" w:sz="8" w:space="0" w:color="FFFFFF"/>
              <w:right w:val="single" w:sz="8" w:space="0" w:color="FFFFFF"/>
            </w:tcBorders>
            <w:shd w:val="clear" w:color="auto" w:fill="B9CDE5"/>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20"/>
                <w:szCs w:val="20"/>
                <w:u w:color="000000"/>
                <w:bdr w:val="nil"/>
                <w:lang w:val="es-ES_tradnl" w:eastAsia="es-CL"/>
              </w:rPr>
            </w:pPr>
            <w:r>
              <w:rPr>
                <w:rFonts w:eastAsia="Arial"/>
                <w:bCs/>
                <w:color w:val="0070C0"/>
                <w:kern w:val="24"/>
                <w:sz w:val="20"/>
                <w:szCs w:val="20"/>
                <w:u w:color="0070C0"/>
                <w:bdr w:val="nil"/>
                <w:lang w:val="es-ES_tradnl" w:eastAsia="es-CL"/>
              </w:rPr>
              <w:t>Valor Esperado Año</w:t>
            </w:r>
          </w:p>
        </w:tc>
      </w:tr>
      <w:tr>
        <w:tblPrEx>
          <w:tblCellMar>
            <w:top w:w="0" w:type="dxa"/>
            <w:left w:w="0" w:type="dxa"/>
            <w:bottom w:w="0" w:type="dxa"/>
            <w:right w:w="0" w:type="dxa"/>
          </w:tblCellMar>
        </w:tblPrEx>
        <w:trPr>
          <w:trHeight w:val="1048"/>
          <w:jc w:val="center"/>
        </w:trPr>
        <w:tc>
          <w:tcPr>
            <w:tcW w:w="5670"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rPr>
                <w:rFonts w:eastAsia="Arial"/>
                <w:b w:val="0"/>
                <w:color w:val="000000"/>
                <w:sz w:val="20"/>
                <w:szCs w:val="20"/>
                <w:u w:color="000000"/>
                <w:bdr w:val="nil"/>
                <w:lang w:val="es-ES_tradnl" w:eastAsia="es-CL"/>
              </w:rPr>
            </w:pPr>
            <w:r>
              <w:rPr>
                <w:rFonts w:eastAsia="Arial"/>
                <w:b w:val="0"/>
                <w:color w:val="0070C0"/>
                <w:kern w:val="24"/>
                <w:sz w:val="20"/>
                <w:szCs w:val="20"/>
                <w:u w:color="0070C0"/>
                <w:bdr w:val="nil"/>
                <w:lang w:val="es-ES_tradnl" w:eastAsia="es-CL"/>
              </w:rPr>
              <w:t>Porcentaje de Recaudación Total de Impuestos efectiva</w:t>
            </w:r>
          </w:p>
        </w:tc>
        <w:tc>
          <w:tcPr>
            <w:tcW w:w="1636"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20"/>
                <w:szCs w:val="20"/>
                <w:u w:color="000000"/>
                <w:bdr w:val="nil"/>
                <w:lang w:val="es-ES_tradnl" w:eastAsia="es-CL"/>
              </w:rPr>
            </w:pPr>
            <w:r>
              <w:rPr>
                <w:rFonts w:eastAsia="Arial"/>
                <w:b w:val="0"/>
                <w:color w:val="0070C0"/>
                <w:kern w:val="24"/>
                <w:sz w:val="20"/>
                <w:szCs w:val="20"/>
                <w:u w:color="0070C0"/>
                <w:bdr w:val="nil"/>
                <w:lang w:val="es-ES_tradnl" w:eastAsia="es-CL"/>
              </w:rPr>
              <w:t>69,3%</w:t>
            </w:r>
          </w:p>
        </w:tc>
        <w:tc>
          <w:tcPr>
            <w:tcW w:w="1638"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20"/>
                <w:szCs w:val="20"/>
                <w:u w:color="000000"/>
                <w:bdr w:val="nil"/>
                <w:lang w:val="es-ES_tradnl" w:eastAsia="es-CL"/>
              </w:rPr>
            </w:pPr>
            <w:r>
              <w:rPr>
                <w:rFonts w:eastAsia="Arial"/>
                <w:b w:val="0"/>
                <w:color w:val="0070C0"/>
                <w:kern w:val="24"/>
                <w:sz w:val="20"/>
                <w:szCs w:val="20"/>
                <w:u w:color="0070C0"/>
                <w:bdr w:val="nil"/>
                <w:lang w:val="es-ES_tradnl" w:eastAsia="es-CL"/>
              </w:rPr>
              <w:t>100,0%</w:t>
            </w:r>
          </w:p>
        </w:tc>
      </w:tr>
      <w:tr>
        <w:tblPrEx>
          <w:tblCellMar>
            <w:top w:w="0" w:type="dxa"/>
            <w:left w:w="0" w:type="dxa"/>
            <w:bottom w:w="0" w:type="dxa"/>
            <w:right w:w="0" w:type="dxa"/>
          </w:tblCellMar>
        </w:tblPrEx>
        <w:trPr>
          <w:trHeight w:val="1048"/>
          <w:jc w:val="center"/>
        </w:trPr>
        <w:tc>
          <w:tcPr>
            <w:tcW w:w="5670"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rPr>
                <w:rFonts w:eastAsia="Arial"/>
                <w:b w:val="0"/>
                <w:color w:val="000000"/>
                <w:sz w:val="20"/>
                <w:szCs w:val="20"/>
                <w:u w:color="000000"/>
                <w:bdr w:val="nil"/>
                <w:lang w:val="es-ES_tradnl" w:eastAsia="es-CL"/>
              </w:rPr>
            </w:pPr>
            <w:r>
              <w:rPr>
                <w:rFonts w:eastAsia="Arial"/>
                <w:b w:val="0"/>
                <w:color w:val="0070C0"/>
                <w:kern w:val="24"/>
                <w:sz w:val="20"/>
                <w:szCs w:val="20"/>
                <w:u w:color="0070C0"/>
                <w:bdr w:val="nil"/>
                <w:lang w:val="es-ES_tradnl" w:eastAsia="es-CL"/>
              </w:rPr>
              <w:t>Porcentaje de cumplimiento de la cantidad de acciones equivalentes de controles presenciales al comercio establecido</w:t>
            </w:r>
          </w:p>
        </w:tc>
        <w:tc>
          <w:tcPr>
            <w:tcW w:w="1636"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20"/>
                <w:szCs w:val="20"/>
                <w:u w:color="000000"/>
                <w:bdr w:val="nil"/>
                <w:lang w:val="es-ES_tradnl" w:eastAsia="es-CL"/>
              </w:rPr>
            </w:pPr>
            <w:r>
              <w:rPr>
                <w:rFonts w:eastAsia="Arial"/>
                <w:b w:val="0"/>
                <w:color w:val="0070C0"/>
                <w:kern w:val="24"/>
                <w:sz w:val="20"/>
                <w:szCs w:val="20"/>
                <w:u w:color="0070C0"/>
                <w:bdr w:val="nil"/>
                <w:lang w:val="es-ES_tradnl" w:eastAsia="es-CL"/>
              </w:rPr>
              <w:t>72,5%</w:t>
            </w:r>
          </w:p>
        </w:tc>
        <w:tc>
          <w:tcPr>
            <w:tcW w:w="1638"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20"/>
                <w:szCs w:val="20"/>
                <w:u w:color="000000"/>
                <w:bdr w:val="nil"/>
                <w:lang w:val="es-ES_tradnl" w:eastAsia="es-CL"/>
              </w:rPr>
            </w:pPr>
            <w:r>
              <w:rPr>
                <w:rFonts w:eastAsia="Arial"/>
                <w:b w:val="0"/>
                <w:color w:val="0070C0"/>
                <w:kern w:val="24"/>
                <w:sz w:val="20"/>
                <w:szCs w:val="20"/>
                <w:u w:color="0070C0"/>
                <w:bdr w:val="nil"/>
                <w:lang w:val="es-ES_tradnl" w:eastAsia="es-CL"/>
              </w:rPr>
              <w:t>100,0%</w:t>
            </w:r>
          </w:p>
        </w:tc>
      </w:tr>
      <w:tr>
        <w:tblPrEx>
          <w:tblCellMar>
            <w:top w:w="0" w:type="dxa"/>
            <w:left w:w="0" w:type="dxa"/>
            <w:bottom w:w="0" w:type="dxa"/>
            <w:right w:w="0" w:type="dxa"/>
          </w:tblCellMar>
        </w:tblPrEx>
        <w:trPr>
          <w:trHeight w:val="1048"/>
          <w:jc w:val="center"/>
        </w:trPr>
        <w:tc>
          <w:tcPr>
            <w:tcW w:w="5670"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rPr>
                <w:rFonts w:eastAsia="Arial"/>
                <w:b w:val="0"/>
                <w:color w:val="000000"/>
                <w:sz w:val="20"/>
                <w:szCs w:val="20"/>
                <w:u w:color="000000"/>
                <w:bdr w:val="nil"/>
                <w:lang w:val="es-ES_tradnl" w:eastAsia="es-CL"/>
              </w:rPr>
            </w:pPr>
            <w:r>
              <w:rPr>
                <w:rFonts w:eastAsia="Arial"/>
                <w:b w:val="0"/>
                <w:color w:val="0070C0"/>
                <w:kern w:val="24"/>
                <w:sz w:val="20"/>
                <w:szCs w:val="20"/>
                <w:u w:color="0070C0"/>
                <w:bdr w:val="nil"/>
                <w:lang w:val="es-ES_tradnl" w:eastAsia="es-CL"/>
              </w:rPr>
              <w:t xml:space="preserve">Porcentaje de cumplimiento de la cantidad de acciones equivalentes de Fiscalización Selectiva </w:t>
            </w:r>
          </w:p>
        </w:tc>
        <w:tc>
          <w:tcPr>
            <w:tcW w:w="1636"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20"/>
                <w:szCs w:val="20"/>
                <w:u w:color="000000"/>
                <w:bdr w:val="nil"/>
                <w:lang w:val="es-ES_tradnl" w:eastAsia="es-CL"/>
              </w:rPr>
            </w:pPr>
            <w:r>
              <w:rPr>
                <w:rFonts w:eastAsia="Arial"/>
                <w:b w:val="0"/>
                <w:color w:val="0070C0"/>
                <w:kern w:val="24"/>
                <w:sz w:val="20"/>
                <w:szCs w:val="20"/>
                <w:u w:color="0070C0"/>
                <w:bdr w:val="nil"/>
                <w:lang w:val="es-ES_tradnl" w:eastAsia="es-CL"/>
              </w:rPr>
              <w:t>61,4%</w:t>
            </w:r>
          </w:p>
        </w:tc>
        <w:tc>
          <w:tcPr>
            <w:tcW w:w="1638"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20"/>
                <w:szCs w:val="20"/>
                <w:u w:color="000000"/>
                <w:bdr w:val="nil"/>
                <w:lang w:val="es-ES_tradnl" w:eastAsia="es-CL"/>
              </w:rPr>
            </w:pPr>
            <w:r>
              <w:rPr>
                <w:rFonts w:eastAsia="Arial"/>
                <w:b w:val="0"/>
                <w:color w:val="0070C0"/>
                <w:kern w:val="24"/>
                <w:sz w:val="20"/>
                <w:szCs w:val="20"/>
                <w:u w:color="0070C0"/>
                <w:bdr w:val="nil"/>
                <w:lang w:val="es-ES_tradnl" w:eastAsia="es-CL"/>
              </w:rPr>
              <w:t>100,0%</w:t>
            </w:r>
          </w:p>
        </w:tc>
      </w:tr>
      <w:tr>
        <w:tblPrEx>
          <w:tblCellMar>
            <w:top w:w="0" w:type="dxa"/>
            <w:left w:w="0" w:type="dxa"/>
            <w:bottom w:w="0" w:type="dxa"/>
            <w:right w:w="0" w:type="dxa"/>
          </w:tblCellMar>
        </w:tblPrEx>
        <w:trPr>
          <w:trHeight w:val="1048"/>
          <w:jc w:val="center"/>
        </w:trPr>
        <w:tc>
          <w:tcPr>
            <w:tcW w:w="5670"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rPr>
                <w:rFonts w:eastAsia="Arial"/>
                <w:b w:val="0"/>
                <w:color w:val="000000"/>
                <w:sz w:val="20"/>
                <w:szCs w:val="20"/>
                <w:u w:color="000000"/>
                <w:bdr w:val="nil"/>
                <w:lang w:val="es-ES_tradnl" w:eastAsia="es-CL"/>
              </w:rPr>
            </w:pPr>
            <w:r>
              <w:rPr>
                <w:rFonts w:eastAsia="Arial"/>
                <w:b w:val="0"/>
                <w:color w:val="0070C0"/>
                <w:kern w:val="24"/>
                <w:sz w:val="20"/>
                <w:szCs w:val="20"/>
                <w:u w:color="0070C0"/>
                <w:bdr w:val="nil"/>
                <w:lang w:val="es-ES_tradnl" w:eastAsia="es-CL"/>
              </w:rPr>
              <w:t>Cumplimiento del Plan Controles carreteros, terminales, etc.</w:t>
            </w:r>
          </w:p>
        </w:tc>
        <w:tc>
          <w:tcPr>
            <w:tcW w:w="1636"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20"/>
                <w:szCs w:val="20"/>
                <w:u w:color="000000"/>
                <w:bdr w:val="nil"/>
                <w:lang w:val="es-ES_tradnl" w:eastAsia="es-CL"/>
              </w:rPr>
            </w:pPr>
            <w:r>
              <w:rPr>
                <w:rFonts w:eastAsia="Arial"/>
                <w:b w:val="0"/>
                <w:color w:val="0070C0"/>
                <w:kern w:val="24"/>
                <w:sz w:val="20"/>
                <w:szCs w:val="20"/>
                <w:u w:color="0070C0"/>
                <w:bdr w:val="nil"/>
                <w:lang w:val="es-ES_tradnl" w:eastAsia="es-CL"/>
              </w:rPr>
              <w:t>132.363</w:t>
            </w:r>
          </w:p>
        </w:tc>
        <w:tc>
          <w:tcPr>
            <w:tcW w:w="1638"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20"/>
                <w:szCs w:val="20"/>
                <w:u w:color="000000"/>
                <w:bdr w:val="nil"/>
                <w:lang w:val="es-ES_tradnl" w:eastAsia="es-CL"/>
              </w:rPr>
            </w:pPr>
            <w:r>
              <w:rPr>
                <w:rFonts w:eastAsia="Arial"/>
                <w:b w:val="0"/>
                <w:color w:val="0070C0"/>
                <w:kern w:val="24"/>
                <w:sz w:val="20"/>
                <w:szCs w:val="20"/>
                <w:u w:color="0070C0"/>
                <w:bdr w:val="nil"/>
                <w:lang w:val="es-ES_tradnl" w:eastAsia="es-CL"/>
              </w:rPr>
              <w:t>196.295</w:t>
            </w:r>
          </w:p>
        </w:tc>
      </w:tr>
      <w:tr>
        <w:tblPrEx>
          <w:tblCellMar>
            <w:top w:w="0" w:type="dxa"/>
            <w:left w:w="0" w:type="dxa"/>
            <w:bottom w:w="0" w:type="dxa"/>
            <w:right w:w="0" w:type="dxa"/>
          </w:tblCellMar>
        </w:tblPrEx>
        <w:trPr>
          <w:trHeight w:val="1048"/>
          <w:jc w:val="center"/>
        </w:trPr>
        <w:tc>
          <w:tcPr>
            <w:tcW w:w="5670" w:type="dxa"/>
            <w:tcBorders>
              <w:top w:val="single" w:sz="8" w:space="0" w:color="FFFFFF"/>
              <w:left w:val="single" w:sz="8" w:space="0" w:color="FFFFFF"/>
              <w:bottom w:val="nil"/>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rPr>
                <w:rFonts w:eastAsia="Arial"/>
                <w:b w:val="0"/>
                <w:color w:val="000000"/>
                <w:sz w:val="20"/>
                <w:szCs w:val="20"/>
                <w:u w:color="000000"/>
                <w:bdr w:val="nil"/>
                <w:lang w:val="es-ES_tradnl" w:eastAsia="es-CL"/>
              </w:rPr>
            </w:pPr>
            <w:r>
              <w:rPr>
                <w:rFonts w:eastAsia="Arial"/>
                <w:b w:val="0"/>
                <w:color w:val="0070C0"/>
                <w:kern w:val="24"/>
                <w:sz w:val="20"/>
                <w:szCs w:val="20"/>
                <w:u w:color="0070C0"/>
                <w:bdr w:val="nil"/>
                <w:lang w:val="es-ES_tradnl" w:eastAsia="es-CL"/>
              </w:rPr>
              <w:t>Porcentaje de notificados que concurren a los procesos de IVA y Renta</w:t>
            </w:r>
          </w:p>
        </w:tc>
        <w:tc>
          <w:tcPr>
            <w:tcW w:w="1636" w:type="dxa"/>
            <w:tcBorders>
              <w:top w:val="single" w:sz="8" w:space="0" w:color="FFFFFF"/>
              <w:left w:val="single" w:sz="8" w:space="0" w:color="FFFFFF"/>
              <w:bottom w:val="nil"/>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20"/>
                <w:szCs w:val="20"/>
                <w:u w:color="000000"/>
                <w:bdr w:val="nil"/>
                <w:lang w:val="es-ES_tradnl" w:eastAsia="es-CL"/>
              </w:rPr>
            </w:pPr>
            <w:r>
              <w:rPr>
                <w:rFonts w:eastAsia="Arial"/>
                <w:b w:val="0"/>
                <w:color w:val="0070C0"/>
                <w:kern w:val="24"/>
                <w:sz w:val="20"/>
                <w:szCs w:val="20"/>
                <w:u w:color="0070C0"/>
                <w:bdr w:val="nil"/>
                <w:lang w:val="es-ES_tradnl" w:eastAsia="es-CL"/>
              </w:rPr>
              <w:t>33,2%</w:t>
            </w:r>
          </w:p>
        </w:tc>
        <w:tc>
          <w:tcPr>
            <w:tcW w:w="1638" w:type="dxa"/>
            <w:tcBorders>
              <w:top w:val="single" w:sz="8" w:space="0" w:color="FFFFFF"/>
              <w:left w:val="single" w:sz="8" w:space="0" w:color="FFFFFF"/>
              <w:bottom w:val="nil"/>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20"/>
                <w:szCs w:val="20"/>
                <w:u w:color="000000"/>
                <w:bdr w:val="nil"/>
                <w:lang w:val="es-ES_tradnl" w:eastAsia="es-CL"/>
              </w:rPr>
            </w:pPr>
            <w:r>
              <w:rPr>
                <w:rFonts w:eastAsia="Arial"/>
                <w:b w:val="0"/>
                <w:color w:val="0070C0"/>
                <w:kern w:val="24"/>
                <w:sz w:val="20"/>
                <w:szCs w:val="20"/>
                <w:u w:color="0070C0"/>
                <w:bdr w:val="nil"/>
                <w:lang w:val="es-ES_tradnl" w:eastAsia="es-CL"/>
              </w:rPr>
              <w:t>47,1%</w:t>
            </w:r>
          </w:p>
        </w:tc>
      </w:tr>
    </w:tbl>
    <w:p>
      <w:pPr>
        <w:pBdr>
          <w:top w:val="nil"/>
          <w:left w:val="nil"/>
          <w:bottom w:val="nil"/>
          <w:right w:val="nil"/>
          <w:between w:val="nil"/>
          <w:bar w:val="nil"/>
        </w:pBdr>
        <w:rPr>
          <w:rFonts w:eastAsia="Arial"/>
          <w:color w:val="000000"/>
          <w:u w:color="000000"/>
          <w:bdr w:val="nil"/>
          <w:lang w:val="es-ES_tradnl" w:eastAsia="es-CL"/>
        </w:rPr>
      </w:pPr>
      <w:r>
        <w:rPr>
          <w:rFonts w:eastAsia="Arial Unicode MS" w:cs="Arial Unicode MS"/>
          <w:color w:val="000000"/>
          <w:u w:color="000000"/>
          <w:bdr w:val="nil"/>
          <w:lang w:val="es-ES_tradnl" w:eastAsia="es-CL"/>
        </w:rPr>
        <w:t>Nota: Los indicadores señalados corresponden a mediciones de los instrumentos de gestión Formulario H o Convenio de Desempeño</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w:b w:val="0"/>
          <w:color w:val="000000"/>
          <w:u w:color="000000"/>
          <w:bdr w:val="nil"/>
          <w:lang w:val="es-ES_tradnl" w:eastAsia="es-CL"/>
        </w:rPr>
        <w:tab/>
        <w:t>Por otra parte, en lo que se refiere a la f</w:t>
      </w:r>
      <w:r>
        <w:rPr>
          <w:rFonts w:eastAsia="Arial"/>
          <w:b w:val="0"/>
          <w:bCs/>
          <w:color w:val="000000"/>
          <w:u w:color="000000"/>
          <w:bdr w:val="nil"/>
          <w:lang w:val="es-ES_tradnl" w:eastAsia="es-CL"/>
        </w:rPr>
        <w:t>iscalización y actualización del catastro de bienes raíces, indicó las siguientes cifras generales al segundo semestre del presente año.</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 Total de predios enrolados 7.279.417, lo que representa un aumento del 3,7% respecto del año anterior. De este universo de roles un 88% corresponde a predios no agrícolas.</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 Los avalúos totales ascienden a MM$ 189.109.133, lo que representa un aumento del 5.8% respecto del año anterior.</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 El giro total de contribuciones, incluidas las sobretasas fiscal y de sitios no edificados, al 2do semestre del 2016 asciende a MM$1.111.737, lo que representa un aumento del 5.9% respecto del año anterior.</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- 638.025 modificaciones realizadas al catastro de los bienes raíces durante lo que va del presente año. De las cuales aproximadamente un 30% corresponde a inclusiones de nuevas propiedades, un 17% a modificaciones  de avalúos y un 51% a modificaciones  de catastro legal.</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Unicode MS" w:cs="Arial Unicode MS"/>
          <w:b w:val="0"/>
          <w:bCs/>
          <w:color w:val="000000"/>
          <w:u w:color="000000"/>
          <w:bdr w:val="nil"/>
          <w:lang w:val="es-ES_tradnl" w:eastAsia="es-CL"/>
        </w:rPr>
      </w:pPr>
      <w:r>
        <w:rPr>
          <w:rFonts w:eastAsia="Arial Unicode MS" w:cs="Arial Unicode MS"/>
          <w:bCs/>
          <w:color w:val="000000"/>
          <w:u w:color="000000"/>
          <w:bdr w:val="nil"/>
          <w:lang w:val="es-ES_tradnl" w:eastAsia="es-CL"/>
        </w:rPr>
        <w:tab/>
      </w:r>
      <w:r>
        <w:rPr>
          <w:rFonts w:eastAsia="Arial Unicode MS" w:cs="Arial Unicode MS"/>
          <w:b w:val="0"/>
          <w:bCs/>
          <w:color w:val="000000"/>
          <w:u w:color="000000"/>
          <w:bdr w:val="nil"/>
          <w:lang w:val="es-ES_tradnl" w:eastAsia="es-CL"/>
        </w:rPr>
        <w:t>Por su parte, en lo referente a reavalúos de bienes raíces durante el presente año, realizó las siguientes observaciones.</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 Total de predios reavaluados 983.851, de los cuales 866.557 corresponden a predios agrícolas y 177.294 a sitios no edificados, propiedades abandonadas y pozos lastreros.</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 Incremento de giro por concepto de contribución neta, de MM$8.298 en el primer semestre de entrada en vigencia. 9.36% de incremento en el caso de los predios agrícolas y 9.8% en el caso de sitios no edificados, propiedades abandonadas y pozos lastreros, respecto del giro del semestre anterior.</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w:bCs/>
          <w:color w:val="000000"/>
          <w:u w:color="000000"/>
          <w:bdr w:val="nil"/>
          <w:lang w:val="es-ES_tradnl" w:eastAsia="es-CL"/>
        </w:rPr>
        <w:tab/>
        <w:t>VII. Facilitación y asistencia a los contribuyentes</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w:b w:val="0"/>
          <w:color w:val="000000"/>
          <w:u w:color="000000"/>
          <w:bdr w:val="nil"/>
          <w:lang w:val="es-ES_tradnl" w:eastAsia="es-CL"/>
        </w:rPr>
        <w:tab/>
        <w:t>En este punto, enlistó los siguientes avances del Servicio sobre el particular.</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Cs/>
          <w:color w:val="000000"/>
          <w:u w:color="000000"/>
          <w:bdr w:val="nil"/>
          <w:lang w:val="es-ES_tradnl" w:eastAsia="es-CL"/>
        </w:rPr>
        <w:tab/>
        <w:t>- Nuevo Sitio WEB para el Contribuyente</w:t>
      </w:r>
      <w:r>
        <w:rPr>
          <w:rFonts w:eastAsia="Arial Unicode MS" w:cs="Arial Unicode MS"/>
          <w:b w:val="0"/>
          <w:bCs/>
          <w:color w:val="000000"/>
          <w:u w:color="000000"/>
          <w:bdr w:val="nil"/>
          <w:lang w:val="es-ES_tradnl" w:eastAsia="es-CL"/>
        </w:rPr>
        <w:t>: l</w:t>
      </w:r>
      <w:r>
        <w:rPr>
          <w:rFonts w:eastAsia="Arial Unicode MS" w:cs="Arial Unicode MS"/>
          <w:b w:val="0"/>
          <w:color w:val="000000"/>
          <w:u w:color="000000"/>
          <w:bdr w:val="nil"/>
          <w:lang w:val="es-ES_tradnl" w:eastAsia="es-CL"/>
        </w:rPr>
        <w:t>anzamiento durante la primera semana de noviembre 2016.</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Cs/>
          <w:color w:val="000000"/>
          <w:u w:color="000000"/>
          <w:bdr w:val="nil"/>
          <w:lang w:val="es-ES_tradnl" w:eastAsia="es-CL"/>
        </w:rPr>
        <w:tab/>
        <w:t xml:space="preserve">- Sistema de Emisión de Números de Atención en oficina (Totalpack): </w:t>
      </w:r>
      <w:r>
        <w:rPr>
          <w:rFonts w:eastAsia="Arial Unicode MS" w:cs="Arial Unicode MS"/>
          <w:b w:val="0"/>
          <w:bCs/>
          <w:color w:val="000000"/>
          <w:u w:color="000000"/>
          <w:bdr w:val="nil"/>
          <w:lang w:val="es-ES_tradnl" w:eastAsia="es-CL"/>
        </w:rPr>
        <w:t>a</w:t>
      </w:r>
      <w:r>
        <w:rPr>
          <w:rFonts w:eastAsia="Arial Unicode MS" w:cs="Arial Unicode MS"/>
          <w:b w:val="0"/>
          <w:color w:val="000000"/>
          <w:u w:color="000000"/>
          <w:bdr w:val="nil"/>
          <w:lang w:val="es-ES_tradnl" w:eastAsia="es-CL"/>
        </w:rPr>
        <w:t xml:space="preserve"> diciembre del 2015: 57 dispensadores distribuidos en las regionales y unidades más grandes; durante el 2016 se instalaron en las unidades faltantes, llegando a un total de 130 dispensadores.</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Cs/>
          <w:color w:val="000000"/>
          <w:u w:color="000000"/>
          <w:bdr w:val="nil"/>
          <w:lang w:val="es-ES_tradnl" w:eastAsia="es-CL"/>
        </w:rPr>
        <w:tab/>
        <w:t>- Sistema de Emisión de Números de Atención por Internet</w:t>
      </w:r>
      <w:r>
        <w:rPr>
          <w:rFonts w:eastAsia="Arial Unicode MS" w:cs="Arial Unicode MS"/>
          <w:b w:val="0"/>
          <w:bCs/>
          <w:color w:val="000000"/>
          <w:u w:color="000000"/>
          <w:bdr w:val="nil"/>
          <w:lang w:val="es-ES_tradnl" w:eastAsia="es-CL"/>
        </w:rPr>
        <w:t>: p</w:t>
      </w:r>
      <w:r>
        <w:rPr>
          <w:rFonts w:eastAsia="Arial Unicode MS" w:cs="Arial Unicode MS"/>
          <w:b w:val="0"/>
          <w:color w:val="000000"/>
          <w:u w:color="000000"/>
          <w:bdr w:val="nil"/>
          <w:lang w:val="es-ES_tradnl" w:eastAsia="es-CL"/>
        </w:rPr>
        <w:t>uesta en producción de un piloto que permite tomar números de atención desde un Smartphone en sitio web SII para trámites en Oficinas.</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Cs/>
          <w:color w:val="000000"/>
          <w:u w:color="000000"/>
          <w:bdr w:val="nil"/>
          <w:lang w:val="es-ES_tradnl" w:eastAsia="es-CL"/>
        </w:rPr>
        <w:tab/>
        <w:t>- Inscripción en Regímenes Tributarios de Renta</w:t>
      </w:r>
      <w:r>
        <w:rPr>
          <w:rFonts w:eastAsia="Arial Unicode MS" w:cs="Arial Unicode MS"/>
          <w:b w:val="0"/>
          <w:bCs/>
          <w:color w:val="000000"/>
          <w:u w:color="000000"/>
          <w:bdr w:val="nil"/>
          <w:lang w:val="es-ES_tradnl" w:eastAsia="es-CL"/>
        </w:rPr>
        <w:t>: desde el</w:t>
      </w:r>
      <w:r>
        <w:rPr>
          <w:rFonts w:eastAsia="Arial Unicode MS" w:cs="Arial Unicode MS"/>
          <w:bCs/>
          <w:color w:val="000000"/>
          <w:u w:color="000000"/>
          <w:bdr w:val="nil"/>
          <w:lang w:val="es-ES_tradnl" w:eastAsia="es-CL"/>
        </w:rPr>
        <w:t xml:space="preserve"> </w:t>
      </w:r>
      <w:r>
        <w:rPr>
          <w:rFonts w:eastAsia="Arial Unicode MS" w:cs="Arial Unicode MS"/>
          <w:b w:val="0"/>
          <w:color w:val="000000"/>
          <w:u w:color="000000"/>
          <w:bdr w:val="nil"/>
          <w:lang w:val="es-ES_tradnl" w:eastAsia="es-CL"/>
        </w:rPr>
        <w:t>1 de junio existe una aplicación para poder registrar el Régimen tributario por Internet. Asimismo, se disponen de herramientas de asistencia con información de todos los regímenes de tributación disponibles, además de un asistente de cálculo y simulador, sin perjuicio del apoyo del Servicio en charlas y seminarios a lo largo de todo el país.</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Unicode MS" w:cs="Arial Unicode MS"/>
          <w:b w:val="0"/>
          <w:color w:val="000000"/>
          <w:u w:color="000000"/>
          <w:bdr w:val="nil"/>
          <w:lang w:val="es-ES_tradnl" w:eastAsia="es-CL"/>
        </w:rPr>
      </w:pPr>
      <w:r>
        <w:rPr>
          <w:rFonts w:eastAsia="Arial Unicode MS" w:cs="Arial Unicode MS"/>
          <w:b w:val="0"/>
          <w:bCs/>
          <w:color w:val="000000"/>
          <w:u w:color="000000"/>
          <w:bdr w:val="nil"/>
          <w:lang w:val="es-ES_tradnl" w:eastAsia="es-CL"/>
        </w:rPr>
        <w:tab/>
      </w:r>
      <w:r>
        <w:rPr>
          <w:rFonts w:eastAsia="Arial Unicode MS" w:cs="Arial Unicode MS"/>
          <w:bCs/>
          <w:color w:val="000000"/>
          <w:u w:color="000000"/>
          <w:bdr w:val="nil"/>
          <w:lang w:val="es-ES_tradnl" w:eastAsia="es-CL"/>
        </w:rPr>
        <w:t>- Nuevo Modelo de Atención de Mesa de Ayuda</w:t>
      </w:r>
      <w:r>
        <w:rPr>
          <w:rFonts w:eastAsia="Arial Unicode MS" w:cs="Arial Unicode MS"/>
          <w:b w:val="0"/>
          <w:bCs/>
          <w:color w:val="000000"/>
          <w:u w:color="000000"/>
          <w:bdr w:val="nil"/>
          <w:lang w:val="es-ES_tradnl" w:eastAsia="es-CL"/>
        </w:rPr>
        <w:t>: s</w:t>
      </w:r>
      <w:r>
        <w:rPr>
          <w:rFonts w:eastAsia="Arial Unicode MS" w:cs="Arial Unicode MS"/>
          <w:b w:val="0"/>
          <w:color w:val="000000"/>
          <w:u w:color="000000"/>
          <w:bdr w:val="nil"/>
          <w:lang w:val="es-ES_tradnl" w:eastAsia="es-CL"/>
        </w:rPr>
        <w:t>e incorpora un segundo nivel especializado, con funcionarios del Servicio, y acceso en línea. Entre enero y agosto de 2016: 747.869 llamadas atendidas de contribuyentes. Se espera superar las llamadas atendidas durante el 2015 (990.673).</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Unicode MS" w:cs="Arial Unicode MS"/>
          <w:b w:val="0"/>
          <w:color w:val="000000"/>
          <w:u w:color="000000"/>
          <w:bdr w:val="nil"/>
          <w:lang w:val="es-ES_tradnl" w:eastAsia="es-CL"/>
        </w:rPr>
      </w:pPr>
      <w:r>
        <w:rPr>
          <w:rFonts w:eastAsia="Arial Unicode MS" w:cs="Arial Unicode MS"/>
          <w:b w:val="0"/>
          <w:color w:val="000000"/>
          <w:u w:color="000000"/>
          <w:bdr w:val="nil"/>
          <w:lang w:val="es-ES_tradnl" w:eastAsia="es-CL"/>
        </w:rPr>
        <w:tab/>
        <w:t>Este año se deberán atender las consultas producto de la reforma tributaria y por el nuevo Home del SII.</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Unicode MS" w:cs="Arial Unicode MS"/>
          <w:b w:val="0"/>
          <w:color w:val="000000"/>
          <w:u w:color="000000"/>
          <w:bdr w:val="nil"/>
          <w:lang w:val="es-ES_tradnl" w:eastAsia="es-CL"/>
        </w:rPr>
      </w:pPr>
      <w:r>
        <w:rPr>
          <w:rFonts w:eastAsia="Arial Unicode MS" w:cs="Arial Unicode MS"/>
          <w:b w:val="0"/>
          <w:color w:val="000000"/>
          <w:u w:color="000000"/>
          <w:bdr w:val="nil"/>
          <w:lang w:val="es-ES_tradnl" w:eastAsia="es-CL"/>
        </w:rPr>
        <w:tab/>
        <w:t>Además, se efectuará la licitación de un nuevo servicio de mesa de ayuda, que comenzará a operar durante el primer semestre del 2017.</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Asimismo, se destaca la implementación del Piloto de “chatbot”, en que se incorporan 81 respuestas como apoyo a consultas directas sobre el sistema gratuito de facturación electrónica. A agosto de 2016 se han realizado 9.266 consultas.</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Unicode MS" w:cs="Arial Unicode MS"/>
          <w:b w:val="0"/>
          <w:bCs/>
          <w:color w:val="000000"/>
          <w:u w:color="000000"/>
          <w:bdr w:val="nil"/>
          <w:lang w:val="es-ES_tradnl" w:eastAsia="es-CL"/>
        </w:rPr>
      </w:pPr>
      <w:r>
        <w:rPr>
          <w:rFonts w:eastAsia="Arial Unicode MS" w:cs="Arial Unicode MS"/>
          <w:bCs/>
          <w:color w:val="000000"/>
          <w:u w:color="000000"/>
          <w:bdr w:val="nil"/>
          <w:lang w:val="es-ES_tradnl" w:eastAsia="es-CL"/>
        </w:rPr>
        <w:tab/>
        <w:t>- Carpeta Tributaria Electrónica</w:t>
      </w:r>
      <w:r>
        <w:rPr>
          <w:rFonts w:eastAsia="Arial Unicode MS" w:cs="Arial Unicode MS"/>
          <w:b w:val="0"/>
          <w:bCs/>
          <w:color w:val="000000"/>
          <w:u w:color="000000"/>
          <w:bdr w:val="nil"/>
          <w:lang w:val="es-ES_tradnl" w:eastAsia="es-CL"/>
        </w:rPr>
        <w:t xml:space="preserve">: </w:t>
      </w:r>
    </w:p>
    <w:p>
      <w:pPr>
        <w:pBdr>
          <w:top w:val="nil"/>
          <w:left w:val="nil"/>
          <w:bottom w:val="nil"/>
          <w:right w:val="nil"/>
          <w:between w:val="nil"/>
          <w:bar w:val="nil"/>
        </w:pBdr>
        <w:rPr>
          <w:rFonts w:eastAsia="Arial"/>
          <w:b w:val="0"/>
          <w:bCs/>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Febrero 2016: creación de Carpeta Electrónica Tributaria por Mandato a Contribuyentes, la que facilita la obtención de créditos de instituciones financieras, especialmente a empresas de menor tamaño. A la fecha: 42.626 mandatos vigentes con un total de 50 instituciones que recibieron Mandatos.</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En este punto, resaltó que el aludido mecanismo digital permite reducir los riesgos de la entidad que financia la inversión, en tanto tener certeza de la situación tributaria y comercial de la empresa, y a esta última, probablemente, acceder a mejores tasas de interés asociadas al costo del financiamiento.</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r>
      <w:r>
        <w:rPr>
          <w:rFonts w:eastAsia="Arial Unicode MS" w:cs="Arial Unicode MS"/>
          <w:color w:val="000000"/>
          <w:u w:color="000000"/>
          <w:bdr w:val="nil"/>
          <w:lang w:val="es-ES_tradnl" w:eastAsia="es-CL"/>
        </w:rPr>
        <w:t>El Honorable Senador señor Coloma</w:t>
      </w:r>
      <w:r>
        <w:rPr>
          <w:rFonts w:eastAsia="Arial Unicode MS" w:cs="Arial Unicode MS"/>
          <w:b w:val="0"/>
          <w:color w:val="000000"/>
          <w:u w:color="000000"/>
          <w:bdr w:val="nil"/>
          <w:lang w:val="es-ES_tradnl" w:eastAsia="es-CL"/>
        </w:rPr>
        <w:t>, consultó cómo se aborda, en dicho mecanismo, la reserva de dicha información para el contribuyente.</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r>
      <w:r>
        <w:rPr>
          <w:rFonts w:eastAsia="Arial Unicode MS" w:cs="Arial Unicode MS"/>
          <w:color w:val="000000"/>
          <w:u w:color="000000"/>
          <w:bdr w:val="nil"/>
          <w:lang w:val="es-ES_tradnl" w:eastAsia="es-CL"/>
        </w:rPr>
        <w:t>El Director del Servicio de Impuestos Internos, señor Fernando Barraza</w:t>
      </w:r>
      <w:r>
        <w:rPr>
          <w:rFonts w:eastAsia="Arial Unicode MS" w:cs="Arial Unicode MS"/>
          <w:b w:val="0"/>
          <w:color w:val="000000"/>
          <w:u w:color="000000"/>
          <w:bdr w:val="nil"/>
          <w:lang w:val="es-ES_tradnl" w:eastAsia="es-CL"/>
        </w:rPr>
        <w:t>, expresó que la carpeta electrónica opera previa voluntad expresa por parte del contribuyente, quien fija, además, el tiempo por el cual el tercero queda habilitado para acceder a su información.</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Asimismo, resaltó que tal mecanismo ha operado de manera satisfactoria, habiéndose suscrito 42.626 mandatos en dicho contexto.</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Unicode MS" w:cs="Arial Unicode MS"/>
          <w:b w:val="0"/>
          <w:color w:val="000000"/>
          <w:u w:color="000000"/>
          <w:bdr w:val="nil"/>
          <w:lang w:val="es-ES_tradnl" w:eastAsia="es-CL"/>
        </w:rPr>
      </w:pPr>
      <w:r>
        <w:rPr>
          <w:rFonts w:eastAsia="Arial Unicode MS" w:cs="Arial Unicode MS"/>
          <w:bCs/>
          <w:color w:val="000000"/>
          <w:u w:color="000000"/>
          <w:bdr w:val="nil"/>
          <w:lang w:val="es-ES_tradnl" w:eastAsia="es-CL"/>
        </w:rPr>
        <w:tab/>
        <w:t>- Segunda Etapa de incorporación de Facturadores Electrónicos</w:t>
      </w:r>
      <w:r>
        <w:rPr>
          <w:rFonts w:eastAsia="Arial Unicode MS" w:cs="Arial Unicode MS"/>
          <w:b w:val="0"/>
          <w:bCs/>
          <w:color w:val="000000"/>
          <w:u w:color="000000"/>
          <w:bdr w:val="nil"/>
          <w:lang w:val="es-ES_tradnl" w:eastAsia="es-CL"/>
        </w:rPr>
        <w:t xml:space="preserve">: al </w:t>
      </w:r>
      <w:r>
        <w:rPr>
          <w:rFonts w:eastAsia="Arial Unicode MS" w:cs="Arial Unicode MS"/>
          <w:b w:val="0"/>
          <w:color w:val="000000"/>
          <w:u w:color="000000"/>
          <w:bdr w:val="nil"/>
          <w:lang w:val="es-ES_tradnl" w:eastAsia="es-CL"/>
        </w:rPr>
        <w:t xml:space="preserve">1 de agosto de 2016 se incorporaron 120.000 contribuyentes pequeñas y medianas empresas obligadas, debiendo, en febrero 2017, añadirse las microempresas. </w:t>
      </w:r>
    </w:p>
    <w:p>
      <w:pPr>
        <w:pBdr>
          <w:top w:val="nil"/>
          <w:left w:val="nil"/>
          <w:bottom w:val="nil"/>
          <w:right w:val="nil"/>
          <w:between w:val="nil"/>
          <w:bar w:val="nil"/>
        </w:pBdr>
        <w:rPr>
          <w:rFonts w:eastAsia="Arial Unicode MS" w:cs="Arial Unicode MS"/>
          <w:b w:val="0"/>
          <w:color w:val="000000"/>
          <w:u w:color="000000"/>
          <w:bdr w:val="nil"/>
          <w:lang w:val="es-ES_tradnl" w:eastAsia="es-CL"/>
        </w:rPr>
      </w:pPr>
    </w:p>
    <w:p>
      <w:pPr>
        <w:pBdr>
          <w:top w:val="nil"/>
          <w:left w:val="nil"/>
          <w:bottom w:val="nil"/>
          <w:right w:val="nil"/>
          <w:between w:val="nil"/>
          <w:bar w:val="nil"/>
        </w:pBdr>
        <w:rPr>
          <w:rFonts w:eastAsia="Arial Unicode MS" w:cs="Arial Unicode MS"/>
          <w:b w:val="0"/>
          <w:color w:val="000000"/>
          <w:u w:color="000000"/>
          <w:bdr w:val="nil"/>
          <w:lang w:val="es-ES_tradnl" w:eastAsia="es-CL"/>
        </w:rPr>
      </w:pPr>
      <w:r>
        <w:rPr>
          <w:rFonts w:eastAsia="Arial Unicode MS" w:cs="Arial Unicode MS"/>
          <w:b w:val="0"/>
          <w:color w:val="000000"/>
          <w:u w:color="000000"/>
          <w:bdr w:val="nil"/>
          <w:lang w:val="es-ES_tradnl" w:eastAsia="es-CL"/>
        </w:rPr>
        <w:tab/>
        <w:t>- Refuerzo en los sistemas de Factura Electrónica (FE):</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Unicode MS" w:cs="Arial Unicode MS"/>
          <w:b w:val="0"/>
          <w:color w:val="000000"/>
          <w:u w:color="000000"/>
          <w:bdr w:val="nil"/>
          <w:lang w:val="es-ES_tradnl" w:eastAsia="es-CL"/>
        </w:rPr>
      </w:pPr>
      <w:r>
        <w:rPr>
          <w:rFonts w:eastAsia="Arial Unicode MS" w:cs="Arial Unicode MS"/>
          <w:b w:val="0"/>
          <w:color w:val="000000"/>
          <w:u w:color="000000"/>
          <w:bdr w:val="nil"/>
          <w:lang w:val="es-ES_tradnl" w:eastAsia="es-CL"/>
        </w:rPr>
        <w:tab/>
        <w:t>- Sistema de mercado: mejoraron los procesos de certificación.</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Unicode MS" w:cs="Arial Unicode MS"/>
          <w:b w:val="0"/>
          <w:color w:val="000000"/>
          <w:u w:color="000000"/>
          <w:bdr w:val="nil"/>
          <w:lang w:val="es-ES_tradnl" w:eastAsia="es-CL"/>
        </w:rPr>
      </w:pPr>
      <w:r>
        <w:rPr>
          <w:rFonts w:eastAsia="Arial Unicode MS" w:cs="Arial Unicode MS"/>
          <w:b w:val="0"/>
          <w:color w:val="000000"/>
          <w:u w:color="000000"/>
          <w:bdr w:val="nil"/>
          <w:lang w:val="es-ES_tradnl" w:eastAsia="es-CL"/>
        </w:rPr>
        <w:tab/>
        <w:t>Portal de facturación gratuito del SII: se agregaron documentos y funcionalidades (liquidación factura, simplificación del proceso de inscripción y firma de documentos).</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Unicode MS" w:cs="Arial Unicode MS"/>
          <w:b w:val="0"/>
          <w:color w:val="000000"/>
          <w:u w:color="000000"/>
          <w:bdr w:val="nil"/>
          <w:lang w:val="es-ES_tradnl" w:eastAsia="es-CL"/>
        </w:rPr>
      </w:pPr>
      <w:r>
        <w:rPr>
          <w:rFonts w:eastAsia="Arial Unicode MS" w:cs="Arial Unicode MS"/>
          <w:b w:val="0"/>
          <w:color w:val="000000"/>
          <w:u w:color="000000"/>
          <w:bdr w:val="nil"/>
          <w:lang w:val="es-ES_tradnl" w:eastAsia="es-CL"/>
        </w:rPr>
        <w:tab/>
        <w:t>- Creación de grupo especializado de atención de facturación electrónica en mesa de ayuda telefónica.</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 Acciones de Difusión: correos electrónicos; videos; noticias periódicas en Internet y en periódicos nacionales y regionales; charlas en oficinas del SII, mensajería emergente en MiSII, convenios con instituciones; nuevo portal de Factura electrónica (tipo portal Renta); volantes explicativos, entre otros.</w:t>
      </w:r>
    </w:p>
    <w:p>
      <w:pPr>
        <w:pBdr>
          <w:top w:val="nil"/>
          <w:left w:val="nil"/>
          <w:bottom w:val="nil"/>
          <w:right w:val="nil"/>
          <w:between w:val="nil"/>
          <w:bar w:val="nil"/>
        </w:pBdr>
        <w:rPr>
          <w:rFonts w:eastAsia="Arial Unicode MS" w:cs="Arial Unicode MS"/>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 Atención especial a contribuyentes por parte de funcionarios expertos en factura electrónica en todas las Direcciones Regionales y las unidades.</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Unicode MS" w:cs="Arial Unicode MS"/>
          <w:b w:val="0"/>
          <w:bCs/>
          <w:color w:val="000000"/>
          <w:u w:color="000000"/>
          <w:bdr w:val="nil"/>
          <w:lang w:val="es-ES_tradnl" w:eastAsia="es-CL"/>
        </w:rPr>
      </w:pPr>
      <w:r>
        <w:rPr>
          <w:rFonts w:eastAsia="Arial Unicode MS" w:cs="Arial Unicode MS"/>
          <w:bCs/>
          <w:color w:val="000000"/>
          <w:u w:color="000000"/>
          <w:bdr w:val="nil"/>
          <w:lang w:val="es-ES_tradnl" w:eastAsia="es-CL"/>
        </w:rPr>
        <w:tab/>
        <w:t>- E-RUT</w:t>
      </w:r>
      <w:r>
        <w:rPr>
          <w:rFonts w:eastAsia="Arial Unicode MS" w:cs="Arial Unicode MS"/>
          <w:b w:val="0"/>
          <w:bCs/>
          <w:color w:val="000000"/>
          <w:u w:color="000000"/>
          <w:bdr w:val="nil"/>
          <w:lang w:val="es-ES_tradnl" w:eastAsia="es-CL"/>
        </w:rPr>
        <w:t>:</w:t>
      </w:r>
    </w:p>
    <w:p>
      <w:pPr>
        <w:pBdr>
          <w:top w:val="nil"/>
          <w:left w:val="nil"/>
          <w:bottom w:val="nil"/>
          <w:right w:val="nil"/>
          <w:between w:val="nil"/>
          <w:bar w:val="nil"/>
        </w:pBdr>
        <w:rPr>
          <w:rFonts w:eastAsia="Arial"/>
          <w:b w:val="0"/>
          <w:bCs/>
          <w:color w:val="000000"/>
          <w:u w:color="000000"/>
          <w:bdr w:val="nil"/>
          <w:lang w:val="es-ES_tradnl" w:eastAsia="es-CL"/>
        </w:rPr>
      </w:pPr>
    </w:p>
    <w:p>
      <w:pPr>
        <w:pBdr>
          <w:top w:val="nil"/>
          <w:left w:val="nil"/>
          <w:bottom w:val="nil"/>
          <w:right w:val="nil"/>
          <w:between w:val="nil"/>
          <w:bar w:val="nil"/>
        </w:pBdr>
        <w:rPr>
          <w:rFonts w:eastAsia="Arial Unicode MS" w:cs="Arial Unicode MS"/>
          <w:b w:val="0"/>
          <w:color w:val="000000"/>
          <w:u w:color="000000"/>
          <w:bdr w:val="nil"/>
          <w:lang w:val="es-ES_tradnl" w:eastAsia="es-CL"/>
        </w:rPr>
      </w:pPr>
      <w:r>
        <w:rPr>
          <w:rFonts w:eastAsia="Arial Unicode MS" w:cs="Arial Unicode MS"/>
          <w:b w:val="0"/>
          <w:color w:val="000000"/>
          <w:u w:color="000000"/>
          <w:bdr w:val="nil"/>
          <w:lang w:val="es-ES_tradnl" w:eastAsia="es-CL"/>
        </w:rPr>
        <w:tab/>
        <w:t>- Archivo electrónico, que se obtiene de forma inmediata a través de sii.cl, y reemplaza al actual documento en plástico.</w:t>
      </w: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 xml:space="preserve"> </w:t>
      </w:r>
    </w:p>
    <w:p>
      <w:pPr>
        <w:pBdr>
          <w:top w:val="nil"/>
          <w:left w:val="nil"/>
          <w:bottom w:val="nil"/>
          <w:right w:val="nil"/>
          <w:between w:val="nil"/>
          <w:bar w:val="nil"/>
        </w:pBdr>
        <w:rPr>
          <w:rFonts w:eastAsia="Arial Unicode MS" w:cs="Arial Unicode MS"/>
          <w:b w:val="0"/>
          <w:color w:val="000000"/>
          <w:u w:color="000000"/>
          <w:bdr w:val="nil"/>
          <w:lang w:val="es-ES_tradnl" w:eastAsia="es-CL"/>
        </w:rPr>
      </w:pPr>
      <w:r>
        <w:rPr>
          <w:rFonts w:eastAsia="Arial Unicode MS" w:cs="Arial Unicode MS"/>
          <w:b w:val="0"/>
          <w:color w:val="000000"/>
          <w:u w:color="000000"/>
          <w:bdr w:val="nil"/>
          <w:lang w:val="es-ES_tradnl" w:eastAsia="es-CL"/>
        </w:rPr>
        <w:tab/>
        <w:t>- Disponible desde el 1 de julio.</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Unicode MS" w:cs="Arial Unicode MS"/>
          <w:b w:val="0"/>
          <w:color w:val="000000"/>
          <w:u w:color="000000"/>
          <w:bdr w:val="nil"/>
          <w:lang w:val="es-ES_tradnl" w:eastAsia="es-CL"/>
        </w:rPr>
      </w:pPr>
      <w:r>
        <w:rPr>
          <w:rFonts w:eastAsia="Arial Unicode MS" w:cs="Arial Unicode MS"/>
          <w:b w:val="0"/>
          <w:color w:val="000000"/>
          <w:u w:color="000000"/>
          <w:bdr w:val="nil"/>
          <w:lang w:val="es-ES_tradnl" w:eastAsia="es-CL"/>
        </w:rPr>
        <w:tab/>
        <w:t>- Simplifica y facilita el trámite de obtención de cédula RUT para los cerca de 28 mil contribuyentes que mensualmente la solicitan ante este Servicio.</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Unicode MS" w:cs="Arial Unicode MS"/>
          <w:b w:val="0"/>
          <w:color w:val="000000"/>
          <w:u w:color="000000"/>
          <w:bdr w:val="nil"/>
          <w:lang w:val="es-ES_tradnl" w:eastAsia="es-CL"/>
        </w:rPr>
      </w:pPr>
      <w:r>
        <w:rPr>
          <w:rFonts w:eastAsia="Arial Unicode MS" w:cs="Arial Unicode MS"/>
          <w:b w:val="0"/>
          <w:color w:val="000000"/>
          <w:u w:color="000000"/>
          <w:bdr w:val="nil"/>
          <w:lang w:val="es-ES_tradnl" w:eastAsia="es-CL"/>
        </w:rPr>
        <w:tab/>
        <w:t>- Puede ser impreso o guardado, y exhibido a través de celulares y dispositivos móviles, mediante la aplicación App e-Rut, diseñada para Smartphones. Al 31 de agosto de 2016 la aplicación llevaba más de 30.000 descargas.</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Unicode MS" w:cs="Arial Unicode MS"/>
          <w:b w:val="0"/>
          <w:color w:val="000000"/>
          <w:u w:color="000000"/>
          <w:bdr w:val="nil"/>
          <w:lang w:val="es-ES_tradnl" w:eastAsia="es-CL"/>
        </w:rPr>
      </w:pPr>
      <w:r>
        <w:rPr>
          <w:rFonts w:eastAsia="Arial Unicode MS" w:cs="Arial Unicode MS"/>
          <w:b w:val="0"/>
          <w:color w:val="000000"/>
          <w:u w:color="000000"/>
          <w:bdr w:val="nil"/>
          <w:lang w:val="es-ES_tradnl" w:eastAsia="es-CL"/>
        </w:rPr>
        <w:tab/>
        <w:t xml:space="preserve">- Puede ser utilizado en transacciones comerciales y/o en trámites que así lo requieran, y se puede consultar a través de esta aplicación la validez de una cédula en particular. </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 A la fecha se han emitido 286.708 e-RUT</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Unicode MS" w:cs="Arial Unicode MS"/>
          <w:bCs/>
          <w:color w:val="000000"/>
          <w:u w:color="000000"/>
          <w:bdr w:val="nil"/>
          <w:lang w:val="es-ES_tradnl" w:eastAsia="es-CL"/>
        </w:rPr>
      </w:pPr>
      <w:r>
        <w:rPr>
          <w:rFonts w:eastAsia="Arial Unicode MS" w:cs="Arial Unicode MS"/>
          <w:bCs/>
          <w:color w:val="000000"/>
          <w:u w:color="000000"/>
          <w:bdr w:val="nil"/>
          <w:lang w:val="es-ES_tradnl" w:eastAsia="es-CL"/>
        </w:rPr>
        <w:tab/>
        <w:t>- Trámites en Internet:</w:t>
      </w:r>
    </w:p>
    <w:p>
      <w:pPr>
        <w:pBdr>
          <w:top w:val="nil"/>
          <w:left w:val="nil"/>
          <w:bottom w:val="nil"/>
          <w:right w:val="nil"/>
          <w:between w:val="nil"/>
          <w:bar w:val="nil"/>
        </w:pBdr>
        <w:rPr>
          <w:rFonts w:eastAsia="Arial"/>
          <w:bCs/>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- 2016: mejoras e incorporación de trámites en Internet: inicio de actividades, modificaciones, herencias, facilitación de timbraje y término de giro</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Cs/>
          <w:color w:val="000000"/>
          <w:u w:color="000000"/>
          <w:bdr w:val="nil"/>
          <w:lang w:val="es-ES_tradnl" w:eastAsia="es-CL"/>
        </w:rPr>
        <w:tab/>
        <w:t>- Avances en Difusión y Educación al Contribuyente</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bCs/>
          <w:color w:val="000000"/>
          <w:u w:color="000000"/>
          <w:bdr w:val="nil"/>
          <w:lang w:val="es-ES_tradnl" w:eastAsia="es-CL"/>
        </w:rPr>
        <w:tab/>
        <w:t>- Charlas orientadas al Cumplimiento Tributario Básico y Educación Fiscal</w:t>
      </w:r>
      <w:r>
        <w:rPr>
          <w:rFonts w:eastAsia="Arial Unicode MS" w:cs="Arial Unicode MS"/>
          <w:b w:val="0"/>
          <w:color w:val="000000"/>
          <w:u w:color="000000"/>
          <w:bdr w:val="nil"/>
          <w:lang w:val="es-ES_tradnl" w:eastAsia="es-CL"/>
        </w:rPr>
        <w:t>, realizado en establecimientos educacionales básicos, medios y educación superior.</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 xml:space="preserve">- </w:t>
      </w:r>
      <w:r>
        <w:rPr>
          <w:rFonts w:eastAsia="Arial Unicode MS" w:cs="Arial Unicode MS"/>
          <w:b w:val="0"/>
          <w:bCs/>
          <w:color w:val="000000"/>
          <w:u w:color="000000"/>
          <w:bdr w:val="nil"/>
          <w:lang w:val="es-ES_tradnl" w:eastAsia="es-CL"/>
        </w:rPr>
        <w:t>Charlas para Difusión de Normativa e Instrucciones asociadas a la Reforma Tributaria (RT) y Cumplimiento Tributario</w:t>
      </w:r>
      <w:r>
        <w:rPr>
          <w:rFonts w:eastAsia="Arial Unicode MS" w:cs="Arial Unicode MS"/>
          <w:b w:val="0"/>
          <w:color w:val="000000"/>
          <w:u w:color="000000"/>
          <w:bdr w:val="nil"/>
          <w:lang w:val="es-ES_tradnl" w:eastAsia="es-CL"/>
        </w:rPr>
        <w:t>, realizadas en convenio con Universidades y Asociaciones Gremiales Nacionales y Regionales, enfocada a aspectos generales de la RT y en beneficios para las MIPYMES, como el Pago IVA Diferido, 14 Ter y explicación del impuesto verde.</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 xml:space="preserve">- </w:t>
      </w:r>
      <w:r>
        <w:rPr>
          <w:rFonts w:eastAsia="Arial Unicode MS" w:cs="Arial Unicode MS"/>
          <w:b w:val="0"/>
          <w:bCs/>
          <w:color w:val="000000"/>
          <w:u w:color="000000"/>
          <w:bdr w:val="nil"/>
          <w:lang w:val="es-ES_tradnl" w:eastAsia="es-CL"/>
        </w:rPr>
        <w:t>Charlas y seminarios con distintas organizaciones</w:t>
      </w:r>
      <w:r>
        <w:rPr>
          <w:rFonts w:eastAsia="Arial Unicode MS" w:cs="Arial Unicode MS"/>
          <w:b w:val="0"/>
          <w:color w:val="000000"/>
          <w:u w:color="000000"/>
          <w:bdr w:val="nil"/>
          <w:lang w:val="es-ES_tradnl" w:eastAsia="es-CL"/>
        </w:rPr>
        <w:t>, como la ASECH, Conapyme, CChC, Unapyme, entre otras.</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 xml:space="preserve">- </w:t>
      </w:r>
      <w:r>
        <w:rPr>
          <w:rFonts w:eastAsia="Arial Unicode MS" w:cs="Arial Unicode MS"/>
          <w:b w:val="0"/>
          <w:bCs/>
          <w:color w:val="000000"/>
          <w:u w:color="000000"/>
          <w:bdr w:val="nil"/>
          <w:lang w:val="es-ES_tradnl" w:eastAsia="es-CL"/>
        </w:rPr>
        <w:t>Alianza con el Colegio de Contadores y el Ministerio de Hacienda</w:t>
      </w:r>
      <w:r>
        <w:rPr>
          <w:rFonts w:eastAsia="Arial Unicode MS" w:cs="Arial Unicode MS"/>
          <w:b w:val="0"/>
          <w:color w:val="000000"/>
          <w:u w:color="000000"/>
          <w:bdr w:val="nil"/>
          <w:lang w:val="es-ES_tradnl" w:eastAsia="es-CL"/>
        </w:rPr>
        <w:t>, para la realización de seminarios orientados a profesionales tributarios (comenzado en el 2015).</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Unicode MS" w:cs="Arial Unicode MS"/>
          <w:b w:val="0"/>
          <w:color w:val="000000"/>
          <w:u w:color="000000"/>
          <w:bdr w:val="nil"/>
          <w:lang w:val="es-ES_tradnl" w:eastAsia="es-CL"/>
        </w:rPr>
      </w:pPr>
      <w:r>
        <w:rPr>
          <w:rFonts w:eastAsia="Arial Unicode MS" w:cs="Arial Unicode MS"/>
          <w:bCs/>
          <w:color w:val="000000"/>
          <w:u w:color="000000"/>
          <w:bdr w:val="nil"/>
          <w:lang w:val="es-ES_tradnl" w:eastAsia="es-CL"/>
        </w:rPr>
        <w:tab/>
      </w:r>
      <w:r>
        <w:rPr>
          <w:rFonts w:eastAsia="Arial Unicode MS" w:cs="Arial Unicode MS"/>
          <w:b w:val="0"/>
          <w:bCs/>
          <w:color w:val="000000"/>
          <w:u w:color="000000"/>
          <w:bdr w:val="nil"/>
          <w:lang w:val="es-ES_tradnl" w:eastAsia="es-CL"/>
        </w:rPr>
        <w:t>1er Seminario</w:t>
      </w:r>
      <w:r>
        <w:rPr>
          <w:rFonts w:eastAsia="Arial Unicode MS" w:cs="Arial Unicode MS"/>
          <w:b w:val="0"/>
          <w:color w:val="000000"/>
          <w:u w:color="000000"/>
          <w:bdr w:val="nil"/>
          <w:lang w:val="es-ES_tradnl" w:eastAsia="es-CL"/>
        </w:rPr>
        <w:t xml:space="preserve">: “Principales aspectos de la Reforma Tributaria orientados a Mipyme” (entre febrero y marzo de 2015).  Se realizaron 57 versiones en 28 ciudades de Chile, con la participación de cerca de 5 mil contadores. </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Cs/>
          <w:color w:val="000000"/>
          <w:u w:color="000000"/>
          <w:bdr w:val="nil"/>
          <w:lang w:val="es-ES_tradnl" w:eastAsia="es-CL"/>
        </w:rPr>
        <w:tab/>
      </w:r>
      <w:r>
        <w:rPr>
          <w:rFonts w:eastAsia="Arial Unicode MS" w:cs="Arial Unicode MS"/>
          <w:b w:val="0"/>
          <w:bCs/>
          <w:color w:val="000000"/>
          <w:u w:color="000000"/>
          <w:bdr w:val="nil"/>
          <w:lang w:val="es-ES_tradnl" w:eastAsia="es-CL"/>
        </w:rPr>
        <w:t>2° Seminario</w:t>
      </w:r>
      <w:r>
        <w:rPr>
          <w:rFonts w:eastAsia="Arial Unicode MS" w:cs="Arial Unicode MS"/>
          <w:b w:val="0"/>
          <w:color w:val="000000"/>
          <w:u w:color="000000"/>
          <w:bdr w:val="nil"/>
          <w:lang w:val="es-ES_tradnl" w:eastAsia="es-CL"/>
        </w:rPr>
        <w:t xml:space="preserve">: “FUT Histórico y Renta Presunta” (entre Septiembre y Octubre de 2015). Se realizaron 68 versiones en 21 ciudades de Chile, con la participación de cerca de 5 mil contadores. </w:t>
      </w:r>
    </w:p>
    <w:p>
      <w:pPr>
        <w:pBdr>
          <w:top w:val="nil"/>
          <w:left w:val="nil"/>
          <w:bottom w:val="nil"/>
          <w:right w:val="nil"/>
          <w:between w:val="nil"/>
          <w:bar w:val="nil"/>
        </w:pBdr>
        <w:rPr>
          <w:rFonts w:eastAsia="Arial Unicode MS" w:cs="Arial Unicode MS"/>
          <w:bCs/>
          <w:color w:val="000000"/>
          <w:u w:color="000000"/>
          <w:bdr w:val="nil"/>
          <w:lang w:val="es-ES_tradnl" w:eastAsia="es-CL"/>
        </w:rPr>
      </w:pPr>
    </w:p>
    <w:p>
      <w:pPr>
        <w:pBdr>
          <w:top w:val="nil"/>
          <w:left w:val="nil"/>
          <w:bottom w:val="nil"/>
          <w:right w:val="nil"/>
          <w:between w:val="nil"/>
          <w:bar w:val="nil"/>
        </w:pBdr>
        <w:rPr>
          <w:rFonts w:eastAsia="Arial Unicode MS" w:cs="Arial Unicode MS"/>
          <w:b w:val="0"/>
          <w:color w:val="000000"/>
          <w:u w:color="000000"/>
          <w:bdr w:val="nil"/>
          <w:lang w:val="es-ES_tradnl" w:eastAsia="es-CL"/>
        </w:rPr>
      </w:pPr>
      <w:r>
        <w:rPr>
          <w:rFonts w:eastAsia="Arial Unicode MS" w:cs="Arial Unicode MS"/>
          <w:bCs/>
          <w:color w:val="000000"/>
          <w:u w:color="000000"/>
          <w:bdr w:val="nil"/>
          <w:lang w:val="es-ES_tradnl" w:eastAsia="es-CL"/>
        </w:rPr>
        <w:tab/>
      </w:r>
      <w:r>
        <w:rPr>
          <w:rFonts w:eastAsia="Arial Unicode MS" w:cs="Arial Unicode MS"/>
          <w:b w:val="0"/>
          <w:bCs/>
          <w:color w:val="000000"/>
          <w:u w:color="000000"/>
          <w:bdr w:val="nil"/>
          <w:lang w:val="es-ES_tradnl" w:eastAsia="es-CL"/>
        </w:rPr>
        <w:t>3er Seminario</w:t>
      </w:r>
      <w:r>
        <w:rPr>
          <w:rFonts w:eastAsia="Arial Unicode MS" w:cs="Arial Unicode MS"/>
          <w:b w:val="0"/>
          <w:color w:val="000000"/>
          <w:u w:color="000000"/>
          <w:bdr w:val="nil"/>
          <w:lang w:val="es-ES_tradnl" w:eastAsia="es-CL"/>
        </w:rPr>
        <w:t>: Simplificaciones a la Reforma Tributaria para Contribuyentes 14TER y Novedades Operación Renta 2016. (durante marzo de 2016), teniendo una cobertura de 1.606 asesores en un total de 44 versiones distribuidas en 29 ciudades.</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Cs/>
          <w:color w:val="000000"/>
          <w:u w:color="000000"/>
          <w:bdr w:val="nil"/>
          <w:lang w:val="es-ES_tradnl" w:eastAsia="es-CL"/>
        </w:rPr>
        <w:tab/>
      </w:r>
      <w:r>
        <w:rPr>
          <w:rFonts w:eastAsia="Arial Unicode MS" w:cs="Arial Unicode MS"/>
          <w:b w:val="0"/>
          <w:bCs/>
          <w:color w:val="000000"/>
          <w:u w:color="000000"/>
          <w:bdr w:val="nil"/>
          <w:lang w:val="es-ES_tradnl" w:eastAsia="es-CL"/>
        </w:rPr>
        <w:t>4to Seminario</w:t>
      </w:r>
      <w:r>
        <w:rPr>
          <w:rFonts w:eastAsia="Arial Unicode MS" w:cs="Arial Unicode MS"/>
          <w:b w:val="0"/>
          <w:color w:val="000000"/>
          <w:u w:color="000000"/>
          <w:bdr w:val="nil"/>
          <w:lang w:val="es-ES_tradnl" w:eastAsia="es-CL"/>
        </w:rPr>
        <w:t>: Nuevos Regímenes de Renta: Sistema Atribuido y Parcialmente Integrado. Este Seminario comienza la primera semana de octubre de 2016, con un total de 74 versiones programadas.</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Unicode MS" w:cs="Arial Unicode MS"/>
          <w:b w:val="0"/>
          <w:color w:val="000000"/>
          <w:u w:color="000000"/>
          <w:bdr w:val="nil"/>
          <w:lang w:val="es-ES_tradnl" w:eastAsia="es-CL"/>
        </w:rPr>
      </w:pPr>
      <w:r>
        <w:rPr>
          <w:rFonts w:eastAsia="Arial Unicode MS" w:cs="Arial Unicode MS"/>
          <w:bCs/>
          <w:color w:val="000000"/>
          <w:u w:color="000000"/>
          <w:bdr w:val="nil"/>
          <w:lang w:val="es-ES_tradnl" w:eastAsia="es-CL"/>
        </w:rPr>
        <w:tab/>
        <w:t>- Generación de material de Educación Tributaria</w:t>
      </w:r>
      <w:r>
        <w:rPr>
          <w:rFonts w:eastAsia="Arial Unicode MS" w:cs="Arial Unicode MS"/>
          <w:b w:val="0"/>
          <w:color w:val="000000"/>
          <w:u w:color="000000"/>
          <w:bdr w:val="nil"/>
          <w:lang w:val="es-ES_tradnl" w:eastAsia="es-CL"/>
        </w:rPr>
        <w:t>:</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 Videos educativos y para redes sociales.</w:t>
      </w:r>
    </w:p>
    <w:p>
      <w:pPr>
        <w:pBdr>
          <w:top w:val="nil"/>
          <w:left w:val="nil"/>
          <w:bottom w:val="nil"/>
          <w:right w:val="nil"/>
          <w:between w:val="nil"/>
          <w:bar w:val="nil"/>
        </w:pBdr>
        <w:rPr>
          <w:rFonts w:eastAsia="Arial Unicode MS" w:cs="Arial Unicode MS"/>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 E-learning de libre acceso.</w:t>
      </w:r>
    </w:p>
    <w:p>
      <w:pPr>
        <w:pBdr>
          <w:top w:val="nil"/>
          <w:left w:val="nil"/>
          <w:bottom w:val="nil"/>
          <w:right w:val="nil"/>
          <w:between w:val="nil"/>
          <w:bar w:val="nil"/>
        </w:pBdr>
        <w:rPr>
          <w:rFonts w:eastAsia="Arial Unicode MS" w:cs="Arial Unicode MS"/>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 xml:space="preserve">- Presentaciones (PPT). </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Unicode MS" w:cs="Arial Unicode MS"/>
          <w:bCs/>
          <w:color w:val="000000"/>
          <w:u w:color="000000"/>
          <w:bdr w:val="nil"/>
          <w:lang w:val="es-ES_tradnl" w:eastAsia="es-CL"/>
        </w:rPr>
      </w:pPr>
      <w:r>
        <w:rPr>
          <w:rFonts w:eastAsia="Arial Unicode MS" w:cs="Arial Unicode MS"/>
          <w:bCs/>
          <w:color w:val="000000"/>
          <w:u w:color="000000"/>
          <w:bdr w:val="nil"/>
          <w:lang w:val="es-ES_tradnl" w:eastAsia="es-CL"/>
        </w:rPr>
        <w:tab/>
        <w:t>- Plataforma de Cursos Online (a través de la Web):</w:t>
      </w:r>
    </w:p>
    <w:p>
      <w:pPr>
        <w:pBdr>
          <w:top w:val="nil"/>
          <w:left w:val="nil"/>
          <w:bottom w:val="nil"/>
          <w:right w:val="nil"/>
          <w:between w:val="nil"/>
          <w:bar w:val="nil"/>
        </w:pBdr>
        <w:rPr>
          <w:rFonts w:eastAsia="Arial"/>
          <w:bCs/>
          <w:color w:val="000000"/>
          <w:u w:color="000000"/>
          <w:bdr w:val="nil"/>
          <w:lang w:val="es-ES_tradnl" w:eastAsia="es-CL"/>
        </w:rPr>
      </w:pPr>
    </w:p>
    <w:p>
      <w:pPr>
        <w:pBdr>
          <w:top w:val="nil"/>
          <w:left w:val="nil"/>
          <w:bottom w:val="nil"/>
          <w:right w:val="nil"/>
          <w:between w:val="nil"/>
          <w:bar w:val="nil"/>
        </w:pBdr>
        <w:rPr>
          <w:rFonts w:eastAsia="Arial Unicode MS" w:cs="Arial Unicode MS"/>
          <w:b w:val="0"/>
          <w:color w:val="000000"/>
          <w:u w:color="000000"/>
          <w:bdr w:val="nil"/>
          <w:lang w:val="es-ES_tradnl" w:eastAsia="es-CL"/>
        </w:rPr>
      </w:pPr>
      <w:r>
        <w:rPr>
          <w:rFonts w:eastAsia="Arial Unicode MS" w:cs="Arial Unicode MS"/>
          <w:b w:val="0"/>
          <w:color w:val="000000"/>
          <w:u w:color="000000"/>
          <w:bdr w:val="nil"/>
          <w:lang w:val="es-ES_tradnl" w:eastAsia="es-CL"/>
        </w:rPr>
        <w:tab/>
        <w:t>- Cursos para sustitución de Multas: puestos a disposición desde octubre de 2015, para contribuyentes que opten a este beneficio.</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 Cursos de libre acceso: enfocados a contribuyentes y ciudadanos en general, con temas de educación fiscal y tributaria, como la importancia de los impuestos, formalización de un emprendimiento, facturación electrónica, etc. Se pondrán a disposición a partir de octubre de 2016.</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Unicode MS" w:cs="Arial Unicode MS"/>
          <w:b w:val="0"/>
          <w:color w:val="000000"/>
          <w:u w:color="000000"/>
          <w:bdr w:val="nil"/>
          <w:lang w:val="es-ES_tradnl" w:eastAsia="es-CL"/>
        </w:rPr>
      </w:pPr>
      <w:r>
        <w:rPr>
          <w:rFonts w:eastAsia="Arial Unicode MS" w:cs="Arial Unicode MS"/>
          <w:bCs/>
          <w:color w:val="000000"/>
          <w:u w:color="000000"/>
          <w:bdr w:val="nil"/>
          <w:lang w:val="es-ES_tradnl" w:eastAsia="es-CL"/>
        </w:rPr>
        <w:tab/>
        <w:t>- Implementación de la Reforma Tributaria: sistema para la Administración de la Consulta Pública de Normativa</w:t>
      </w:r>
      <w:r>
        <w:rPr>
          <w:rFonts w:eastAsia="Arial Unicode MS" w:cs="Arial Unicode MS"/>
          <w:b w:val="0"/>
          <w:color w:val="000000"/>
          <w:u w:color="000000"/>
          <w:bdr w:val="nil"/>
          <w:lang w:val="es-ES_tradnl" w:eastAsia="es-CL"/>
        </w:rPr>
        <w:t>:</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1 publicada el 2015 y 29 publicadas durante el 2016</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 xml:space="preserve">- </w:t>
      </w:r>
      <w:r>
        <w:rPr>
          <w:rFonts w:eastAsia="Arial Unicode MS" w:cs="Arial Unicode MS"/>
          <w:bCs/>
          <w:color w:val="000000"/>
          <w:u w:color="000000"/>
          <w:bdr w:val="nil"/>
          <w:lang w:val="es-ES_tradnl" w:eastAsia="es-CL"/>
        </w:rPr>
        <w:t>Diseño e Implementación del Portal de la Reforma Tributaria (RT)</w:t>
      </w:r>
      <w:r>
        <w:rPr>
          <w:rFonts w:eastAsia="Arial Unicode MS" w:cs="Arial Unicode MS"/>
          <w:b w:val="0"/>
          <w:bCs/>
          <w:color w:val="000000"/>
          <w:u w:color="000000"/>
          <w:bdr w:val="nil"/>
          <w:lang w:val="es-ES_tradnl" w:eastAsia="es-CL"/>
        </w:rPr>
        <w:t>: h</w:t>
      </w:r>
      <w:r>
        <w:rPr>
          <w:rFonts w:eastAsia="Arial Unicode MS" w:cs="Arial Unicode MS"/>
          <w:b w:val="0"/>
          <w:color w:val="000000"/>
          <w:u w:color="000000"/>
          <w:bdr w:val="nil"/>
          <w:lang w:val="es-ES_tradnl" w:eastAsia="es-CL"/>
        </w:rPr>
        <w:t xml:space="preserve">erramienta principal de difusión y comunicación con los contribuyentes por la Reforma Tributaria: </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Unicode MS" w:cs="Arial Unicode MS"/>
          <w:b w:val="0"/>
          <w:color w:val="000000"/>
          <w:u w:color="000000"/>
          <w:bdr w:val="nil"/>
          <w:lang w:val="es-ES_tradnl" w:eastAsia="es-CL"/>
        </w:rPr>
      </w:pPr>
      <w:r>
        <w:rPr>
          <w:rFonts w:eastAsia="Arial Unicode MS" w:cs="Arial Unicode MS"/>
          <w:b w:val="0"/>
          <w:color w:val="000000"/>
          <w:u w:color="000000"/>
          <w:bdr w:val="nil"/>
          <w:lang w:val="es-ES_tradnl" w:eastAsia="es-CL"/>
        </w:rPr>
        <w:tab/>
        <w:t>- Ley N° 20.780 y Ley N° 20.899.</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Unicode MS" w:cs="Arial Unicode MS"/>
          <w:b w:val="0"/>
          <w:color w:val="000000"/>
          <w:u w:color="000000"/>
          <w:bdr w:val="nil"/>
          <w:lang w:val="es-ES_tradnl" w:eastAsia="es-CL"/>
        </w:rPr>
      </w:pPr>
      <w:r>
        <w:rPr>
          <w:rFonts w:eastAsia="Arial Unicode MS" w:cs="Arial Unicode MS"/>
          <w:b w:val="0"/>
          <w:color w:val="000000"/>
          <w:u w:color="000000"/>
          <w:bdr w:val="nil"/>
          <w:lang w:val="es-ES_tradnl" w:eastAsia="es-CL"/>
        </w:rPr>
        <w:tab/>
        <w:t>- Calendario de implementación de la Reforma Tributaria 2014 – 2018.</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Unicode MS" w:cs="Arial Unicode MS"/>
          <w:b w:val="0"/>
          <w:color w:val="000000"/>
          <w:u w:color="000000"/>
          <w:bdr w:val="nil"/>
          <w:lang w:val="es-ES_tradnl" w:eastAsia="es-CL"/>
        </w:rPr>
      </w:pPr>
      <w:r>
        <w:rPr>
          <w:rFonts w:eastAsia="Arial Unicode MS" w:cs="Arial Unicode MS"/>
          <w:b w:val="0"/>
          <w:color w:val="000000"/>
          <w:u w:color="000000"/>
          <w:bdr w:val="nil"/>
          <w:lang w:val="es-ES_tradnl" w:eastAsia="es-CL"/>
        </w:rPr>
        <w:tab/>
        <w:t>- Textos comparados con los diferentes cambios que implica la RT y sus respectivas vigencias.</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Unicode MS" w:cs="Arial Unicode MS"/>
          <w:b w:val="0"/>
          <w:color w:val="000000"/>
          <w:u w:color="000000"/>
          <w:bdr w:val="nil"/>
          <w:lang w:val="es-ES_tradnl" w:eastAsia="es-CL"/>
        </w:rPr>
      </w:pPr>
      <w:r>
        <w:rPr>
          <w:rFonts w:eastAsia="Arial Unicode MS" w:cs="Arial Unicode MS"/>
          <w:b w:val="0"/>
          <w:color w:val="000000"/>
          <w:u w:color="000000"/>
          <w:bdr w:val="nil"/>
          <w:lang w:val="es-ES_tradnl" w:eastAsia="es-CL"/>
        </w:rPr>
        <w:tab/>
        <w:t>- Preguntas frecuentes orientadas a los contribuyentes.</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Unicode MS" w:cs="Arial Unicode MS"/>
          <w:b w:val="0"/>
          <w:color w:val="000000"/>
          <w:u w:color="000000"/>
          <w:bdr w:val="nil"/>
          <w:lang w:val="es-ES_tradnl" w:eastAsia="es-CL"/>
        </w:rPr>
      </w:pPr>
      <w:r>
        <w:rPr>
          <w:rFonts w:eastAsia="Arial Unicode MS" w:cs="Arial Unicode MS"/>
          <w:b w:val="0"/>
          <w:color w:val="000000"/>
          <w:u w:color="000000"/>
          <w:bdr w:val="nil"/>
          <w:lang w:val="es-ES_tradnl" w:eastAsia="es-CL"/>
        </w:rPr>
        <w:tab/>
        <w:t>- Material de difusión elaborado para informar sobre los diferentes aspectos de la Reforma Tributaria (videos - folletos – volantes - charlas).</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Unicode MS" w:cs="Arial Unicode MS"/>
          <w:b w:val="0"/>
          <w:color w:val="000000"/>
          <w:u w:color="000000"/>
          <w:bdr w:val="nil"/>
          <w:lang w:val="es-ES_tradnl" w:eastAsia="es-CL"/>
        </w:rPr>
      </w:pPr>
      <w:r>
        <w:rPr>
          <w:rFonts w:eastAsia="Arial Unicode MS" w:cs="Arial Unicode MS"/>
          <w:b w:val="0"/>
          <w:color w:val="000000"/>
          <w:u w:color="000000"/>
          <w:bdr w:val="nil"/>
          <w:lang w:val="es-ES_tradnl" w:eastAsia="es-CL"/>
        </w:rPr>
        <w:tab/>
        <w:t>- Publicación de todas las Circulares, Resoluciones y jurisprudencia administrativa por tipo de impuesto y tipo de contribuyente, relacionadas con la Reforma Tributaria.</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 Sub-portales de temas específicos: regímenes Tributarios; postergación del pago del IVA; término de giro por parte del SII; notificación por página web; entre otros.</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jc w:val="center"/>
        <w:rPr>
          <w:rFonts w:eastAsia="Arial"/>
          <w:b w:val="0"/>
          <w:color w:val="000000"/>
          <w:u w:color="000000"/>
          <w:bdr w:val="nil"/>
          <w:lang w:val="es-ES_tradnl" w:eastAsia="es-CL"/>
        </w:rPr>
      </w:pPr>
      <w:r>
        <w:rPr>
          <w:rFonts w:eastAsia="Arial"/>
          <w:bCs/>
          <w:color w:val="000000"/>
          <w:u w:color="000000"/>
          <w:bdr w:val="nil"/>
          <w:lang w:val="es-ES_tradnl" w:eastAsia="es-CL"/>
        </w:rPr>
        <w:t>Resumen de Actividades de Difusión (charlas y seminarios de Enero a Agosto 2016)</w:t>
      </w:r>
    </w:p>
    <w:tbl>
      <w:tblPr>
        <w:tblW w:w="9237" w:type="dxa"/>
        <w:jc w:val="center"/>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4721"/>
        <w:gridCol w:w="2514"/>
        <w:gridCol w:w="2002"/>
      </w:tblGrid>
      <w:tr>
        <w:tblPrEx>
          <w:tblCellMar>
            <w:top w:w="0" w:type="dxa"/>
            <w:left w:w="0" w:type="dxa"/>
            <w:bottom w:w="0" w:type="dxa"/>
            <w:right w:w="0" w:type="dxa"/>
          </w:tblCellMar>
        </w:tblPrEx>
        <w:trPr>
          <w:trHeight w:val="288"/>
          <w:jc w:val="center"/>
        </w:trPr>
        <w:tc>
          <w:tcPr>
            <w:tcW w:w="4721" w:type="dxa"/>
            <w:tcBorders>
              <w:top w:val="single" w:sz="8" w:space="0" w:color="FFFFFF"/>
              <w:left w:val="single" w:sz="8" w:space="0" w:color="FFFFFF"/>
              <w:bottom w:val="single" w:sz="24" w:space="0" w:color="FFFFFF"/>
              <w:right w:val="single" w:sz="8" w:space="0" w:color="FFFFFF"/>
            </w:tcBorders>
            <w:shd w:val="clear" w:color="auto" w:fill="0070C0"/>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rFonts w:ascii="Calibri" w:hAnsi="Calibri" w:cs="Calibri"/>
                <w:bCs/>
                <w:color w:val="FFFFFF"/>
                <w:kern w:val="24"/>
                <w:sz w:val="18"/>
                <w:szCs w:val="18"/>
                <w:u w:color="FFFFFF"/>
                <w:bdr w:val="nil"/>
                <w:lang w:val="es-ES_tradnl" w:eastAsia="es-CL"/>
              </w:rPr>
              <w:t>Temática</w:t>
            </w:r>
          </w:p>
        </w:tc>
        <w:tc>
          <w:tcPr>
            <w:tcW w:w="2514" w:type="dxa"/>
            <w:tcBorders>
              <w:top w:val="single" w:sz="8" w:space="0" w:color="FFFFFF"/>
              <w:left w:val="single" w:sz="8" w:space="0" w:color="FFFFFF"/>
              <w:bottom w:val="single" w:sz="24" w:space="0" w:color="FFFFFF"/>
              <w:right w:val="single" w:sz="8" w:space="0" w:color="FFFFFF"/>
            </w:tcBorders>
            <w:shd w:val="clear" w:color="auto" w:fill="0070C0"/>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rFonts w:ascii="Calibri" w:hAnsi="Calibri" w:cs="Calibri"/>
                <w:bCs/>
                <w:color w:val="FFFFFF"/>
                <w:kern w:val="24"/>
                <w:sz w:val="18"/>
                <w:szCs w:val="18"/>
                <w:u w:color="FFFFFF"/>
                <w:bdr w:val="nil"/>
                <w:lang w:val="es-ES_tradnl" w:eastAsia="es-CL"/>
              </w:rPr>
              <w:t>N° Actividades</w:t>
            </w:r>
          </w:p>
        </w:tc>
        <w:tc>
          <w:tcPr>
            <w:tcW w:w="2002" w:type="dxa"/>
            <w:tcBorders>
              <w:top w:val="single" w:sz="8" w:space="0" w:color="FFFFFF"/>
              <w:left w:val="single" w:sz="8" w:space="0" w:color="FFFFFF"/>
              <w:bottom w:val="single" w:sz="24" w:space="0" w:color="FFFFFF"/>
              <w:right w:val="single" w:sz="8" w:space="0" w:color="FFFFFF"/>
            </w:tcBorders>
            <w:shd w:val="clear" w:color="auto" w:fill="0070C0"/>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rFonts w:ascii="Calibri" w:hAnsi="Calibri" w:cs="Calibri"/>
                <w:bCs/>
                <w:color w:val="FFFFFF"/>
                <w:kern w:val="24"/>
                <w:sz w:val="18"/>
                <w:szCs w:val="18"/>
                <w:u w:color="FFFFFF"/>
                <w:bdr w:val="nil"/>
                <w:lang w:val="es-ES_tradnl" w:eastAsia="es-CL"/>
              </w:rPr>
              <w:t>Participantes</w:t>
            </w:r>
          </w:p>
        </w:tc>
      </w:tr>
      <w:tr>
        <w:tblPrEx>
          <w:tblCellMar>
            <w:top w:w="0" w:type="dxa"/>
            <w:left w:w="0" w:type="dxa"/>
            <w:bottom w:w="0" w:type="dxa"/>
            <w:right w:w="0" w:type="dxa"/>
          </w:tblCellMar>
        </w:tblPrEx>
        <w:trPr>
          <w:trHeight w:val="602"/>
          <w:jc w:val="center"/>
        </w:trPr>
        <w:tc>
          <w:tcPr>
            <w:tcW w:w="4721" w:type="dxa"/>
            <w:tcBorders>
              <w:top w:val="single" w:sz="24" w:space="0" w:color="FFFFFF"/>
              <w:left w:val="single" w:sz="8" w:space="0" w:color="FFFFFF"/>
              <w:bottom w:val="single" w:sz="8" w:space="0" w:color="FFFFFF"/>
              <w:right w:val="single" w:sz="8" w:space="0" w:color="FFFFFF"/>
            </w:tcBorders>
            <w:shd w:val="clear" w:color="auto" w:fill="D2DEEF"/>
            <w:tcMar>
              <w:top w:w="80" w:type="dxa"/>
              <w:left w:w="80" w:type="dxa"/>
              <w:bottom w:w="80" w:type="dxa"/>
              <w:right w:w="80" w:type="dxa"/>
            </w:tcMar>
            <w:vAlign w:val="center"/>
          </w:tcPr>
          <w:p>
            <w:pPr>
              <w:pBdr>
                <w:top w:val="nil"/>
                <w:left w:val="nil"/>
                <w:bottom w:val="nil"/>
                <w:right w:val="nil"/>
                <w:between w:val="nil"/>
                <w:bar w:val="nil"/>
              </w:pBdr>
              <w:tabs>
                <w:tab w:val="clear" w:pos="2835"/>
              </w:tabs>
              <w:jc w:val="left"/>
              <w:rPr>
                <w:rFonts w:eastAsia="Arial"/>
                <w:b w:val="0"/>
                <w:color w:val="000000"/>
                <w:sz w:val="18"/>
                <w:szCs w:val="18"/>
                <w:u w:color="000000"/>
                <w:bdr w:val="nil"/>
                <w:lang w:val="es-ES_tradnl" w:eastAsia="es-CL"/>
              </w:rPr>
            </w:pPr>
            <w:r>
              <w:rPr>
                <w:rFonts w:ascii="Calibri" w:hAnsi="Calibri" w:cs="Calibri"/>
                <w:b w:val="0"/>
                <w:color w:val="262626"/>
                <w:kern w:val="24"/>
                <w:sz w:val="18"/>
                <w:szCs w:val="18"/>
                <w:u w:color="262626"/>
                <w:bdr w:val="nil"/>
                <w:lang w:val="es-ES_tradnl" w:eastAsia="es-CL"/>
              </w:rPr>
              <w:t>Simplificaciones a la Reforma Tributaria para Contribuyentes 14TER y Novedades Operación Renta 2016.</w:t>
            </w:r>
          </w:p>
        </w:tc>
        <w:tc>
          <w:tcPr>
            <w:tcW w:w="2514" w:type="dxa"/>
            <w:tcBorders>
              <w:top w:val="single" w:sz="24" w:space="0" w:color="FFFFFF"/>
              <w:left w:val="single" w:sz="8" w:space="0" w:color="FFFFFF"/>
              <w:bottom w:val="single" w:sz="8" w:space="0" w:color="FFFFFF"/>
              <w:right w:val="single" w:sz="8" w:space="0" w:color="FFFFFF"/>
            </w:tcBorders>
            <w:shd w:val="clear" w:color="auto" w:fill="D2DEEF"/>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rFonts w:ascii="Calibri" w:hAnsi="Calibri" w:cs="Calibri"/>
                <w:b w:val="0"/>
                <w:color w:val="262626"/>
                <w:kern w:val="24"/>
                <w:sz w:val="18"/>
                <w:szCs w:val="18"/>
                <w:u w:color="262626"/>
                <w:bdr w:val="nil"/>
                <w:lang w:val="es-ES_tradnl" w:eastAsia="es-CL"/>
              </w:rPr>
              <w:t>44 versiones</w:t>
            </w:r>
          </w:p>
        </w:tc>
        <w:tc>
          <w:tcPr>
            <w:tcW w:w="2002" w:type="dxa"/>
            <w:tcBorders>
              <w:top w:val="single" w:sz="24" w:space="0" w:color="FFFFFF"/>
              <w:left w:val="single" w:sz="8" w:space="0" w:color="FFFFFF"/>
              <w:bottom w:val="single" w:sz="8" w:space="0" w:color="FFFFFF"/>
              <w:right w:val="single" w:sz="8" w:space="0" w:color="FFFFFF"/>
            </w:tcBorders>
            <w:shd w:val="clear" w:color="auto" w:fill="D2DEEF"/>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rFonts w:ascii="Calibri" w:hAnsi="Calibri" w:cs="Calibri"/>
                <w:b w:val="0"/>
                <w:color w:val="262626"/>
                <w:kern w:val="24"/>
                <w:sz w:val="18"/>
                <w:szCs w:val="18"/>
                <w:u w:color="262626"/>
                <w:bdr w:val="nil"/>
                <w:lang w:val="es-ES_tradnl" w:eastAsia="es-CL"/>
              </w:rPr>
              <w:t>4.193 asesores y contadores</w:t>
            </w:r>
          </w:p>
        </w:tc>
      </w:tr>
      <w:tr>
        <w:tblPrEx>
          <w:tblCellMar>
            <w:top w:w="0" w:type="dxa"/>
            <w:left w:w="0" w:type="dxa"/>
            <w:bottom w:w="0" w:type="dxa"/>
            <w:right w:w="0" w:type="dxa"/>
          </w:tblCellMar>
        </w:tblPrEx>
        <w:trPr>
          <w:trHeight w:val="643"/>
          <w:jc w:val="center"/>
        </w:trPr>
        <w:tc>
          <w:tcPr>
            <w:tcW w:w="4721" w:type="dxa"/>
            <w:tcBorders>
              <w:top w:val="single" w:sz="8" w:space="0" w:color="FFFFFF"/>
              <w:left w:val="single" w:sz="8" w:space="0" w:color="FFFFFF"/>
              <w:bottom w:val="single" w:sz="8" w:space="0" w:color="FFFFFF"/>
              <w:right w:val="single" w:sz="8" w:space="0" w:color="FFFFFF"/>
            </w:tcBorders>
            <w:shd w:val="clear" w:color="auto" w:fill="EAEFF7"/>
            <w:tcMar>
              <w:top w:w="80" w:type="dxa"/>
              <w:left w:w="80" w:type="dxa"/>
              <w:bottom w:w="80" w:type="dxa"/>
              <w:right w:w="80" w:type="dxa"/>
            </w:tcMar>
            <w:vAlign w:val="center"/>
          </w:tcPr>
          <w:p>
            <w:pPr>
              <w:pBdr>
                <w:top w:val="nil"/>
                <w:left w:val="nil"/>
                <w:bottom w:val="nil"/>
                <w:right w:val="nil"/>
                <w:between w:val="nil"/>
                <w:bar w:val="nil"/>
              </w:pBdr>
              <w:tabs>
                <w:tab w:val="clear" w:pos="2835"/>
              </w:tabs>
              <w:jc w:val="left"/>
              <w:rPr>
                <w:rFonts w:eastAsia="Arial"/>
                <w:b w:val="0"/>
                <w:color w:val="000000"/>
                <w:sz w:val="18"/>
                <w:szCs w:val="18"/>
                <w:u w:color="000000"/>
                <w:bdr w:val="nil"/>
                <w:lang w:val="es-ES_tradnl" w:eastAsia="es-CL"/>
              </w:rPr>
            </w:pPr>
            <w:r>
              <w:rPr>
                <w:rFonts w:ascii="Calibri" w:hAnsi="Calibri" w:cs="Calibri"/>
                <w:b w:val="0"/>
                <w:color w:val="000000"/>
                <w:kern w:val="24"/>
                <w:sz w:val="18"/>
                <w:szCs w:val="18"/>
                <w:u w:color="000000"/>
                <w:bdr w:val="nil"/>
                <w:lang w:val="es-ES_tradnl" w:eastAsia="es-CL"/>
              </w:rPr>
              <w:t>Otras charlas a contribuyentes y alumnos de materias en general</w:t>
            </w:r>
          </w:p>
        </w:tc>
        <w:tc>
          <w:tcPr>
            <w:tcW w:w="2514" w:type="dxa"/>
            <w:tcBorders>
              <w:top w:val="single" w:sz="8" w:space="0" w:color="FFFFFF"/>
              <w:left w:val="single" w:sz="8" w:space="0" w:color="FFFFFF"/>
              <w:bottom w:val="single" w:sz="8" w:space="0" w:color="FFFFFF"/>
              <w:right w:val="single" w:sz="8" w:space="0" w:color="FFFFFF"/>
            </w:tcBorders>
            <w:shd w:val="clear" w:color="auto" w:fill="EAEFF7"/>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rFonts w:ascii="Calibri" w:hAnsi="Calibri" w:cs="Calibri"/>
                <w:b w:val="0"/>
                <w:color w:val="000000"/>
                <w:kern w:val="24"/>
                <w:sz w:val="18"/>
                <w:szCs w:val="18"/>
                <w:u w:color="000000"/>
                <w:bdr w:val="nil"/>
                <w:lang w:val="es-ES_tradnl" w:eastAsia="es-CL"/>
              </w:rPr>
              <w:t>197 versiones</w:t>
            </w:r>
          </w:p>
        </w:tc>
        <w:tc>
          <w:tcPr>
            <w:tcW w:w="2002" w:type="dxa"/>
            <w:tcBorders>
              <w:top w:val="single" w:sz="8" w:space="0" w:color="FFFFFF"/>
              <w:left w:val="single" w:sz="8" w:space="0" w:color="FFFFFF"/>
              <w:bottom w:val="single" w:sz="8" w:space="0" w:color="FFFFFF"/>
              <w:right w:val="single" w:sz="8" w:space="0" w:color="FFFFFF"/>
            </w:tcBorders>
            <w:shd w:val="clear" w:color="auto" w:fill="EAEFF7"/>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rFonts w:ascii="Calibri" w:hAnsi="Calibri" w:cs="Calibri"/>
                <w:b w:val="0"/>
                <w:color w:val="262626"/>
                <w:kern w:val="24"/>
                <w:sz w:val="18"/>
                <w:szCs w:val="18"/>
                <w:u w:color="262626"/>
                <w:bdr w:val="nil"/>
                <w:lang w:val="es-ES_tradnl" w:eastAsia="es-CL"/>
              </w:rPr>
              <w:t>27.639 contribuyentes 24.190 alumnos</w:t>
            </w:r>
          </w:p>
        </w:tc>
      </w:tr>
      <w:tr>
        <w:tblPrEx>
          <w:tblCellMar>
            <w:top w:w="0" w:type="dxa"/>
            <w:left w:w="0" w:type="dxa"/>
            <w:bottom w:w="0" w:type="dxa"/>
            <w:right w:w="0" w:type="dxa"/>
          </w:tblCellMar>
        </w:tblPrEx>
        <w:trPr>
          <w:trHeight w:val="727"/>
          <w:jc w:val="center"/>
        </w:trPr>
        <w:tc>
          <w:tcPr>
            <w:tcW w:w="4721" w:type="dxa"/>
            <w:tcBorders>
              <w:top w:val="single" w:sz="8" w:space="0" w:color="FFFFFF"/>
              <w:left w:val="single" w:sz="8" w:space="0" w:color="FFFFFF"/>
              <w:bottom w:val="single" w:sz="8" w:space="0" w:color="FFFFFF"/>
              <w:right w:val="single" w:sz="8" w:space="0" w:color="FFFFFF"/>
            </w:tcBorders>
            <w:shd w:val="clear" w:color="auto" w:fill="D2DEEF"/>
            <w:tcMar>
              <w:top w:w="80" w:type="dxa"/>
              <w:left w:w="80" w:type="dxa"/>
              <w:bottom w:w="80" w:type="dxa"/>
              <w:right w:w="80" w:type="dxa"/>
            </w:tcMar>
            <w:vAlign w:val="center"/>
          </w:tcPr>
          <w:p>
            <w:pPr>
              <w:pBdr>
                <w:top w:val="nil"/>
                <w:left w:val="nil"/>
                <w:bottom w:val="nil"/>
                <w:right w:val="nil"/>
                <w:between w:val="nil"/>
                <w:bar w:val="nil"/>
              </w:pBdr>
              <w:tabs>
                <w:tab w:val="clear" w:pos="2835"/>
              </w:tabs>
              <w:jc w:val="left"/>
              <w:rPr>
                <w:rFonts w:eastAsia="Arial"/>
                <w:b w:val="0"/>
                <w:color w:val="000000"/>
                <w:sz w:val="18"/>
                <w:szCs w:val="18"/>
                <w:u w:color="000000"/>
                <w:bdr w:val="nil"/>
                <w:lang w:val="es-ES_tradnl" w:eastAsia="es-CL"/>
              </w:rPr>
            </w:pPr>
            <w:r>
              <w:rPr>
                <w:rFonts w:ascii="Calibri" w:hAnsi="Calibri" w:cs="Calibri"/>
                <w:b w:val="0"/>
                <w:color w:val="262626"/>
                <w:kern w:val="24"/>
                <w:sz w:val="18"/>
                <w:szCs w:val="18"/>
                <w:u w:color="262626"/>
                <w:bdr w:val="nil"/>
                <w:lang w:val="es-ES_tradnl" w:eastAsia="es-CL"/>
              </w:rPr>
              <w:t>Nuevos Regímenes de Renta: Sistema Atribuido y Parcialmente Integrado (por realizar)</w:t>
            </w:r>
          </w:p>
        </w:tc>
        <w:tc>
          <w:tcPr>
            <w:tcW w:w="2514" w:type="dxa"/>
            <w:tcBorders>
              <w:top w:val="single" w:sz="8" w:space="0" w:color="FFFFFF"/>
              <w:left w:val="single" w:sz="8" w:space="0" w:color="FFFFFF"/>
              <w:bottom w:val="single" w:sz="8" w:space="0" w:color="FFFFFF"/>
              <w:right w:val="single" w:sz="8" w:space="0" w:color="FFFFFF"/>
            </w:tcBorders>
            <w:shd w:val="clear" w:color="auto" w:fill="D2DEEF"/>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rFonts w:ascii="Calibri" w:hAnsi="Calibri" w:cs="Calibri"/>
                <w:b w:val="0"/>
                <w:color w:val="262626"/>
                <w:kern w:val="24"/>
                <w:sz w:val="18"/>
                <w:szCs w:val="18"/>
                <w:u w:color="262626"/>
                <w:bdr w:val="nil"/>
                <w:lang w:val="es-ES_tradnl" w:eastAsia="es-CL"/>
              </w:rPr>
              <w:t>74 versiones programadas para realizar segundo semestre</w:t>
            </w:r>
          </w:p>
        </w:tc>
        <w:tc>
          <w:tcPr>
            <w:tcW w:w="2002" w:type="dxa"/>
            <w:tcBorders>
              <w:top w:val="single" w:sz="8" w:space="0" w:color="FFFFFF"/>
              <w:left w:val="single" w:sz="8" w:space="0" w:color="FFFFFF"/>
              <w:bottom w:val="single" w:sz="8" w:space="0" w:color="FFFFFF"/>
              <w:right w:val="single" w:sz="8" w:space="0" w:color="FFFFFF"/>
            </w:tcBorders>
            <w:shd w:val="clear" w:color="auto" w:fill="D2DEEF"/>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rFonts w:ascii="Calibri" w:hAnsi="Calibri" w:cs="Calibri"/>
                <w:b w:val="0"/>
                <w:color w:val="262626"/>
                <w:kern w:val="24"/>
                <w:sz w:val="18"/>
                <w:szCs w:val="18"/>
                <w:u w:color="262626"/>
                <w:bdr w:val="nil"/>
                <w:lang w:val="es-ES_tradnl" w:eastAsia="es-CL"/>
              </w:rPr>
              <w:t>-</w:t>
            </w:r>
          </w:p>
        </w:tc>
      </w:tr>
    </w:tbl>
    <w:p>
      <w:pPr>
        <w:widowControl w:val="0"/>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jc w:val="center"/>
        <w:rPr>
          <w:rFonts w:eastAsia="Arial"/>
          <w:b w:val="0"/>
          <w:color w:val="000000"/>
          <w:u w:color="000000"/>
          <w:bdr w:val="nil"/>
          <w:lang w:val="es-ES_tradnl" w:eastAsia="es-CL"/>
        </w:rPr>
      </w:pPr>
      <w:r>
        <w:rPr>
          <w:rFonts w:eastAsia="Arial Unicode MS" w:cs="Arial Unicode MS"/>
          <w:bCs/>
          <w:color w:val="000000"/>
          <w:u w:color="000000"/>
          <w:bdr w:val="nil"/>
          <w:lang w:val="es-ES_tradnl" w:eastAsia="es-CL"/>
        </w:rPr>
        <w:t>Indicadores de Acción Institucional</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jc w:val="center"/>
        <w:rPr>
          <w:rFonts w:eastAsia="Arial"/>
          <w:b w:val="0"/>
          <w:color w:val="000000"/>
          <w:u w:color="000000"/>
          <w:bdr w:val="nil"/>
          <w:lang w:val="es-ES_tradnl" w:eastAsia="es-CL"/>
        </w:rPr>
      </w:pPr>
      <w:r>
        <w:rPr>
          <w:rFonts w:eastAsia="Arial"/>
          <w:b w:val="0"/>
          <w:noProof/>
          <w:color w:val="000000"/>
          <w:u w:color="000000"/>
          <w:bdr w:val="nil"/>
          <w:lang w:eastAsia="es-CL"/>
        </w:rPr>
        <w:pict>
          <v:shape id="_x0000_i1040" type="#_x0000_t75" style="width:436.95pt;height:238.85pt;visibility:visible">
            <v:imagedata r:id="rId23" o:title=""/>
          </v:shape>
        </w:pict>
      </w:r>
    </w:p>
    <w:p>
      <w:pPr>
        <w:pBdr>
          <w:top w:val="nil"/>
          <w:left w:val="nil"/>
          <w:bottom w:val="nil"/>
          <w:right w:val="nil"/>
          <w:between w:val="nil"/>
          <w:bar w:val="nil"/>
        </w:pBdr>
        <w:rPr>
          <w:rFonts w:eastAsia="Arial"/>
          <w:b w:val="0"/>
          <w:color w:val="000000"/>
          <w:sz w:val="20"/>
          <w:szCs w:val="20"/>
          <w:u w:color="000000"/>
          <w:bdr w:val="nil"/>
          <w:lang w:val="es-ES_tradnl" w:eastAsia="es-CL"/>
        </w:rPr>
      </w:pPr>
      <w:r>
        <w:rPr>
          <w:rFonts w:eastAsia="Arial Unicode MS" w:cs="Arial Unicode MS"/>
          <w:b w:val="0"/>
          <w:color w:val="000000"/>
          <w:sz w:val="20"/>
          <w:szCs w:val="20"/>
          <w:u w:color="000000"/>
          <w:bdr w:val="nil"/>
          <w:lang w:val="es-ES_tradnl" w:eastAsia="es-CL"/>
        </w:rPr>
        <w:t>(*) Este indicador se reinicia cada año, y su denominador es constante, por lo que el valor durante el año se va incrementando, tendiendo a fin de año al 100%.</w:t>
      </w:r>
    </w:p>
    <w:p>
      <w:pPr>
        <w:pBdr>
          <w:top w:val="nil"/>
          <w:left w:val="nil"/>
          <w:bottom w:val="nil"/>
          <w:right w:val="nil"/>
          <w:between w:val="nil"/>
          <w:bar w:val="nil"/>
        </w:pBdr>
        <w:rPr>
          <w:rFonts w:eastAsia="Arial"/>
          <w:b w:val="0"/>
          <w:color w:val="000000"/>
          <w:sz w:val="20"/>
          <w:szCs w:val="20"/>
          <w:u w:color="000000"/>
          <w:bdr w:val="nil"/>
          <w:lang w:val="es-ES_tradnl" w:eastAsia="es-CL"/>
        </w:rPr>
      </w:pPr>
      <w:r>
        <w:rPr>
          <w:rFonts w:eastAsia="Arial Unicode MS" w:cs="Arial Unicode MS"/>
          <w:b w:val="0"/>
          <w:color w:val="000000"/>
          <w:sz w:val="20"/>
          <w:szCs w:val="20"/>
          <w:u w:color="000000"/>
          <w:bdr w:val="nil"/>
          <w:lang w:val="es-ES_tradnl" w:eastAsia="es-CL"/>
        </w:rPr>
        <w:t>Nota: Los indicadores señalados corresponden a mediciones de los instrumentos de gestión Formulario H y/o Convenio de Desempeño, además de otros indicadores de gestión.</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Cs/>
          <w:color w:val="000000"/>
          <w:u w:color="000000"/>
          <w:bdr w:val="nil"/>
          <w:lang w:val="es-ES_tradnl" w:eastAsia="es-CL"/>
        </w:rPr>
      </w:pPr>
    </w:p>
    <w:p>
      <w:pPr>
        <w:pBdr>
          <w:top w:val="nil"/>
          <w:left w:val="nil"/>
          <w:bottom w:val="nil"/>
          <w:right w:val="nil"/>
          <w:between w:val="nil"/>
          <w:bar w:val="nil"/>
        </w:pBdr>
        <w:rPr>
          <w:rFonts w:eastAsia="Arial"/>
          <w:bCs/>
          <w:color w:val="000000"/>
          <w:u w:color="000000"/>
          <w:bdr w:val="nil"/>
          <w:lang w:val="es-ES_tradnl" w:eastAsia="es-CL"/>
        </w:rPr>
      </w:pPr>
    </w:p>
    <w:p>
      <w:pPr>
        <w:pBdr>
          <w:top w:val="nil"/>
          <w:left w:val="nil"/>
          <w:bottom w:val="nil"/>
          <w:right w:val="nil"/>
          <w:between w:val="nil"/>
          <w:bar w:val="nil"/>
        </w:pBdr>
        <w:rPr>
          <w:rFonts w:eastAsia="Arial"/>
          <w:bCs/>
          <w:color w:val="000000"/>
          <w:u w:color="000000"/>
          <w:bdr w:val="nil"/>
          <w:lang w:val="es-ES_tradnl" w:eastAsia="es-CL"/>
        </w:rPr>
      </w:pPr>
    </w:p>
    <w:p>
      <w:pPr>
        <w:pBdr>
          <w:top w:val="nil"/>
          <w:left w:val="nil"/>
          <w:bottom w:val="nil"/>
          <w:right w:val="nil"/>
          <w:between w:val="nil"/>
          <w:bar w:val="nil"/>
        </w:pBdr>
        <w:rPr>
          <w:rFonts w:eastAsia="Arial"/>
          <w:bCs/>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w:bCs/>
          <w:color w:val="000000"/>
          <w:u w:color="000000"/>
          <w:bdr w:val="nil"/>
          <w:lang w:val="es-ES_tradnl" w:eastAsia="es-CL"/>
        </w:rPr>
        <w:tab/>
        <w:t>VIII. Asistencia al contribuyente en impuesto territorial</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w:b w:val="0"/>
          <w:color w:val="000000"/>
          <w:u w:color="000000"/>
          <w:bdr w:val="nil"/>
          <w:lang w:val="es-ES_tradnl" w:eastAsia="es-CL"/>
        </w:rPr>
        <w:tab/>
        <w:t>En este acápite, realizó las siguientes observaciones:</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Unicode MS" w:cs="Arial Unicode MS"/>
          <w:b w:val="0"/>
          <w:color w:val="000000"/>
          <w:u w:color="000000"/>
          <w:bdr w:val="nil"/>
          <w:lang w:val="es-ES_tradnl" w:eastAsia="es-CL"/>
        </w:rPr>
      </w:pPr>
      <w:r>
        <w:rPr>
          <w:rFonts w:eastAsia="Arial Unicode MS" w:cs="Arial Unicode MS"/>
          <w:b w:val="0"/>
          <w:color w:val="000000"/>
          <w:u w:color="000000"/>
          <w:bdr w:val="nil"/>
          <w:lang w:val="es-ES_tradnl" w:eastAsia="es-CL"/>
        </w:rPr>
        <w:tab/>
        <w:t>- El 98% de las solicitudes administrativas han sido respondidas dentro de plazo  de un total de 109.873.</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Unicode MS" w:cs="Arial Unicode MS"/>
          <w:b w:val="0"/>
          <w:color w:val="000000"/>
          <w:u w:color="000000"/>
          <w:bdr w:val="nil"/>
          <w:lang w:val="es-ES_tradnl" w:eastAsia="es-CL"/>
        </w:rPr>
      </w:pPr>
      <w:r>
        <w:rPr>
          <w:rFonts w:eastAsia="Arial Unicode MS" w:cs="Arial Unicode MS"/>
          <w:b w:val="0"/>
          <w:color w:val="000000"/>
          <w:u w:color="000000"/>
          <w:bdr w:val="nil"/>
          <w:lang w:val="es-ES_tradnl" w:eastAsia="es-CL"/>
        </w:rPr>
        <w:tab/>
        <w:t>- Se enviaron 748.180 boletines de cobro vía correo electrónico, lo que generó un ahorro por costos de impresión de $23.160.727.</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Unicode MS" w:cs="Arial Unicode MS"/>
          <w:b w:val="0"/>
          <w:color w:val="000000"/>
          <w:u w:color="000000"/>
          <w:bdr w:val="nil"/>
          <w:lang w:val="es-ES_tradnl" w:eastAsia="es-CL"/>
        </w:rPr>
      </w:pPr>
      <w:r>
        <w:rPr>
          <w:rFonts w:eastAsia="Arial Unicode MS" w:cs="Arial Unicode MS"/>
          <w:b w:val="0"/>
          <w:color w:val="000000"/>
          <w:u w:color="000000"/>
          <w:bdr w:val="nil"/>
          <w:lang w:val="es-ES_tradnl" w:eastAsia="es-CL"/>
        </w:rPr>
        <w:tab/>
        <w:t>- Al 30 de septiembre, el 36% de las cuotas de contribuciones emitidas fueron pagadas a través de nuestro sitio web (2.930.121 cuotas pagadas).</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Unicode MS" w:cs="Arial Unicode MS"/>
          <w:b w:val="0"/>
          <w:color w:val="000000"/>
          <w:u w:color="000000"/>
          <w:bdr w:val="nil"/>
          <w:lang w:val="es-ES_tradnl" w:eastAsia="es-CL"/>
        </w:rPr>
      </w:pPr>
      <w:r>
        <w:rPr>
          <w:rFonts w:eastAsia="Arial Unicode MS" w:cs="Arial Unicode MS"/>
          <w:b w:val="0"/>
          <w:color w:val="000000"/>
          <w:u w:color="000000"/>
          <w:bdr w:val="nil"/>
          <w:lang w:val="es-ES_tradnl" w:eastAsia="es-CL"/>
        </w:rPr>
        <w:tab/>
        <w:t>- Se aplicó el beneficio de rebaja de contribuciones a 21.005 adultos mayores, obteniendo un descuento del 62% del valor a pagar. lo que equivale a una rebaja de contribuciones para estos contribuyentes de MM$1.468.</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Unicode MS" w:cs="Arial Unicode MS"/>
          <w:b w:val="0"/>
          <w:color w:val="000000"/>
          <w:u w:color="000000"/>
          <w:bdr w:val="nil"/>
          <w:lang w:val="es-ES_tradnl" w:eastAsia="es-CL"/>
        </w:rPr>
      </w:pPr>
      <w:r>
        <w:rPr>
          <w:rFonts w:eastAsia="Arial Unicode MS" w:cs="Arial Unicode MS"/>
          <w:b w:val="0"/>
          <w:color w:val="000000"/>
          <w:u w:color="000000"/>
          <w:bdr w:val="nil"/>
          <w:lang w:val="es-ES_tradnl" w:eastAsia="es-CL"/>
        </w:rPr>
        <w:tab/>
        <w:t>- Durante el primer semestre se recibieron un total de 19.175 comunicaciones de tasación a valor de mercado para los bienes raíces, en el marco de la reforma tributaria, dando por terminado este proceso. Lo que sumado al año anterior,  da un total de 61.963 comunicaciones.</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 Incremento del 25% de notarios y conservadores de bienes raíces que trabajan en línea, mejorando la oportunidad con que se actualiza el catastro legal de las propiedades.</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color w:val="000000"/>
          <w:u w:color="000000"/>
          <w:bdr w:val="nil"/>
          <w:lang w:val="es-ES_tradnl" w:eastAsia="es-CL"/>
        </w:rPr>
      </w:pPr>
      <w:r>
        <w:rPr>
          <w:rFonts w:eastAsia="Arial"/>
          <w:b w:val="0"/>
          <w:color w:val="000000"/>
          <w:u w:color="000000"/>
          <w:bdr w:val="nil"/>
          <w:lang w:val="es-ES_tradnl" w:eastAsia="es-CL"/>
        </w:rPr>
        <w:tab/>
      </w:r>
      <w:r>
        <w:rPr>
          <w:rFonts w:eastAsia="Arial"/>
          <w:color w:val="000000"/>
          <w:u w:color="000000"/>
          <w:bdr w:val="nil"/>
          <w:lang w:val="es-ES_tradnl" w:eastAsia="es-CL"/>
        </w:rPr>
        <w:t>IX. Presupuesto 2017</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bCs/>
          <w:color w:val="000000"/>
          <w:u w:color="000000"/>
          <w:bdr w:val="nil"/>
          <w:lang w:val="es-ES_tradnl" w:eastAsia="es-CL"/>
        </w:rPr>
      </w:pPr>
      <w:r>
        <w:rPr>
          <w:rFonts w:eastAsia="Arial"/>
          <w:b w:val="0"/>
          <w:color w:val="000000"/>
          <w:u w:color="000000"/>
          <w:bdr w:val="nil"/>
          <w:lang w:val="es-ES_tradnl" w:eastAsia="es-CL"/>
        </w:rPr>
        <w:tab/>
      </w:r>
      <w:r>
        <w:rPr>
          <w:rFonts w:eastAsia="Arial"/>
          <w:b w:val="0"/>
          <w:bCs/>
          <w:color w:val="000000"/>
          <w:u w:color="000000"/>
          <w:bdr w:val="nil"/>
          <w:lang w:val="es-ES_tradnl" w:eastAsia="es-CL"/>
        </w:rPr>
        <w:t>A este respecto, comenzó el análisis del punto considerando la variación presupuestaria entre las cantidades dispuestas para el año en curso y los montos proyectados para el año 2017, a través del recuadro que a continuación se señala.</w:t>
      </w:r>
    </w:p>
    <w:p>
      <w:pPr>
        <w:pBdr>
          <w:top w:val="nil"/>
          <w:left w:val="nil"/>
          <w:bottom w:val="nil"/>
          <w:right w:val="nil"/>
          <w:between w:val="nil"/>
          <w:bar w:val="nil"/>
        </w:pBdr>
        <w:rPr>
          <w:rFonts w:eastAsia="Arial"/>
          <w:bCs/>
          <w:color w:val="000000"/>
          <w:u w:color="000000"/>
          <w:bdr w:val="nil"/>
          <w:lang w:val="es-ES_tradnl" w:eastAsia="es-CL"/>
        </w:rPr>
      </w:pPr>
    </w:p>
    <w:p>
      <w:pPr>
        <w:pBdr>
          <w:top w:val="nil"/>
          <w:left w:val="nil"/>
          <w:bottom w:val="nil"/>
          <w:right w:val="nil"/>
          <w:between w:val="nil"/>
          <w:bar w:val="nil"/>
        </w:pBdr>
        <w:rPr>
          <w:rFonts w:eastAsia="Arial"/>
          <w:bCs/>
          <w:color w:val="000000"/>
          <w:u w:color="000000"/>
          <w:bdr w:val="nil"/>
          <w:lang w:val="es-ES_tradnl" w:eastAsia="es-CL"/>
        </w:rPr>
      </w:pPr>
    </w:p>
    <w:p>
      <w:pPr>
        <w:pBdr>
          <w:top w:val="nil"/>
          <w:left w:val="nil"/>
          <w:bottom w:val="nil"/>
          <w:right w:val="nil"/>
          <w:between w:val="nil"/>
          <w:bar w:val="nil"/>
        </w:pBdr>
        <w:rPr>
          <w:rFonts w:eastAsia="Arial"/>
          <w:bCs/>
          <w:color w:val="000000"/>
          <w:u w:color="000000"/>
          <w:bdr w:val="nil"/>
          <w:lang w:val="es-ES_tradnl" w:eastAsia="es-CL"/>
        </w:rPr>
      </w:pPr>
    </w:p>
    <w:p>
      <w:pPr>
        <w:pBdr>
          <w:top w:val="nil"/>
          <w:left w:val="nil"/>
          <w:bottom w:val="nil"/>
          <w:right w:val="nil"/>
          <w:between w:val="nil"/>
          <w:bar w:val="nil"/>
        </w:pBdr>
        <w:rPr>
          <w:rFonts w:eastAsia="Arial"/>
          <w:bCs/>
          <w:color w:val="000000"/>
          <w:u w:color="000000"/>
          <w:bdr w:val="nil"/>
          <w:lang w:val="es-ES_tradnl" w:eastAsia="es-CL"/>
        </w:rPr>
      </w:pPr>
    </w:p>
    <w:p>
      <w:pPr>
        <w:pBdr>
          <w:top w:val="nil"/>
          <w:left w:val="nil"/>
          <w:bottom w:val="nil"/>
          <w:right w:val="nil"/>
          <w:between w:val="nil"/>
          <w:bar w:val="nil"/>
        </w:pBdr>
        <w:jc w:val="center"/>
        <w:rPr>
          <w:rFonts w:eastAsia="Arial"/>
          <w:b w:val="0"/>
          <w:color w:val="000000"/>
          <w:u w:color="000000"/>
          <w:bdr w:val="nil"/>
          <w:lang w:val="es-ES_tradnl" w:eastAsia="es-CL"/>
        </w:rPr>
      </w:pPr>
      <w:r>
        <w:rPr>
          <w:rFonts w:eastAsia="Arial Unicode MS" w:cs="Arial Unicode MS"/>
          <w:bCs/>
          <w:color w:val="000000"/>
          <w:u w:color="000000"/>
          <w:bdr w:val="nil"/>
          <w:lang w:val="es-ES_tradnl" w:eastAsia="es-CL"/>
        </w:rPr>
        <w:t>Presupuesto 2017 – cifras comparadas (en $ de 2017)</w:t>
      </w:r>
    </w:p>
    <w:tbl>
      <w:tblPr>
        <w:tblW w:w="9108" w:type="dxa"/>
        <w:jc w:val="center"/>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3035"/>
        <w:gridCol w:w="1619"/>
        <w:gridCol w:w="1915"/>
        <w:gridCol w:w="1246"/>
        <w:gridCol w:w="1293"/>
      </w:tblGrid>
      <w:tr>
        <w:tblPrEx>
          <w:tblCellMar>
            <w:top w:w="0" w:type="dxa"/>
            <w:left w:w="0" w:type="dxa"/>
            <w:bottom w:w="0" w:type="dxa"/>
            <w:right w:w="0" w:type="dxa"/>
          </w:tblCellMar>
        </w:tblPrEx>
        <w:trPr>
          <w:trHeight w:val="332"/>
          <w:jc w:val="center"/>
        </w:trPr>
        <w:tc>
          <w:tcPr>
            <w:tcW w:w="3035" w:type="dxa"/>
            <w:tcBorders>
              <w:top w:val="nil"/>
              <w:left w:val="nil"/>
              <w:bottom w:val="nil"/>
              <w:right w:val="single" w:sz="8" w:space="0" w:color="FFFFFF"/>
            </w:tcBorders>
            <w:shd w:val="clear" w:color="auto" w:fill="B9CDE5"/>
            <w:tcMar>
              <w:top w:w="80" w:type="dxa"/>
              <w:left w:w="80" w:type="dxa"/>
              <w:bottom w:w="80" w:type="dxa"/>
              <w:right w:w="80" w:type="dxa"/>
            </w:tcMar>
          </w:tcPr>
          <w:p>
            <w:pPr>
              <w:pBdr>
                <w:top w:val="nil"/>
                <w:left w:val="nil"/>
                <w:bottom w:val="nil"/>
                <w:right w:val="nil"/>
                <w:between w:val="nil"/>
                <w:bar w:val="nil"/>
              </w:pBdr>
              <w:tabs>
                <w:tab w:val="clear" w:pos="2835"/>
              </w:tabs>
              <w:jc w:val="left"/>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CAPÍTULO 03 - Programa 01</w:t>
            </w:r>
          </w:p>
        </w:tc>
        <w:tc>
          <w:tcPr>
            <w:tcW w:w="3534" w:type="dxa"/>
            <w:gridSpan w:val="2"/>
            <w:tcBorders>
              <w:top w:val="single" w:sz="8" w:space="0" w:color="FFFFFF"/>
              <w:left w:val="single" w:sz="8" w:space="0" w:color="FFFFFF"/>
              <w:bottom w:val="single" w:sz="8" w:space="0" w:color="FFFFFF"/>
              <w:right w:val="single" w:sz="8" w:space="0" w:color="FFFFFF"/>
            </w:tcBorders>
            <w:shd w:val="clear" w:color="auto" w:fill="B9CDE5"/>
            <w:tcMar>
              <w:top w:w="80" w:type="dxa"/>
              <w:left w:w="80" w:type="dxa"/>
              <w:bottom w:w="80" w:type="dxa"/>
              <w:right w:w="80" w:type="dxa"/>
            </w:tcMa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Ley de Presupuesto</w:t>
            </w:r>
          </w:p>
        </w:tc>
        <w:tc>
          <w:tcPr>
            <w:tcW w:w="2539" w:type="dxa"/>
            <w:gridSpan w:val="2"/>
            <w:tcBorders>
              <w:top w:val="single" w:sz="8" w:space="0" w:color="FFFFFF"/>
              <w:left w:val="single" w:sz="8" w:space="0" w:color="FFFFFF"/>
              <w:bottom w:val="single" w:sz="8" w:space="0" w:color="FFFFFF"/>
              <w:right w:val="single" w:sz="8" w:space="0" w:color="FFFFFF"/>
            </w:tcBorders>
            <w:shd w:val="clear" w:color="auto" w:fill="B9CDE5"/>
            <w:tcMar>
              <w:top w:w="80" w:type="dxa"/>
              <w:left w:w="80" w:type="dxa"/>
              <w:bottom w:w="80" w:type="dxa"/>
              <w:right w:w="80" w:type="dxa"/>
            </w:tcMa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Variación</w:t>
            </w:r>
          </w:p>
        </w:tc>
      </w:tr>
      <w:tr>
        <w:tblPrEx>
          <w:tblCellMar>
            <w:top w:w="0" w:type="dxa"/>
            <w:left w:w="0" w:type="dxa"/>
            <w:bottom w:w="0" w:type="dxa"/>
            <w:right w:w="0" w:type="dxa"/>
          </w:tblCellMar>
        </w:tblPrEx>
        <w:trPr>
          <w:trHeight w:val="382"/>
          <w:jc w:val="center"/>
        </w:trPr>
        <w:tc>
          <w:tcPr>
            <w:tcW w:w="3035" w:type="dxa"/>
            <w:tcBorders>
              <w:top w:val="nil"/>
              <w:left w:val="nil"/>
              <w:bottom w:val="single" w:sz="8" w:space="0" w:color="FFFFFF"/>
              <w:right w:val="single" w:sz="8" w:space="0" w:color="FFFFFF"/>
            </w:tcBorders>
            <w:shd w:val="clear" w:color="auto" w:fill="B9CDE5"/>
            <w:tcMar>
              <w:top w:w="80" w:type="dxa"/>
              <w:left w:w="80" w:type="dxa"/>
              <w:bottom w:w="80" w:type="dxa"/>
              <w:right w:w="80" w:type="dxa"/>
            </w:tcMar>
          </w:tcPr>
          <w:p>
            <w:pPr>
              <w:pBdr>
                <w:top w:val="nil"/>
                <w:left w:val="nil"/>
                <w:bottom w:val="nil"/>
                <w:right w:val="nil"/>
                <w:between w:val="nil"/>
                <w:bar w:val="nil"/>
              </w:pBdr>
              <w:tabs>
                <w:tab w:val="clear" w:pos="2835"/>
              </w:tabs>
              <w:jc w:val="left"/>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SERVICIO DE IMPUESTOS INTERNOS</w:t>
            </w:r>
          </w:p>
        </w:tc>
        <w:tc>
          <w:tcPr>
            <w:tcW w:w="1619" w:type="dxa"/>
            <w:tcBorders>
              <w:top w:val="single" w:sz="8" w:space="0" w:color="FFFFFF"/>
              <w:left w:val="single" w:sz="8" w:space="0" w:color="FFFFFF"/>
              <w:bottom w:val="single" w:sz="8" w:space="0" w:color="FFFFFF"/>
              <w:right w:val="single" w:sz="8" w:space="0" w:color="FFFFFF"/>
            </w:tcBorders>
            <w:shd w:val="clear" w:color="auto" w:fill="B9CDE5"/>
            <w:tcMar>
              <w:top w:w="80" w:type="dxa"/>
              <w:left w:w="80" w:type="dxa"/>
              <w:bottom w:w="80" w:type="dxa"/>
              <w:right w:w="80" w:type="dxa"/>
            </w:tcMa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Año 2016</w:t>
            </w:r>
          </w:p>
        </w:tc>
        <w:tc>
          <w:tcPr>
            <w:tcW w:w="1915" w:type="dxa"/>
            <w:tcBorders>
              <w:top w:val="single" w:sz="8" w:space="0" w:color="FFFFFF"/>
              <w:left w:val="single" w:sz="8" w:space="0" w:color="FFFFFF"/>
              <w:bottom w:val="single" w:sz="8" w:space="0" w:color="FFFFFF"/>
              <w:right w:val="single" w:sz="8" w:space="0" w:color="FFFFFF"/>
            </w:tcBorders>
            <w:shd w:val="clear" w:color="auto" w:fill="B9CDE5"/>
            <w:tcMar>
              <w:top w:w="80" w:type="dxa"/>
              <w:left w:w="80" w:type="dxa"/>
              <w:bottom w:w="80" w:type="dxa"/>
              <w:right w:w="80" w:type="dxa"/>
            </w:tcMa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Año 2017</w:t>
            </w:r>
          </w:p>
        </w:tc>
        <w:tc>
          <w:tcPr>
            <w:tcW w:w="1246" w:type="dxa"/>
            <w:tcBorders>
              <w:top w:val="single" w:sz="8" w:space="0" w:color="FFFFFF"/>
              <w:left w:val="single" w:sz="8" w:space="0" w:color="FFFFFF"/>
              <w:bottom w:val="single" w:sz="8" w:space="0" w:color="FFFFFF"/>
              <w:right w:val="single" w:sz="8" w:space="0" w:color="FFFFFF"/>
            </w:tcBorders>
            <w:shd w:val="clear" w:color="auto" w:fill="B9CDE5"/>
            <w:tcMar>
              <w:top w:w="80" w:type="dxa"/>
              <w:left w:w="80" w:type="dxa"/>
              <w:bottom w:w="80" w:type="dxa"/>
              <w:right w:w="80" w:type="dxa"/>
            </w:tcMa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(M$)</w:t>
            </w:r>
          </w:p>
        </w:tc>
        <w:tc>
          <w:tcPr>
            <w:tcW w:w="1293" w:type="dxa"/>
            <w:tcBorders>
              <w:top w:val="single" w:sz="8" w:space="0" w:color="FFFFFF"/>
              <w:left w:val="single" w:sz="8" w:space="0" w:color="FFFFFF"/>
              <w:bottom w:val="single" w:sz="8" w:space="0" w:color="FFFFFF"/>
              <w:right w:val="single" w:sz="8" w:space="0" w:color="FFFFFF"/>
            </w:tcBorders>
            <w:shd w:val="clear" w:color="auto" w:fill="B9CDE5"/>
            <w:tcMar>
              <w:top w:w="80" w:type="dxa"/>
              <w:left w:w="80" w:type="dxa"/>
              <w:bottom w:w="80" w:type="dxa"/>
              <w:right w:w="80" w:type="dxa"/>
            </w:tcMa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w:t>
            </w:r>
          </w:p>
        </w:tc>
      </w:tr>
      <w:tr>
        <w:tblPrEx>
          <w:tblCellMar>
            <w:top w:w="0" w:type="dxa"/>
            <w:left w:w="0" w:type="dxa"/>
            <w:bottom w:w="0" w:type="dxa"/>
            <w:right w:w="0" w:type="dxa"/>
          </w:tblCellMar>
        </w:tblPrEx>
        <w:trPr>
          <w:trHeight w:val="504"/>
          <w:jc w:val="center"/>
        </w:trPr>
        <w:tc>
          <w:tcPr>
            <w:tcW w:w="3035" w:type="dxa"/>
            <w:tcBorders>
              <w:top w:val="single" w:sz="8" w:space="0" w:color="FFFFFF"/>
              <w:left w:val="single" w:sz="8" w:space="0" w:color="FFFFFF"/>
              <w:bottom w:val="single" w:sz="8" w:space="0" w:color="FFFFFF"/>
              <w:right w:val="single" w:sz="8" w:space="0" w:color="FFFFFF"/>
            </w:tcBorders>
            <w:shd w:val="clear" w:color="auto" w:fill="C6D9F1"/>
            <w:tcMar>
              <w:top w:w="80" w:type="dxa"/>
              <w:left w:w="80" w:type="dxa"/>
              <w:bottom w:w="80" w:type="dxa"/>
              <w:right w:w="80" w:type="dxa"/>
            </w:tcMar>
            <w:vAlign w:val="center"/>
          </w:tcPr>
          <w:p>
            <w:pPr>
              <w:pBdr>
                <w:top w:val="nil"/>
                <w:left w:val="nil"/>
                <w:bottom w:val="nil"/>
                <w:right w:val="nil"/>
                <w:between w:val="nil"/>
                <w:bar w:val="nil"/>
              </w:pBdr>
              <w:tabs>
                <w:tab w:val="clear" w:pos="2835"/>
              </w:tabs>
              <w:jc w:val="left"/>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TOTAL</w:t>
            </w:r>
          </w:p>
        </w:tc>
        <w:tc>
          <w:tcPr>
            <w:tcW w:w="1619" w:type="dxa"/>
            <w:tcBorders>
              <w:top w:val="single" w:sz="8" w:space="0" w:color="FFFFFF"/>
              <w:left w:val="single" w:sz="8" w:space="0" w:color="FFFFFF"/>
              <w:bottom w:val="single" w:sz="8" w:space="0" w:color="FFFFFF"/>
              <w:right w:val="single" w:sz="8" w:space="0" w:color="FFFFFF"/>
            </w:tcBorders>
            <w:shd w:val="clear" w:color="auto" w:fill="C6D9F1"/>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183.433.318</w:t>
            </w:r>
          </w:p>
        </w:tc>
        <w:tc>
          <w:tcPr>
            <w:tcW w:w="1915" w:type="dxa"/>
            <w:tcBorders>
              <w:top w:val="single" w:sz="8" w:space="0" w:color="FFFFFF"/>
              <w:left w:val="single" w:sz="8" w:space="0" w:color="FFFFFF"/>
              <w:bottom w:val="single" w:sz="8" w:space="0" w:color="FFFFFF"/>
              <w:right w:val="single" w:sz="8" w:space="0" w:color="FFFFFF"/>
            </w:tcBorders>
            <w:shd w:val="clear" w:color="auto" w:fill="C6D9F1"/>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185.470.237</w:t>
            </w:r>
          </w:p>
        </w:tc>
        <w:tc>
          <w:tcPr>
            <w:tcW w:w="1246" w:type="dxa"/>
            <w:tcBorders>
              <w:top w:val="single" w:sz="8" w:space="0" w:color="FFFFFF"/>
              <w:left w:val="single" w:sz="8" w:space="0" w:color="FFFFFF"/>
              <w:bottom w:val="single" w:sz="8" w:space="0" w:color="FFFFFF"/>
              <w:right w:val="single" w:sz="8" w:space="0" w:color="FFFFFF"/>
            </w:tcBorders>
            <w:shd w:val="clear" w:color="auto" w:fill="C6D9F1"/>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2.036.919</w:t>
            </w:r>
          </w:p>
        </w:tc>
        <w:tc>
          <w:tcPr>
            <w:tcW w:w="1293" w:type="dxa"/>
            <w:tcBorders>
              <w:top w:val="single" w:sz="8" w:space="0" w:color="FFFFFF"/>
              <w:left w:val="single" w:sz="8" w:space="0" w:color="FFFFFF"/>
              <w:bottom w:val="single" w:sz="8" w:space="0" w:color="FFFFFF"/>
              <w:right w:val="single" w:sz="8" w:space="0" w:color="FFFFFF"/>
            </w:tcBorders>
            <w:shd w:val="clear" w:color="auto" w:fill="C6D9F1"/>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1,1%</w:t>
            </w:r>
          </w:p>
        </w:tc>
      </w:tr>
      <w:tr>
        <w:tblPrEx>
          <w:tblCellMar>
            <w:top w:w="0" w:type="dxa"/>
            <w:left w:w="0" w:type="dxa"/>
            <w:bottom w:w="0" w:type="dxa"/>
            <w:right w:w="0" w:type="dxa"/>
          </w:tblCellMar>
        </w:tblPrEx>
        <w:trPr>
          <w:trHeight w:val="386"/>
          <w:jc w:val="center"/>
        </w:trPr>
        <w:tc>
          <w:tcPr>
            <w:tcW w:w="3035"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lef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Gasto en Personal  (</w:t>
            </w:r>
            <w:r>
              <w:rPr>
                <w:bCs/>
                <w:color w:val="000000"/>
                <w:kern w:val="24"/>
                <w:sz w:val="18"/>
                <w:szCs w:val="18"/>
                <w:u w:color="000000"/>
                <w:bdr w:val="nil"/>
                <w:lang w:val="es-ES_tradnl" w:eastAsia="es-CL"/>
              </w:rPr>
              <w:t>Subtítulo 21</w:t>
            </w:r>
            <w:r>
              <w:rPr>
                <w:b w:val="0"/>
                <w:color w:val="000000"/>
                <w:kern w:val="24"/>
                <w:sz w:val="18"/>
                <w:szCs w:val="18"/>
                <w:u w:color="000000"/>
                <w:bdr w:val="nil"/>
                <w:lang w:val="es-ES_tradnl" w:eastAsia="es-CL"/>
              </w:rPr>
              <w:t>)</w:t>
            </w:r>
          </w:p>
        </w:tc>
        <w:tc>
          <w:tcPr>
            <w:tcW w:w="1619"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155.719.207</w:t>
            </w:r>
          </w:p>
        </w:tc>
        <w:tc>
          <w:tcPr>
            <w:tcW w:w="1915"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159.267.998</w:t>
            </w:r>
          </w:p>
        </w:tc>
        <w:tc>
          <w:tcPr>
            <w:tcW w:w="1246"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3.548.812</w:t>
            </w:r>
          </w:p>
        </w:tc>
        <w:tc>
          <w:tcPr>
            <w:tcW w:w="1293"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2,3%</w:t>
            </w:r>
          </w:p>
        </w:tc>
      </w:tr>
      <w:tr>
        <w:tblPrEx>
          <w:tblCellMar>
            <w:top w:w="0" w:type="dxa"/>
            <w:left w:w="0" w:type="dxa"/>
            <w:bottom w:w="0" w:type="dxa"/>
            <w:right w:w="0" w:type="dxa"/>
          </w:tblCellMar>
        </w:tblPrEx>
        <w:trPr>
          <w:trHeight w:val="536"/>
          <w:jc w:val="center"/>
        </w:trPr>
        <w:tc>
          <w:tcPr>
            <w:tcW w:w="3035"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lef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Bienes y Servicios de Consumo  (</w:t>
            </w:r>
            <w:r>
              <w:rPr>
                <w:bCs/>
                <w:color w:val="000000"/>
                <w:kern w:val="24"/>
                <w:sz w:val="18"/>
                <w:szCs w:val="18"/>
                <w:u w:color="000000"/>
                <w:bdr w:val="nil"/>
                <w:lang w:val="es-ES_tradnl" w:eastAsia="es-CL"/>
              </w:rPr>
              <w:t>Subtítulo 22</w:t>
            </w:r>
            <w:r>
              <w:rPr>
                <w:b w:val="0"/>
                <w:color w:val="000000"/>
                <w:kern w:val="24"/>
                <w:sz w:val="18"/>
                <w:szCs w:val="18"/>
                <w:u w:color="000000"/>
                <w:bdr w:val="nil"/>
                <w:lang w:val="es-ES_tradnl" w:eastAsia="es-CL"/>
              </w:rPr>
              <w:t>)</w:t>
            </w:r>
          </w:p>
        </w:tc>
        <w:tc>
          <w:tcPr>
            <w:tcW w:w="1619"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19.884.186</w:t>
            </w:r>
          </w:p>
        </w:tc>
        <w:tc>
          <w:tcPr>
            <w:tcW w:w="1915"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18.745.119</w:t>
            </w:r>
          </w:p>
        </w:tc>
        <w:tc>
          <w:tcPr>
            <w:tcW w:w="1246"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-1.736.178</w:t>
            </w:r>
          </w:p>
        </w:tc>
        <w:tc>
          <w:tcPr>
            <w:tcW w:w="1293"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-8,5%</w:t>
            </w:r>
          </w:p>
        </w:tc>
      </w:tr>
      <w:tr>
        <w:tblPrEx>
          <w:tblCellMar>
            <w:top w:w="0" w:type="dxa"/>
            <w:left w:w="0" w:type="dxa"/>
            <w:bottom w:w="0" w:type="dxa"/>
            <w:right w:w="0" w:type="dxa"/>
          </w:tblCellMar>
        </w:tblPrEx>
        <w:trPr>
          <w:trHeight w:val="375"/>
          <w:jc w:val="center"/>
        </w:trPr>
        <w:tc>
          <w:tcPr>
            <w:tcW w:w="3035"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lef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Integros al Fisco  (</w:t>
            </w:r>
            <w:r>
              <w:rPr>
                <w:bCs/>
                <w:color w:val="000000"/>
                <w:kern w:val="24"/>
                <w:sz w:val="18"/>
                <w:szCs w:val="18"/>
                <w:u w:color="000000"/>
                <w:bdr w:val="nil"/>
                <w:lang w:val="es-ES_tradnl" w:eastAsia="es-CL"/>
              </w:rPr>
              <w:t>Subtítulo 25</w:t>
            </w:r>
            <w:r>
              <w:rPr>
                <w:b w:val="0"/>
                <w:color w:val="000000"/>
                <w:kern w:val="24"/>
                <w:sz w:val="18"/>
                <w:szCs w:val="18"/>
                <w:u w:color="000000"/>
                <w:bdr w:val="nil"/>
                <w:lang w:val="es-ES_tradnl" w:eastAsia="es-CL"/>
              </w:rPr>
              <w:t>)</w:t>
            </w:r>
          </w:p>
        </w:tc>
        <w:tc>
          <w:tcPr>
            <w:tcW w:w="1619"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10</w:t>
            </w:r>
          </w:p>
        </w:tc>
        <w:tc>
          <w:tcPr>
            <w:tcW w:w="1915"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10</w:t>
            </w:r>
          </w:p>
        </w:tc>
        <w:tc>
          <w:tcPr>
            <w:tcW w:w="1246"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0</w:t>
            </w:r>
          </w:p>
        </w:tc>
        <w:tc>
          <w:tcPr>
            <w:tcW w:w="1293"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0%</w:t>
            </w:r>
          </w:p>
        </w:tc>
      </w:tr>
      <w:tr>
        <w:tblPrEx>
          <w:tblCellMar>
            <w:top w:w="0" w:type="dxa"/>
            <w:left w:w="0" w:type="dxa"/>
            <w:bottom w:w="0" w:type="dxa"/>
            <w:right w:w="0" w:type="dxa"/>
          </w:tblCellMar>
        </w:tblPrEx>
        <w:trPr>
          <w:trHeight w:val="524"/>
          <w:jc w:val="center"/>
        </w:trPr>
        <w:tc>
          <w:tcPr>
            <w:tcW w:w="3035"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lef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Adquisición de Activos no financieros  (</w:t>
            </w:r>
            <w:r>
              <w:rPr>
                <w:bCs/>
                <w:color w:val="000000"/>
                <w:kern w:val="24"/>
                <w:sz w:val="18"/>
                <w:szCs w:val="18"/>
                <w:u w:color="000000"/>
                <w:bdr w:val="nil"/>
                <w:lang w:val="es-ES_tradnl" w:eastAsia="es-CL"/>
              </w:rPr>
              <w:t>Subtítulo 29</w:t>
            </w:r>
            <w:r>
              <w:rPr>
                <w:b w:val="0"/>
                <w:color w:val="000000"/>
                <w:kern w:val="24"/>
                <w:sz w:val="18"/>
                <w:szCs w:val="18"/>
                <w:u w:color="000000"/>
                <w:bdr w:val="nil"/>
                <w:lang w:val="es-ES_tradnl" w:eastAsia="es-CL"/>
              </w:rPr>
              <w:t>)</w:t>
            </w:r>
          </w:p>
        </w:tc>
        <w:tc>
          <w:tcPr>
            <w:tcW w:w="1619"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5.978.518</w:t>
            </w:r>
          </w:p>
        </w:tc>
        <w:tc>
          <w:tcPr>
            <w:tcW w:w="1915"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5.427.030</w:t>
            </w:r>
          </w:p>
        </w:tc>
        <w:tc>
          <w:tcPr>
            <w:tcW w:w="1246"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-551.488</w:t>
            </w:r>
          </w:p>
        </w:tc>
        <w:tc>
          <w:tcPr>
            <w:tcW w:w="1293"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-9,2%</w:t>
            </w:r>
          </w:p>
        </w:tc>
      </w:tr>
      <w:tr>
        <w:tblPrEx>
          <w:tblCellMar>
            <w:top w:w="0" w:type="dxa"/>
            <w:left w:w="0" w:type="dxa"/>
            <w:bottom w:w="0" w:type="dxa"/>
            <w:right w:w="0" w:type="dxa"/>
          </w:tblCellMar>
        </w:tblPrEx>
        <w:trPr>
          <w:trHeight w:val="535"/>
          <w:jc w:val="center"/>
        </w:trPr>
        <w:tc>
          <w:tcPr>
            <w:tcW w:w="3035"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lef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Iniciativas de Inversión  (</w:t>
            </w:r>
            <w:r>
              <w:rPr>
                <w:bCs/>
                <w:color w:val="000000"/>
                <w:kern w:val="24"/>
                <w:sz w:val="18"/>
                <w:szCs w:val="18"/>
                <w:u w:color="000000"/>
                <w:bdr w:val="nil"/>
                <w:lang w:val="es-ES_tradnl" w:eastAsia="es-CL"/>
              </w:rPr>
              <w:t>Subtítulo 31</w:t>
            </w:r>
            <w:r>
              <w:rPr>
                <w:b w:val="0"/>
                <w:color w:val="000000"/>
                <w:kern w:val="24"/>
                <w:sz w:val="18"/>
                <w:szCs w:val="18"/>
                <w:u w:color="000000"/>
                <w:bdr w:val="nil"/>
                <w:lang w:val="es-ES_tradnl" w:eastAsia="es-CL"/>
              </w:rPr>
              <w:t>)</w:t>
            </w:r>
          </w:p>
        </w:tc>
        <w:tc>
          <w:tcPr>
            <w:tcW w:w="1619"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1.264.297</w:t>
            </w:r>
          </w:p>
        </w:tc>
        <w:tc>
          <w:tcPr>
            <w:tcW w:w="1915"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2.030.080</w:t>
            </w:r>
          </w:p>
        </w:tc>
        <w:tc>
          <w:tcPr>
            <w:tcW w:w="1246"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775.783</w:t>
            </w:r>
          </w:p>
        </w:tc>
        <w:tc>
          <w:tcPr>
            <w:tcW w:w="1293"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61,9%</w:t>
            </w:r>
          </w:p>
        </w:tc>
      </w:tr>
      <w:tr>
        <w:tblPrEx>
          <w:tblCellMar>
            <w:top w:w="0" w:type="dxa"/>
            <w:left w:w="0" w:type="dxa"/>
            <w:bottom w:w="0" w:type="dxa"/>
            <w:right w:w="0" w:type="dxa"/>
          </w:tblCellMar>
        </w:tblPrEx>
        <w:trPr>
          <w:trHeight w:val="389"/>
          <w:jc w:val="center"/>
        </w:trPr>
        <w:tc>
          <w:tcPr>
            <w:tcW w:w="3035"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lef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Servicio de la Deuda  (</w:t>
            </w:r>
            <w:r>
              <w:rPr>
                <w:bCs/>
                <w:color w:val="000000"/>
                <w:kern w:val="24"/>
                <w:sz w:val="18"/>
                <w:szCs w:val="18"/>
                <w:u w:color="000000"/>
                <w:bdr w:val="nil"/>
                <w:lang w:val="es-ES_tradnl" w:eastAsia="es-CL"/>
              </w:rPr>
              <w:t>Subtítulo 34</w:t>
            </w:r>
            <w:r>
              <w:rPr>
                <w:b w:val="0"/>
                <w:color w:val="000000"/>
                <w:kern w:val="24"/>
                <w:sz w:val="18"/>
                <w:szCs w:val="18"/>
                <w:u w:color="000000"/>
                <w:bdr w:val="nil"/>
                <w:lang w:val="es-ES_tradnl" w:eastAsia="es-CL"/>
              </w:rPr>
              <w:t>)</w:t>
            </w:r>
          </w:p>
        </w:tc>
        <w:tc>
          <w:tcPr>
            <w:tcW w:w="1619"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10</w:t>
            </w:r>
          </w:p>
        </w:tc>
        <w:tc>
          <w:tcPr>
            <w:tcW w:w="1915"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0</w:t>
            </w:r>
          </w:p>
        </w:tc>
        <w:tc>
          <w:tcPr>
            <w:tcW w:w="1246"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-10</w:t>
            </w:r>
          </w:p>
        </w:tc>
        <w:tc>
          <w:tcPr>
            <w:tcW w:w="1293"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-100,00%</w:t>
            </w:r>
          </w:p>
        </w:tc>
      </w:tr>
      <w:tr>
        <w:tblPrEx>
          <w:tblCellMar>
            <w:top w:w="0" w:type="dxa"/>
            <w:left w:w="0" w:type="dxa"/>
            <w:bottom w:w="0" w:type="dxa"/>
            <w:right w:w="0" w:type="dxa"/>
          </w:tblCellMar>
        </w:tblPrEx>
        <w:trPr>
          <w:trHeight w:val="369"/>
          <w:jc w:val="center"/>
        </w:trPr>
        <w:tc>
          <w:tcPr>
            <w:tcW w:w="3035" w:type="dxa"/>
            <w:tcBorders>
              <w:top w:val="single" w:sz="8" w:space="0" w:color="FFFFFF"/>
              <w:left w:val="single" w:sz="8" w:space="0" w:color="FFFFFF"/>
              <w:bottom w:val="single" w:sz="8" w:space="0" w:color="FFFFFF"/>
              <w:right w:val="single" w:sz="8" w:space="0" w:color="FFFFFF"/>
            </w:tcBorders>
            <w:shd w:val="clear" w:color="auto" w:fill="B9CDE5"/>
            <w:tcMar>
              <w:top w:w="80" w:type="dxa"/>
              <w:left w:w="80" w:type="dxa"/>
              <w:bottom w:w="80" w:type="dxa"/>
              <w:right w:w="80" w:type="dxa"/>
            </w:tcMar>
            <w:vAlign w:val="center"/>
          </w:tcPr>
          <w:p>
            <w:pPr>
              <w:pBdr>
                <w:top w:val="nil"/>
                <w:left w:val="nil"/>
                <w:bottom w:val="nil"/>
                <w:right w:val="nil"/>
                <w:between w:val="nil"/>
                <w:bar w:val="nil"/>
              </w:pBdr>
              <w:tabs>
                <w:tab w:val="clear" w:pos="2835"/>
              </w:tabs>
              <w:jc w:val="left"/>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 xml:space="preserve">Gasto neto </w:t>
            </w:r>
            <w:r>
              <w:rPr>
                <w:b w:val="0"/>
                <w:color w:val="000000"/>
                <w:kern w:val="24"/>
                <w:sz w:val="18"/>
                <w:szCs w:val="18"/>
                <w:u w:color="000000"/>
                <w:bdr w:val="nil"/>
                <w:lang w:val="es-ES_tradnl" w:eastAsia="es-CL"/>
              </w:rPr>
              <w:t>(*)</w:t>
            </w:r>
          </w:p>
        </w:tc>
        <w:tc>
          <w:tcPr>
            <w:tcW w:w="1619" w:type="dxa"/>
            <w:tcBorders>
              <w:top w:val="single" w:sz="8" w:space="0" w:color="FFFFFF"/>
              <w:left w:val="single" w:sz="8" w:space="0" w:color="FFFFFF"/>
              <w:bottom w:val="single" w:sz="8" w:space="0" w:color="FFFFFF"/>
              <w:right w:val="single" w:sz="8" w:space="0" w:color="FFFFFF"/>
            </w:tcBorders>
            <w:shd w:val="clear" w:color="auto" w:fill="B9CDE5"/>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183.433.318</w:t>
            </w:r>
          </w:p>
        </w:tc>
        <w:tc>
          <w:tcPr>
            <w:tcW w:w="1915" w:type="dxa"/>
            <w:tcBorders>
              <w:top w:val="single" w:sz="8" w:space="0" w:color="FFFFFF"/>
              <w:left w:val="single" w:sz="8" w:space="0" w:color="FFFFFF"/>
              <w:bottom w:val="single" w:sz="8" w:space="0" w:color="FFFFFF"/>
              <w:right w:val="single" w:sz="8" w:space="0" w:color="FFFFFF"/>
            </w:tcBorders>
            <w:shd w:val="clear" w:color="auto" w:fill="B9CDE5"/>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185.470.237</w:t>
            </w:r>
          </w:p>
        </w:tc>
        <w:tc>
          <w:tcPr>
            <w:tcW w:w="1246" w:type="dxa"/>
            <w:tcBorders>
              <w:top w:val="single" w:sz="8" w:space="0" w:color="FFFFFF"/>
              <w:left w:val="single" w:sz="8" w:space="0" w:color="FFFFFF"/>
              <w:bottom w:val="single" w:sz="8" w:space="0" w:color="FFFFFF"/>
              <w:right w:val="single" w:sz="8" w:space="0" w:color="FFFFFF"/>
            </w:tcBorders>
            <w:shd w:val="clear" w:color="auto" w:fill="B9CDE5"/>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2.036.919</w:t>
            </w:r>
          </w:p>
        </w:tc>
        <w:tc>
          <w:tcPr>
            <w:tcW w:w="1293" w:type="dxa"/>
            <w:tcBorders>
              <w:top w:val="single" w:sz="8" w:space="0" w:color="FFFFFF"/>
              <w:left w:val="single" w:sz="8" w:space="0" w:color="FFFFFF"/>
              <w:bottom w:val="single" w:sz="8" w:space="0" w:color="FFFFFF"/>
              <w:right w:val="single" w:sz="8" w:space="0" w:color="FFFFFF"/>
            </w:tcBorders>
            <w:shd w:val="clear" w:color="auto" w:fill="B9CDE5"/>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1,1%</w:t>
            </w:r>
          </w:p>
        </w:tc>
      </w:tr>
    </w:tbl>
    <w:p>
      <w:pPr>
        <w:pBdr>
          <w:top w:val="nil"/>
          <w:left w:val="nil"/>
          <w:bottom w:val="nil"/>
          <w:right w:val="nil"/>
          <w:between w:val="nil"/>
          <w:bar w:val="nil"/>
        </w:pBdr>
        <w:rPr>
          <w:rFonts w:eastAsia="Arial"/>
          <w:color w:val="000000"/>
          <w:u w:color="000000"/>
          <w:bdr w:val="nil"/>
          <w:lang w:val="es-ES_tradnl" w:eastAsia="es-CL"/>
        </w:rPr>
      </w:pPr>
      <w:r>
        <w:rPr>
          <w:rFonts w:eastAsia="Arial Unicode MS" w:cs="Arial Unicode MS"/>
          <w:color w:val="000000"/>
          <w:u w:color="000000"/>
          <w:bdr w:val="nil"/>
          <w:lang w:val="es-ES_tradnl" w:eastAsia="es-CL"/>
        </w:rPr>
        <w:t>(*) Gasto de Estado de Operaciones = GASTOS-(Subt.25+30+32+34+35) + Ítem25.01+Intereses y Otros Gastos Financieros de Deuda</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Posteriormente, explicó que el incremento presupuestario del SII, correspondiente al 1,1% respecto de ley ajustada 2016, permite financiar la continuidad operativa del Servicio y la implementación de las leyes asociadas a reforma tributaria (ley N° 20.780), factura electrónica (ley N° 20.727, en régimen en 2017) y fortalecimiento institucional (ley N° 20.853).</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w:b w:val="0"/>
          <w:color w:val="000000"/>
          <w:u w:color="000000"/>
          <w:bdr w:val="nil"/>
          <w:lang w:val="es-ES_tradnl" w:eastAsia="es-CL"/>
        </w:rPr>
        <w:tab/>
        <w:t>En seguida, efectuó un análisis de la variación presupuestaria de los Subtítulos 21, 22, 29 y 31.</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Unicode MS" w:cs="Arial Unicode MS"/>
          <w:b w:val="0"/>
          <w:color w:val="000000"/>
          <w:u w:color="000000"/>
          <w:bdr w:val="nil"/>
          <w:lang w:val="es-ES_tradnl" w:eastAsia="es-CL"/>
        </w:rPr>
      </w:pPr>
      <w:r>
        <w:rPr>
          <w:rFonts w:eastAsia="Arial Unicode MS" w:cs="Arial Unicode MS"/>
          <w:bCs/>
          <w:color w:val="000000"/>
          <w:u w:color="000000"/>
          <w:bdr w:val="nil"/>
          <w:lang w:val="es-ES_tradnl" w:eastAsia="es-CL"/>
        </w:rPr>
        <w:tab/>
        <w:t>- Subtitulo 21: Gasto en Personal</w:t>
      </w:r>
      <w:r>
        <w:rPr>
          <w:rFonts w:eastAsia="Arial Unicode MS" w:cs="Arial Unicode MS"/>
          <w:b w:val="0"/>
          <w:bCs/>
          <w:color w:val="000000"/>
          <w:u w:color="000000"/>
          <w:bdr w:val="nil"/>
          <w:lang w:val="es-ES_tradnl" w:eastAsia="es-CL"/>
        </w:rPr>
        <w:t>: s</w:t>
      </w:r>
      <w:r>
        <w:rPr>
          <w:rFonts w:eastAsia="Arial Unicode MS" w:cs="Arial Unicode MS"/>
          <w:b w:val="0"/>
          <w:color w:val="000000"/>
          <w:u w:color="000000"/>
          <w:bdr w:val="nil"/>
          <w:lang w:val="es-ES_tradnl" w:eastAsia="es-CL"/>
        </w:rPr>
        <w:t>e registra un aumento de un 2,3%, el cual se explica producto de la aplicación de la Ley N°20.853 de Fortalecimiento del SII, y la aplicación de la Etapa 3 de la implementación de la Reforma Tributaria.</w:t>
      </w:r>
    </w:p>
    <w:p>
      <w:pPr>
        <w:pBdr>
          <w:top w:val="nil"/>
          <w:left w:val="nil"/>
          <w:bottom w:val="nil"/>
          <w:right w:val="nil"/>
          <w:between w:val="nil"/>
          <w:bar w:val="nil"/>
        </w:pBdr>
        <w:rPr>
          <w:rFonts w:eastAsia="Arial"/>
          <w:b w:val="0"/>
          <w:color w:val="000000"/>
          <w:u w:color="000000"/>
          <w:bdr w:val="nil"/>
          <w:lang w:val="es-ES_tradnl" w:eastAsia="es-CL"/>
        </w:rPr>
      </w:pPr>
      <w:r>
        <w:rPr>
          <w:rFonts w:eastAsia="Arial"/>
          <w:b w:val="0"/>
          <w:color w:val="000000"/>
          <w:u w:color="000000"/>
          <w:bdr w:val="nil"/>
          <w:lang w:val="es-ES_tradnl" w:eastAsia="es-CL"/>
        </w:rPr>
        <w:t xml:space="preserve"> </w:t>
      </w: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Cs/>
          <w:color w:val="000000"/>
          <w:u w:color="000000"/>
          <w:bdr w:val="nil"/>
          <w:lang w:val="es-ES_tradnl" w:eastAsia="es-CL"/>
        </w:rPr>
        <w:tab/>
        <w:t>- Subtitulo 22: Bienes y Servicios de Consumo</w:t>
      </w:r>
      <w:r>
        <w:rPr>
          <w:rFonts w:eastAsia="Arial Unicode MS" w:cs="Arial Unicode MS"/>
          <w:b w:val="0"/>
          <w:bCs/>
          <w:color w:val="000000"/>
          <w:u w:color="000000"/>
          <w:bdr w:val="nil"/>
          <w:lang w:val="es-ES_tradnl" w:eastAsia="es-CL"/>
        </w:rPr>
        <w:t>: s</w:t>
      </w:r>
      <w:r>
        <w:rPr>
          <w:rFonts w:eastAsia="Arial Unicode MS" w:cs="Arial Unicode MS"/>
          <w:b w:val="0"/>
          <w:color w:val="000000"/>
          <w:u w:color="000000"/>
          <w:bdr w:val="nil"/>
          <w:lang w:val="es-ES_tradnl" w:eastAsia="es-CL"/>
        </w:rPr>
        <w:t>e advierte una disminución respecto del año anterior de un 8,5%, esto se explica debido a que la 3°etapa de la Reforma Tributaria considera un menor gasto en el desarrollo de sistemas</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Cs/>
          <w:color w:val="000000"/>
          <w:u w:color="000000"/>
          <w:bdr w:val="nil"/>
          <w:lang w:val="es-ES_tradnl" w:eastAsia="es-CL"/>
        </w:rPr>
        <w:tab/>
        <w:t>- Subtitulo 29: Adquisición de activos no financieros</w:t>
      </w:r>
      <w:r>
        <w:rPr>
          <w:rFonts w:eastAsia="Arial Unicode MS" w:cs="Arial Unicode MS"/>
          <w:b w:val="0"/>
          <w:bCs/>
          <w:color w:val="000000"/>
          <w:u w:color="000000"/>
          <w:bdr w:val="nil"/>
          <w:lang w:val="es-ES_tradnl" w:eastAsia="es-CL"/>
        </w:rPr>
        <w:t>: s</w:t>
      </w:r>
      <w:r>
        <w:rPr>
          <w:rFonts w:eastAsia="Arial Unicode MS" w:cs="Arial Unicode MS"/>
          <w:b w:val="0"/>
          <w:color w:val="000000"/>
          <w:u w:color="000000"/>
          <w:bdr w:val="nil"/>
          <w:lang w:val="es-ES_tradnl" w:eastAsia="es-CL"/>
        </w:rPr>
        <w:t>e observa una reducción respecto del año anterior de un 9,2%. Sin embargo, esta disminución está de acuerdo al cronograma de implementación de la Reforma Tributaria, en lo relativo a mobiliario, vehículos, máquinas y equipos.</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Unicode MS" w:cs="Arial Unicode MS"/>
          <w:b w:val="0"/>
          <w:color w:val="000000"/>
          <w:u w:color="000000"/>
          <w:bdr w:val="nil"/>
          <w:lang w:val="es-ES_tradnl" w:eastAsia="es-CL"/>
        </w:rPr>
      </w:pPr>
      <w:r>
        <w:rPr>
          <w:rFonts w:eastAsia="Arial Unicode MS" w:cs="Arial Unicode MS"/>
          <w:bCs/>
          <w:color w:val="000000"/>
          <w:u w:color="000000"/>
          <w:bdr w:val="nil"/>
          <w:lang w:val="es-ES_tradnl" w:eastAsia="es-CL"/>
        </w:rPr>
        <w:tab/>
        <w:t>- Subtitulo 31: Iniciativas de Inversión</w:t>
      </w:r>
      <w:r>
        <w:rPr>
          <w:rFonts w:eastAsia="Arial Unicode MS" w:cs="Arial Unicode MS"/>
          <w:b w:val="0"/>
          <w:bCs/>
          <w:color w:val="000000"/>
          <w:u w:color="000000"/>
          <w:bdr w:val="nil"/>
          <w:lang w:val="es-ES_tradnl" w:eastAsia="es-CL"/>
        </w:rPr>
        <w:t>: s</w:t>
      </w:r>
      <w:r>
        <w:rPr>
          <w:rFonts w:eastAsia="Arial Unicode MS" w:cs="Arial Unicode MS"/>
          <w:b w:val="0"/>
          <w:color w:val="000000"/>
          <w:u w:color="000000"/>
          <w:bdr w:val="nil"/>
          <w:lang w:val="es-ES_tradnl" w:eastAsia="es-CL"/>
        </w:rPr>
        <w:t>e registra un aumento respecto del año anterior de un 61.9%, debido a la planificación de la construcción del Edificio de la Dirección Regional de Arica.</w:t>
      </w:r>
    </w:p>
    <w:p>
      <w:pPr>
        <w:pBdr>
          <w:top w:val="nil"/>
          <w:left w:val="nil"/>
          <w:bottom w:val="nil"/>
          <w:right w:val="nil"/>
          <w:between w:val="nil"/>
          <w:bar w:val="nil"/>
        </w:pBdr>
        <w:rPr>
          <w:rFonts w:eastAsia="Arial Unicode MS" w:cs="Arial Unicode MS"/>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Posteriormente, detalló los montos considerados en el presupuesto de cada uno de los Subtítulos antes señalados, mediante los recuadros que a continuación se indican</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tabs>
          <w:tab w:val="left" w:pos="720"/>
        </w:tabs>
        <w:jc w:val="center"/>
        <w:rPr>
          <w:rFonts w:eastAsia="Arial"/>
          <w:b w:val="0"/>
          <w:color w:val="000000"/>
          <w:u w:color="000000"/>
          <w:bdr w:val="nil"/>
          <w:lang w:val="es-ES_tradnl" w:eastAsia="es-CL"/>
        </w:rPr>
      </w:pPr>
      <w:r>
        <w:rPr>
          <w:rFonts w:eastAsia="Arial"/>
          <w:bCs/>
          <w:color w:val="000000"/>
          <w:u w:color="000000"/>
          <w:bdr w:val="nil"/>
          <w:lang w:val="es-ES_tradnl" w:eastAsia="es-CL"/>
        </w:rPr>
        <w:t>Subtitulo 21: Gasto en Personal</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w:b w:val="0"/>
          <w:noProof/>
          <w:color w:val="000000"/>
          <w:u w:color="000000"/>
          <w:bdr w:val="nil"/>
          <w:lang w:eastAsia="es-CL"/>
        </w:rPr>
        <w:pict>
          <v:shape id="_x0000_i1041" type="#_x0000_t75" style="width:414.1pt;height:191.65pt;visibility:visible">
            <v:imagedata r:id="rId24" o:title=""/>
          </v:shape>
        </w:pic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tabs>
          <w:tab w:val="left" w:pos="720"/>
        </w:tabs>
        <w:jc w:val="center"/>
        <w:rPr>
          <w:rFonts w:eastAsia="Arial"/>
          <w:b w:val="0"/>
          <w:color w:val="000000"/>
          <w:u w:color="000000"/>
          <w:bdr w:val="nil"/>
          <w:lang w:val="es-ES_tradnl" w:eastAsia="es-CL"/>
        </w:rPr>
      </w:pPr>
      <w:r>
        <w:rPr>
          <w:rFonts w:eastAsia="Arial"/>
          <w:bCs/>
          <w:color w:val="000000"/>
          <w:u w:color="000000"/>
          <w:bdr w:val="nil"/>
          <w:lang w:val="es-ES_tradnl" w:eastAsia="es-CL"/>
        </w:rPr>
        <w:t>Subtitulo 22: Bienes y Servicios de Consumo (Detalle)</w:t>
      </w:r>
    </w:p>
    <w:p>
      <w:pPr>
        <w:pBdr>
          <w:top w:val="nil"/>
          <w:left w:val="nil"/>
          <w:bottom w:val="nil"/>
          <w:right w:val="nil"/>
          <w:between w:val="nil"/>
          <w:bar w:val="nil"/>
        </w:pBdr>
        <w:rPr>
          <w:rFonts w:eastAsia="Arial"/>
          <w:b w:val="0"/>
          <w:color w:val="000000"/>
          <w:u w:color="000000"/>
          <w:bdr w:val="nil"/>
          <w:lang w:val="es-ES_tradnl" w:eastAsia="es-CL"/>
        </w:rPr>
      </w:pPr>
    </w:p>
    <w:tbl>
      <w:tblPr>
        <w:tblW w:w="8180" w:type="dxa"/>
        <w:jc w:val="center"/>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4660"/>
        <w:gridCol w:w="3520"/>
      </w:tblGrid>
      <w:tr>
        <w:tblPrEx>
          <w:tblCellMar>
            <w:top w:w="0" w:type="dxa"/>
            <w:left w:w="0" w:type="dxa"/>
            <w:bottom w:w="0" w:type="dxa"/>
            <w:right w:w="0" w:type="dxa"/>
          </w:tblCellMar>
        </w:tblPrEx>
        <w:trPr>
          <w:trHeight w:val="580"/>
          <w:jc w:val="center"/>
        </w:trPr>
        <w:tc>
          <w:tcPr>
            <w:tcW w:w="4660" w:type="dxa"/>
            <w:tcBorders>
              <w:top w:val="single" w:sz="8" w:space="0" w:color="FFFFFF"/>
              <w:left w:val="single" w:sz="8" w:space="0" w:color="FFFFFF"/>
              <w:bottom w:val="single" w:sz="8" w:space="0" w:color="FFFFFF"/>
              <w:right w:val="single" w:sz="8" w:space="0" w:color="FFFFFF"/>
            </w:tcBorders>
            <w:shd w:val="clear" w:color="auto" w:fill="5B9BD5"/>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20"/>
                <w:szCs w:val="20"/>
                <w:u w:color="000000"/>
                <w:bdr w:val="nil"/>
                <w:lang w:val="es-ES_tradnl" w:eastAsia="es-CL"/>
              </w:rPr>
            </w:pPr>
            <w:r>
              <w:rPr>
                <w:bCs/>
                <w:color w:val="000000"/>
                <w:kern w:val="24"/>
                <w:sz w:val="20"/>
                <w:szCs w:val="20"/>
                <w:u w:color="000000"/>
                <w:bdr w:val="nil"/>
                <w:lang w:val="es-ES_tradnl" w:eastAsia="es-CL"/>
              </w:rPr>
              <w:t> Ámbito o Proyecto (cifras en M$)</w:t>
            </w:r>
          </w:p>
        </w:tc>
        <w:tc>
          <w:tcPr>
            <w:tcW w:w="3520" w:type="dxa"/>
            <w:tcBorders>
              <w:top w:val="single" w:sz="8" w:space="0" w:color="FFFFFF"/>
              <w:left w:val="single" w:sz="8" w:space="0" w:color="FFFFFF"/>
              <w:bottom w:val="single" w:sz="8" w:space="0" w:color="FFFFFF"/>
              <w:right w:val="single" w:sz="8" w:space="0" w:color="FFFFFF"/>
            </w:tcBorders>
            <w:shd w:val="clear" w:color="auto" w:fill="5B9BD5"/>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20"/>
                <w:szCs w:val="20"/>
                <w:u w:color="000000"/>
                <w:bdr w:val="nil"/>
                <w:lang w:val="es-ES_tradnl" w:eastAsia="es-CL"/>
              </w:rPr>
            </w:pPr>
            <w:r>
              <w:rPr>
                <w:bCs/>
                <w:color w:val="000000"/>
                <w:kern w:val="24"/>
                <w:sz w:val="20"/>
                <w:szCs w:val="20"/>
                <w:u w:color="000000"/>
                <w:bdr w:val="nil"/>
                <w:lang w:val="es-ES_tradnl" w:eastAsia="es-CL"/>
              </w:rPr>
              <w:t>18.745.119</w:t>
            </w:r>
          </w:p>
        </w:tc>
      </w:tr>
      <w:tr>
        <w:tblPrEx>
          <w:tblCellMar>
            <w:top w:w="0" w:type="dxa"/>
            <w:left w:w="0" w:type="dxa"/>
            <w:bottom w:w="0" w:type="dxa"/>
            <w:right w:w="0" w:type="dxa"/>
          </w:tblCellMar>
        </w:tblPrEx>
        <w:trPr>
          <w:trHeight w:val="580"/>
          <w:jc w:val="center"/>
        </w:trPr>
        <w:tc>
          <w:tcPr>
            <w:tcW w:w="4660" w:type="dxa"/>
            <w:tcBorders>
              <w:top w:val="single" w:sz="8" w:space="0" w:color="FFFFFF"/>
              <w:left w:val="single" w:sz="8" w:space="0" w:color="FFFFFF"/>
              <w:bottom w:val="single" w:sz="8" w:space="0" w:color="FFFFFF"/>
              <w:right w:val="single" w:sz="8" w:space="0" w:color="FFFFFF"/>
            </w:tcBorders>
            <w:shd w:val="clear" w:color="auto" w:fill="BDD7EE"/>
            <w:tcMar>
              <w:top w:w="80" w:type="dxa"/>
              <w:left w:w="80" w:type="dxa"/>
              <w:bottom w:w="80" w:type="dxa"/>
              <w:right w:w="80" w:type="dxa"/>
            </w:tcMar>
            <w:vAlign w:val="bottom"/>
          </w:tcPr>
          <w:p>
            <w:pPr>
              <w:pBdr>
                <w:top w:val="nil"/>
                <w:left w:val="nil"/>
                <w:bottom w:val="nil"/>
                <w:right w:val="nil"/>
                <w:between w:val="nil"/>
                <w:bar w:val="nil"/>
              </w:pBdr>
              <w:tabs>
                <w:tab w:val="clear" w:pos="2835"/>
              </w:tabs>
              <w:jc w:val="left"/>
              <w:rPr>
                <w:rFonts w:eastAsia="Arial"/>
                <w:b w:val="0"/>
                <w:color w:val="000000"/>
                <w:sz w:val="20"/>
                <w:szCs w:val="20"/>
                <w:u w:color="000000"/>
                <w:bdr w:val="nil"/>
                <w:lang w:val="es-ES_tradnl" w:eastAsia="es-CL"/>
              </w:rPr>
            </w:pPr>
            <w:r>
              <w:rPr>
                <w:b w:val="0"/>
                <w:color w:val="000000"/>
                <w:kern w:val="24"/>
                <w:sz w:val="20"/>
                <w:szCs w:val="20"/>
                <w:u w:color="000000"/>
                <w:bdr w:val="nil"/>
                <w:lang w:val="es-ES_tradnl" w:eastAsia="es-CL"/>
              </w:rPr>
              <w:t> Continuidad Operacional</w:t>
            </w:r>
          </w:p>
        </w:tc>
        <w:tc>
          <w:tcPr>
            <w:tcW w:w="3520" w:type="dxa"/>
            <w:tcBorders>
              <w:top w:val="single" w:sz="8" w:space="0" w:color="FFFFFF"/>
              <w:left w:val="single" w:sz="8" w:space="0" w:color="FFFFFF"/>
              <w:bottom w:val="single" w:sz="8" w:space="0" w:color="FFFFFF"/>
              <w:right w:val="single" w:sz="8" w:space="0" w:color="FFFFFF"/>
            </w:tcBorders>
            <w:shd w:val="clear" w:color="auto" w:fill="BDD7EE"/>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20"/>
                <w:szCs w:val="20"/>
                <w:u w:color="000000"/>
                <w:bdr w:val="nil"/>
                <w:lang w:val="es-ES_tradnl" w:eastAsia="es-CL"/>
              </w:rPr>
            </w:pPr>
            <w:r>
              <w:rPr>
                <w:b w:val="0"/>
                <w:color w:val="000000"/>
                <w:kern w:val="24"/>
                <w:sz w:val="20"/>
                <w:szCs w:val="20"/>
                <w:u w:color="000000"/>
                <w:bdr w:val="nil"/>
                <w:lang w:val="es-ES_tradnl" w:eastAsia="es-CL"/>
              </w:rPr>
              <w:t>13.986.475</w:t>
            </w:r>
          </w:p>
        </w:tc>
      </w:tr>
      <w:tr>
        <w:tblPrEx>
          <w:tblCellMar>
            <w:top w:w="0" w:type="dxa"/>
            <w:left w:w="0" w:type="dxa"/>
            <w:bottom w:w="0" w:type="dxa"/>
            <w:right w:w="0" w:type="dxa"/>
          </w:tblCellMar>
        </w:tblPrEx>
        <w:trPr>
          <w:trHeight w:val="580"/>
          <w:jc w:val="center"/>
        </w:trPr>
        <w:tc>
          <w:tcPr>
            <w:tcW w:w="4660" w:type="dxa"/>
            <w:tcBorders>
              <w:top w:val="single" w:sz="8" w:space="0" w:color="FFFFFF"/>
              <w:left w:val="single" w:sz="8" w:space="0" w:color="FFFFFF"/>
              <w:bottom w:val="single" w:sz="8" w:space="0" w:color="FFFFFF"/>
              <w:right w:val="single" w:sz="8" w:space="0" w:color="FFFFFF"/>
            </w:tcBorders>
            <w:shd w:val="clear" w:color="auto" w:fill="BDD7EE"/>
            <w:tcMar>
              <w:top w:w="80" w:type="dxa"/>
              <w:left w:w="80" w:type="dxa"/>
              <w:bottom w:w="80" w:type="dxa"/>
              <w:right w:w="80" w:type="dxa"/>
            </w:tcMar>
            <w:vAlign w:val="bottom"/>
          </w:tcPr>
          <w:p>
            <w:pPr>
              <w:pBdr>
                <w:top w:val="nil"/>
                <w:left w:val="nil"/>
                <w:bottom w:val="nil"/>
                <w:right w:val="nil"/>
                <w:between w:val="nil"/>
                <w:bar w:val="nil"/>
              </w:pBdr>
              <w:tabs>
                <w:tab w:val="clear" w:pos="2835"/>
              </w:tabs>
              <w:jc w:val="left"/>
              <w:rPr>
                <w:rFonts w:eastAsia="Arial"/>
                <w:b w:val="0"/>
                <w:color w:val="000000"/>
                <w:sz w:val="20"/>
                <w:szCs w:val="20"/>
                <w:u w:color="000000"/>
                <w:bdr w:val="nil"/>
                <w:lang w:val="es-ES_tradnl" w:eastAsia="es-CL"/>
              </w:rPr>
            </w:pPr>
            <w:r>
              <w:rPr>
                <w:b w:val="0"/>
                <w:color w:val="000000"/>
                <w:kern w:val="24"/>
                <w:sz w:val="20"/>
                <w:szCs w:val="20"/>
                <w:u w:color="000000"/>
                <w:bdr w:val="nil"/>
                <w:lang w:val="es-ES_tradnl" w:eastAsia="es-CL"/>
              </w:rPr>
              <w:t> Proyecto Reforma Tributaria</w:t>
            </w:r>
          </w:p>
        </w:tc>
        <w:tc>
          <w:tcPr>
            <w:tcW w:w="3520" w:type="dxa"/>
            <w:tcBorders>
              <w:top w:val="single" w:sz="8" w:space="0" w:color="FFFFFF"/>
              <w:left w:val="single" w:sz="8" w:space="0" w:color="FFFFFF"/>
              <w:bottom w:val="single" w:sz="8" w:space="0" w:color="FFFFFF"/>
              <w:right w:val="single" w:sz="8" w:space="0" w:color="FFFFFF"/>
            </w:tcBorders>
            <w:shd w:val="clear" w:color="auto" w:fill="BDD7EE"/>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20"/>
                <w:szCs w:val="20"/>
                <w:u w:color="000000"/>
                <w:bdr w:val="nil"/>
                <w:lang w:val="es-ES_tradnl" w:eastAsia="es-CL"/>
              </w:rPr>
            </w:pPr>
            <w:r>
              <w:rPr>
                <w:b w:val="0"/>
                <w:color w:val="000000"/>
                <w:kern w:val="24"/>
                <w:sz w:val="20"/>
                <w:szCs w:val="20"/>
                <w:u w:color="000000"/>
                <w:bdr w:val="nil"/>
                <w:lang w:val="es-ES_tradnl" w:eastAsia="es-CL"/>
              </w:rPr>
              <w:t>4.692.293</w:t>
            </w:r>
          </w:p>
        </w:tc>
      </w:tr>
      <w:tr>
        <w:tblPrEx>
          <w:tblCellMar>
            <w:top w:w="0" w:type="dxa"/>
            <w:left w:w="0" w:type="dxa"/>
            <w:bottom w:w="0" w:type="dxa"/>
            <w:right w:w="0" w:type="dxa"/>
          </w:tblCellMar>
        </w:tblPrEx>
        <w:trPr>
          <w:trHeight w:val="805"/>
          <w:jc w:val="center"/>
        </w:trPr>
        <w:tc>
          <w:tcPr>
            <w:tcW w:w="4660" w:type="dxa"/>
            <w:tcBorders>
              <w:top w:val="single" w:sz="8" w:space="0" w:color="FFFFFF"/>
              <w:left w:val="single" w:sz="8" w:space="0" w:color="FFFFFF"/>
              <w:bottom w:val="single" w:sz="8" w:space="0" w:color="FFFFFF"/>
              <w:right w:val="single" w:sz="8" w:space="0" w:color="FFFFFF"/>
            </w:tcBorders>
            <w:shd w:val="clear" w:color="auto" w:fill="BDD7EE"/>
            <w:tcMar>
              <w:top w:w="80" w:type="dxa"/>
              <w:left w:w="80" w:type="dxa"/>
              <w:bottom w:w="80" w:type="dxa"/>
              <w:right w:w="80" w:type="dxa"/>
            </w:tcMar>
            <w:vAlign w:val="bottom"/>
          </w:tcPr>
          <w:p>
            <w:pPr>
              <w:pBdr>
                <w:top w:val="nil"/>
                <w:left w:val="nil"/>
                <w:bottom w:val="nil"/>
                <w:right w:val="nil"/>
                <w:between w:val="nil"/>
                <w:bar w:val="nil"/>
              </w:pBdr>
              <w:tabs>
                <w:tab w:val="clear" w:pos="2835"/>
              </w:tabs>
              <w:jc w:val="left"/>
              <w:rPr>
                <w:rFonts w:eastAsia="Arial"/>
                <w:b w:val="0"/>
                <w:color w:val="000000"/>
                <w:sz w:val="20"/>
                <w:szCs w:val="20"/>
                <w:u w:color="000000"/>
                <w:bdr w:val="nil"/>
                <w:lang w:val="es-ES_tradnl" w:eastAsia="es-CL"/>
              </w:rPr>
            </w:pPr>
            <w:r>
              <w:rPr>
                <w:b w:val="0"/>
                <w:color w:val="000000"/>
                <w:kern w:val="24"/>
                <w:sz w:val="20"/>
                <w:szCs w:val="20"/>
                <w:u w:color="000000"/>
                <w:bdr w:val="nil"/>
                <w:lang w:val="es-ES_tradnl" w:eastAsia="es-CL"/>
              </w:rPr>
              <w:t> Proyecto Ley de Fortalecimiento - Aumento Dotación</w:t>
            </w:r>
          </w:p>
        </w:tc>
        <w:tc>
          <w:tcPr>
            <w:tcW w:w="3520" w:type="dxa"/>
            <w:tcBorders>
              <w:top w:val="single" w:sz="8" w:space="0" w:color="FFFFFF"/>
              <w:left w:val="single" w:sz="8" w:space="0" w:color="FFFFFF"/>
              <w:bottom w:val="single" w:sz="8" w:space="0" w:color="FFFFFF"/>
              <w:right w:val="single" w:sz="8" w:space="0" w:color="FFFFFF"/>
            </w:tcBorders>
            <w:shd w:val="clear" w:color="auto" w:fill="BDD7EE"/>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20"/>
                <w:szCs w:val="20"/>
                <w:u w:color="000000"/>
                <w:bdr w:val="nil"/>
                <w:lang w:val="es-ES_tradnl" w:eastAsia="es-CL"/>
              </w:rPr>
            </w:pPr>
            <w:r>
              <w:rPr>
                <w:b w:val="0"/>
                <w:color w:val="000000"/>
                <w:kern w:val="24"/>
                <w:sz w:val="20"/>
                <w:szCs w:val="20"/>
                <w:u w:color="000000"/>
                <w:bdr w:val="nil"/>
                <w:lang w:val="es-ES_tradnl" w:eastAsia="es-CL"/>
              </w:rPr>
              <w:t>66.351</w:t>
            </w:r>
          </w:p>
        </w:tc>
      </w:tr>
    </w:tbl>
    <w:p>
      <w:pPr>
        <w:widowControl w:val="0"/>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tabs>
          <w:tab w:val="left" w:pos="720"/>
        </w:tabs>
        <w:jc w:val="center"/>
        <w:rPr>
          <w:rFonts w:eastAsia="Arial"/>
          <w:b w:val="0"/>
          <w:color w:val="000000"/>
          <w:u w:color="000000"/>
          <w:bdr w:val="nil"/>
          <w:lang w:val="es-ES_tradnl" w:eastAsia="es-CL"/>
        </w:rPr>
      </w:pPr>
      <w:r>
        <w:rPr>
          <w:rFonts w:eastAsia="Arial"/>
          <w:bCs/>
          <w:color w:val="000000"/>
          <w:u w:color="000000"/>
          <w:bdr w:val="nil"/>
          <w:lang w:val="es-ES_tradnl" w:eastAsia="es-CL"/>
        </w:rPr>
        <w:t>Subtitulo 29: Adquisición de activos no financieros</w:t>
      </w:r>
    </w:p>
    <w:p>
      <w:pPr>
        <w:pBdr>
          <w:top w:val="nil"/>
          <w:left w:val="nil"/>
          <w:bottom w:val="nil"/>
          <w:right w:val="nil"/>
          <w:between w:val="nil"/>
          <w:bar w:val="nil"/>
        </w:pBdr>
        <w:rPr>
          <w:rFonts w:eastAsia="Arial"/>
          <w:b w:val="0"/>
          <w:color w:val="000000"/>
          <w:u w:color="000000"/>
          <w:bdr w:val="nil"/>
          <w:lang w:val="es-ES_tradnl" w:eastAsia="es-CL"/>
        </w:rPr>
      </w:pPr>
    </w:p>
    <w:tbl>
      <w:tblPr>
        <w:tblW w:w="9235" w:type="dxa"/>
        <w:jc w:val="center"/>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6553"/>
        <w:gridCol w:w="2682"/>
      </w:tblGrid>
      <w:tr>
        <w:tblPrEx>
          <w:tblCellMar>
            <w:top w:w="0" w:type="dxa"/>
            <w:left w:w="0" w:type="dxa"/>
            <w:bottom w:w="0" w:type="dxa"/>
            <w:right w:w="0" w:type="dxa"/>
          </w:tblCellMar>
        </w:tblPrEx>
        <w:trPr>
          <w:trHeight w:val="618"/>
          <w:jc w:val="center"/>
        </w:trPr>
        <w:tc>
          <w:tcPr>
            <w:tcW w:w="6553" w:type="dxa"/>
            <w:tcBorders>
              <w:top w:val="single" w:sz="8" w:space="0" w:color="FFFFFF"/>
              <w:left w:val="single" w:sz="8" w:space="0" w:color="FFFFFF"/>
              <w:bottom w:val="single" w:sz="8" w:space="0" w:color="FFFFFF"/>
              <w:right w:val="single" w:sz="8" w:space="0" w:color="FFFFFF"/>
            </w:tcBorders>
            <w:shd w:val="clear" w:color="auto" w:fill="5B9BD5"/>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20"/>
                <w:szCs w:val="20"/>
                <w:u w:color="000000"/>
                <w:bdr w:val="nil"/>
                <w:lang w:val="es-ES_tradnl" w:eastAsia="es-CL"/>
              </w:rPr>
            </w:pPr>
            <w:r>
              <w:rPr>
                <w:bCs/>
                <w:color w:val="000000"/>
                <w:kern w:val="24"/>
                <w:sz w:val="20"/>
                <w:szCs w:val="20"/>
                <w:u w:color="000000"/>
                <w:bdr w:val="nil"/>
                <w:lang w:val="es-ES_tradnl" w:eastAsia="es-CL"/>
              </w:rPr>
              <w:t>Ítem/Proyecto (cifras en M$)</w:t>
            </w:r>
          </w:p>
        </w:tc>
        <w:tc>
          <w:tcPr>
            <w:tcW w:w="2682" w:type="dxa"/>
            <w:tcBorders>
              <w:top w:val="single" w:sz="8" w:space="0" w:color="FFFFFF"/>
              <w:left w:val="single" w:sz="8" w:space="0" w:color="FFFFFF"/>
              <w:bottom w:val="single" w:sz="8" w:space="0" w:color="FFFFFF"/>
              <w:right w:val="single" w:sz="8" w:space="0" w:color="FFFFFF"/>
            </w:tcBorders>
            <w:shd w:val="clear" w:color="auto" w:fill="5B9BD5"/>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20"/>
                <w:szCs w:val="20"/>
                <w:u w:color="000000"/>
                <w:bdr w:val="nil"/>
                <w:lang w:val="es-ES_tradnl" w:eastAsia="es-CL"/>
              </w:rPr>
            </w:pPr>
            <w:r>
              <w:rPr>
                <w:bCs/>
                <w:color w:val="000000"/>
                <w:kern w:val="24"/>
                <w:sz w:val="20"/>
                <w:szCs w:val="20"/>
                <w:u w:color="000000"/>
                <w:bdr w:val="nil"/>
                <w:lang w:val="es-ES_tradnl" w:eastAsia="es-CL"/>
              </w:rPr>
              <w:t xml:space="preserve">                         5.427.030 </w:t>
            </w:r>
          </w:p>
        </w:tc>
      </w:tr>
      <w:tr>
        <w:tblPrEx>
          <w:tblCellMar>
            <w:top w:w="0" w:type="dxa"/>
            <w:left w:w="0" w:type="dxa"/>
            <w:bottom w:w="0" w:type="dxa"/>
            <w:right w:w="0" w:type="dxa"/>
          </w:tblCellMar>
        </w:tblPrEx>
        <w:trPr>
          <w:trHeight w:val="500"/>
          <w:jc w:val="center"/>
        </w:trPr>
        <w:tc>
          <w:tcPr>
            <w:tcW w:w="6553" w:type="dxa"/>
            <w:tcBorders>
              <w:top w:val="single" w:sz="8" w:space="0" w:color="FFFFFF"/>
              <w:left w:val="single" w:sz="8" w:space="0" w:color="FFFFFF"/>
              <w:bottom w:val="single" w:sz="8" w:space="0" w:color="FFFFFF"/>
              <w:right w:val="single" w:sz="8" w:space="0" w:color="FFFFFF"/>
            </w:tcBorders>
            <w:shd w:val="clear" w:color="auto" w:fill="5B9BD5"/>
            <w:tcMar>
              <w:top w:w="80" w:type="dxa"/>
              <w:left w:w="80" w:type="dxa"/>
              <w:bottom w:w="80" w:type="dxa"/>
              <w:right w:w="80" w:type="dxa"/>
            </w:tcMar>
            <w:vAlign w:val="bottom"/>
          </w:tcPr>
          <w:p>
            <w:pPr>
              <w:pBdr>
                <w:top w:val="nil"/>
                <w:left w:val="nil"/>
                <w:bottom w:val="nil"/>
                <w:right w:val="nil"/>
                <w:between w:val="nil"/>
                <w:bar w:val="nil"/>
              </w:pBdr>
              <w:tabs>
                <w:tab w:val="clear" w:pos="2835"/>
              </w:tabs>
              <w:jc w:val="left"/>
              <w:rPr>
                <w:rFonts w:eastAsia="Arial"/>
                <w:b w:val="0"/>
                <w:color w:val="000000"/>
                <w:sz w:val="20"/>
                <w:szCs w:val="20"/>
                <w:u w:color="000000"/>
                <w:bdr w:val="nil"/>
                <w:lang w:val="es-ES_tradnl" w:eastAsia="es-CL"/>
              </w:rPr>
            </w:pPr>
            <w:r>
              <w:rPr>
                <w:b w:val="0"/>
                <w:color w:val="000000"/>
                <w:kern w:val="24"/>
                <w:sz w:val="20"/>
                <w:szCs w:val="20"/>
                <w:u w:color="000000"/>
                <w:bdr w:val="nil"/>
                <w:lang w:val="es-ES_tradnl" w:eastAsia="es-CL"/>
              </w:rPr>
              <w:t>ITEM 06: EQUIPOS INFORMÁTICOS</w:t>
            </w:r>
          </w:p>
        </w:tc>
        <w:tc>
          <w:tcPr>
            <w:tcW w:w="2682" w:type="dxa"/>
            <w:tcBorders>
              <w:top w:val="single" w:sz="8" w:space="0" w:color="FFFFFF"/>
              <w:left w:val="single" w:sz="8" w:space="0" w:color="FFFFFF"/>
              <w:bottom w:val="single" w:sz="8" w:space="0" w:color="FFFFFF"/>
              <w:right w:val="single" w:sz="8" w:space="0" w:color="FFFFFF"/>
            </w:tcBorders>
            <w:shd w:val="clear" w:color="auto" w:fill="5B9BD5"/>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20"/>
                <w:szCs w:val="20"/>
                <w:u w:color="000000"/>
                <w:bdr w:val="nil"/>
                <w:lang w:val="es-ES_tradnl" w:eastAsia="es-CL"/>
              </w:rPr>
            </w:pPr>
            <w:r>
              <w:rPr>
                <w:b w:val="0"/>
                <w:color w:val="000000"/>
                <w:kern w:val="24"/>
                <w:sz w:val="20"/>
                <w:szCs w:val="20"/>
                <w:u w:color="000000"/>
                <w:bdr w:val="nil"/>
                <w:lang w:val="es-ES_tradnl" w:eastAsia="es-CL"/>
              </w:rPr>
              <w:t xml:space="preserve">                               1.097.835 </w:t>
            </w:r>
          </w:p>
        </w:tc>
      </w:tr>
      <w:tr>
        <w:tblPrEx>
          <w:tblCellMar>
            <w:top w:w="0" w:type="dxa"/>
            <w:left w:w="0" w:type="dxa"/>
            <w:bottom w:w="0" w:type="dxa"/>
            <w:right w:w="0" w:type="dxa"/>
          </w:tblCellMar>
        </w:tblPrEx>
        <w:trPr>
          <w:trHeight w:val="500"/>
          <w:jc w:val="center"/>
        </w:trPr>
        <w:tc>
          <w:tcPr>
            <w:tcW w:w="6553" w:type="dxa"/>
            <w:tcBorders>
              <w:top w:val="single" w:sz="8" w:space="0" w:color="FFFFFF"/>
              <w:left w:val="single" w:sz="8" w:space="0" w:color="FFFFFF"/>
              <w:bottom w:val="single" w:sz="8" w:space="0" w:color="FFFFFF"/>
              <w:right w:val="single" w:sz="8" w:space="0" w:color="FFFFFF"/>
            </w:tcBorders>
            <w:shd w:val="clear" w:color="auto" w:fill="BDD7EE"/>
            <w:tcMar>
              <w:top w:w="80" w:type="dxa"/>
              <w:left w:w="80" w:type="dxa"/>
              <w:bottom w:w="80" w:type="dxa"/>
              <w:right w:w="80" w:type="dxa"/>
            </w:tcMar>
            <w:vAlign w:val="center"/>
          </w:tcPr>
          <w:p>
            <w:pPr>
              <w:pBdr>
                <w:top w:val="nil"/>
                <w:left w:val="nil"/>
                <w:bottom w:val="nil"/>
                <w:right w:val="nil"/>
                <w:between w:val="nil"/>
                <w:bar w:val="nil"/>
              </w:pBdr>
              <w:tabs>
                <w:tab w:val="clear" w:pos="2835"/>
              </w:tabs>
              <w:jc w:val="left"/>
              <w:rPr>
                <w:rFonts w:eastAsia="Arial"/>
                <w:b w:val="0"/>
                <w:color w:val="000000"/>
                <w:sz w:val="20"/>
                <w:szCs w:val="20"/>
                <w:u w:color="000000"/>
                <w:bdr w:val="nil"/>
                <w:lang w:val="es-ES_tradnl" w:eastAsia="es-CL"/>
              </w:rPr>
            </w:pPr>
            <w:r>
              <w:rPr>
                <w:b w:val="0"/>
                <w:color w:val="000000"/>
                <w:kern w:val="24"/>
                <w:sz w:val="20"/>
                <w:szCs w:val="20"/>
                <w:u w:color="000000"/>
                <w:bdr w:val="nil"/>
                <w:lang w:val="es-ES_tradnl" w:eastAsia="es-CL"/>
              </w:rPr>
              <w:t>Proyecto Reforma Tributaria - Adecuación de la Plataforma Tecnológica</w:t>
            </w:r>
          </w:p>
        </w:tc>
        <w:tc>
          <w:tcPr>
            <w:tcW w:w="2682" w:type="dxa"/>
            <w:tcBorders>
              <w:top w:val="single" w:sz="8" w:space="0" w:color="FFFFFF"/>
              <w:left w:val="single" w:sz="8" w:space="0" w:color="FFFFFF"/>
              <w:bottom w:val="single" w:sz="8" w:space="0" w:color="FFFFFF"/>
              <w:right w:val="single" w:sz="8" w:space="0" w:color="FFFFFF"/>
            </w:tcBorders>
            <w:shd w:val="clear" w:color="auto" w:fill="BDD7EE"/>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20"/>
                <w:szCs w:val="20"/>
                <w:u w:color="000000"/>
                <w:bdr w:val="nil"/>
                <w:lang w:val="es-ES_tradnl" w:eastAsia="es-CL"/>
              </w:rPr>
            </w:pPr>
            <w:r>
              <w:rPr>
                <w:b w:val="0"/>
                <w:color w:val="000000"/>
                <w:kern w:val="24"/>
                <w:sz w:val="20"/>
                <w:szCs w:val="20"/>
                <w:u w:color="000000"/>
                <w:bdr w:val="nil"/>
                <w:lang w:val="es-ES_tradnl" w:eastAsia="es-CL"/>
              </w:rPr>
              <w:t xml:space="preserve">                                  620.824 </w:t>
            </w:r>
          </w:p>
        </w:tc>
      </w:tr>
      <w:tr>
        <w:tblPrEx>
          <w:tblCellMar>
            <w:top w:w="0" w:type="dxa"/>
            <w:left w:w="0" w:type="dxa"/>
            <w:bottom w:w="0" w:type="dxa"/>
            <w:right w:w="0" w:type="dxa"/>
          </w:tblCellMar>
        </w:tblPrEx>
        <w:trPr>
          <w:trHeight w:val="500"/>
          <w:jc w:val="center"/>
        </w:trPr>
        <w:tc>
          <w:tcPr>
            <w:tcW w:w="6553" w:type="dxa"/>
            <w:tcBorders>
              <w:top w:val="single" w:sz="8" w:space="0" w:color="FFFFFF"/>
              <w:left w:val="single" w:sz="8" w:space="0" w:color="FFFFFF"/>
              <w:bottom w:val="single" w:sz="8" w:space="0" w:color="FFFFFF"/>
              <w:right w:val="single" w:sz="8" w:space="0" w:color="FFFFFF"/>
            </w:tcBorders>
            <w:shd w:val="clear" w:color="auto" w:fill="BDD7EE"/>
            <w:tcMar>
              <w:top w:w="80" w:type="dxa"/>
              <w:left w:w="80" w:type="dxa"/>
              <w:bottom w:w="80" w:type="dxa"/>
              <w:right w:w="80" w:type="dxa"/>
            </w:tcMar>
            <w:vAlign w:val="center"/>
          </w:tcPr>
          <w:p>
            <w:pPr>
              <w:pBdr>
                <w:top w:val="nil"/>
                <w:left w:val="nil"/>
                <w:bottom w:val="nil"/>
                <w:right w:val="nil"/>
                <w:between w:val="nil"/>
                <w:bar w:val="nil"/>
              </w:pBdr>
              <w:tabs>
                <w:tab w:val="clear" w:pos="2835"/>
              </w:tabs>
              <w:jc w:val="left"/>
              <w:rPr>
                <w:rFonts w:eastAsia="Arial"/>
                <w:b w:val="0"/>
                <w:color w:val="000000"/>
                <w:sz w:val="20"/>
                <w:szCs w:val="20"/>
                <w:u w:color="000000"/>
                <w:bdr w:val="nil"/>
                <w:lang w:val="es-ES_tradnl" w:eastAsia="es-CL"/>
              </w:rPr>
            </w:pPr>
            <w:r>
              <w:rPr>
                <w:b w:val="0"/>
                <w:color w:val="000000"/>
                <w:kern w:val="24"/>
                <w:sz w:val="20"/>
                <w:szCs w:val="20"/>
                <w:u w:color="000000"/>
                <w:bdr w:val="nil"/>
                <w:lang w:val="es-ES_tradnl" w:eastAsia="es-CL"/>
              </w:rPr>
              <w:t>Proyecto Reforma Tributaria - Potenciamiento de Apoyo a la Fiscalización (Hardware)</w:t>
            </w:r>
          </w:p>
        </w:tc>
        <w:tc>
          <w:tcPr>
            <w:tcW w:w="2682" w:type="dxa"/>
            <w:tcBorders>
              <w:top w:val="single" w:sz="8" w:space="0" w:color="FFFFFF"/>
              <w:left w:val="single" w:sz="8" w:space="0" w:color="FFFFFF"/>
              <w:bottom w:val="single" w:sz="8" w:space="0" w:color="FFFFFF"/>
              <w:right w:val="single" w:sz="8" w:space="0" w:color="FFFFFF"/>
            </w:tcBorders>
            <w:shd w:val="clear" w:color="auto" w:fill="BDD7EE"/>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20"/>
                <w:szCs w:val="20"/>
                <w:u w:color="000000"/>
                <w:bdr w:val="nil"/>
                <w:lang w:val="es-ES_tradnl" w:eastAsia="es-CL"/>
              </w:rPr>
            </w:pPr>
            <w:r>
              <w:rPr>
                <w:b w:val="0"/>
                <w:color w:val="000000"/>
                <w:kern w:val="24"/>
                <w:sz w:val="20"/>
                <w:szCs w:val="20"/>
                <w:u w:color="000000"/>
                <w:bdr w:val="nil"/>
                <w:lang w:val="es-ES_tradnl" w:eastAsia="es-CL"/>
              </w:rPr>
              <w:t xml:space="preserve">                                  477.011 </w:t>
            </w:r>
          </w:p>
        </w:tc>
      </w:tr>
      <w:tr>
        <w:tblPrEx>
          <w:tblCellMar>
            <w:top w:w="0" w:type="dxa"/>
            <w:left w:w="0" w:type="dxa"/>
            <w:bottom w:w="0" w:type="dxa"/>
            <w:right w:w="0" w:type="dxa"/>
          </w:tblCellMar>
        </w:tblPrEx>
        <w:trPr>
          <w:trHeight w:val="500"/>
          <w:jc w:val="center"/>
        </w:trPr>
        <w:tc>
          <w:tcPr>
            <w:tcW w:w="6553" w:type="dxa"/>
            <w:tcBorders>
              <w:top w:val="single" w:sz="8" w:space="0" w:color="FFFFFF"/>
              <w:left w:val="single" w:sz="8" w:space="0" w:color="FFFFFF"/>
              <w:bottom w:val="single" w:sz="8" w:space="0" w:color="FFFFFF"/>
              <w:right w:val="single" w:sz="8" w:space="0" w:color="FFFFFF"/>
            </w:tcBorders>
            <w:shd w:val="clear" w:color="auto" w:fill="5B9BD5"/>
            <w:tcMar>
              <w:top w:w="80" w:type="dxa"/>
              <w:left w:w="80" w:type="dxa"/>
              <w:bottom w:w="80" w:type="dxa"/>
              <w:right w:w="80" w:type="dxa"/>
            </w:tcMar>
            <w:vAlign w:val="bottom"/>
          </w:tcPr>
          <w:p>
            <w:pPr>
              <w:pBdr>
                <w:top w:val="nil"/>
                <w:left w:val="nil"/>
                <w:bottom w:val="nil"/>
                <w:right w:val="nil"/>
                <w:between w:val="nil"/>
                <w:bar w:val="nil"/>
              </w:pBdr>
              <w:tabs>
                <w:tab w:val="clear" w:pos="2835"/>
              </w:tabs>
              <w:jc w:val="left"/>
              <w:rPr>
                <w:rFonts w:eastAsia="Arial"/>
                <w:b w:val="0"/>
                <w:color w:val="000000"/>
                <w:sz w:val="20"/>
                <w:szCs w:val="20"/>
                <w:u w:color="000000"/>
                <w:bdr w:val="nil"/>
                <w:lang w:val="es-ES_tradnl" w:eastAsia="es-CL"/>
              </w:rPr>
            </w:pPr>
            <w:r>
              <w:rPr>
                <w:b w:val="0"/>
                <w:color w:val="000000"/>
                <w:kern w:val="24"/>
                <w:sz w:val="20"/>
                <w:szCs w:val="20"/>
                <w:u w:color="000000"/>
                <w:bdr w:val="nil"/>
                <w:lang w:val="es-ES_tradnl" w:eastAsia="es-CL"/>
              </w:rPr>
              <w:t>ITEM 07: PROGRAMAS INFORMÁTICOS</w:t>
            </w:r>
          </w:p>
        </w:tc>
        <w:tc>
          <w:tcPr>
            <w:tcW w:w="2682" w:type="dxa"/>
            <w:tcBorders>
              <w:top w:val="single" w:sz="8" w:space="0" w:color="FFFFFF"/>
              <w:left w:val="single" w:sz="8" w:space="0" w:color="FFFFFF"/>
              <w:bottom w:val="single" w:sz="8" w:space="0" w:color="FFFFFF"/>
              <w:right w:val="single" w:sz="8" w:space="0" w:color="FFFFFF"/>
            </w:tcBorders>
            <w:shd w:val="clear" w:color="auto" w:fill="5B9BD5"/>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20"/>
                <w:szCs w:val="20"/>
                <w:u w:color="000000"/>
                <w:bdr w:val="nil"/>
                <w:lang w:val="es-ES_tradnl" w:eastAsia="es-CL"/>
              </w:rPr>
            </w:pPr>
            <w:r>
              <w:rPr>
                <w:b w:val="0"/>
                <w:color w:val="000000"/>
                <w:kern w:val="24"/>
                <w:sz w:val="20"/>
                <w:szCs w:val="20"/>
                <w:u w:color="000000"/>
                <w:bdr w:val="nil"/>
                <w:lang w:val="es-ES_tradnl" w:eastAsia="es-CL"/>
              </w:rPr>
              <w:t xml:space="preserve">                               4.329.195 </w:t>
            </w:r>
          </w:p>
        </w:tc>
      </w:tr>
      <w:tr>
        <w:tblPrEx>
          <w:tblCellMar>
            <w:top w:w="0" w:type="dxa"/>
            <w:left w:w="0" w:type="dxa"/>
            <w:bottom w:w="0" w:type="dxa"/>
            <w:right w:w="0" w:type="dxa"/>
          </w:tblCellMar>
        </w:tblPrEx>
        <w:trPr>
          <w:trHeight w:val="500"/>
          <w:jc w:val="center"/>
        </w:trPr>
        <w:tc>
          <w:tcPr>
            <w:tcW w:w="6553" w:type="dxa"/>
            <w:tcBorders>
              <w:top w:val="single" w:sz="8" w:space="0" w:color="FFFFFF"/>
              <w:left w:val="single" w:sz="8" w:space="0" w:color="FFFFFF"/>
              <w:bottom w:val="single" w:sz="8" w:space="0" w:color="FFFFFF"/>
              <w:right w:val="single" w:sz="8" w:space="0" w:color="FFFFFF"/>
            </w:tcBorders>
            <w:shd w:val="clear" w:color="auto" w:fill="BDD7EE"/>
            <w:tcMar>
              <w:top w:w="80" w:type="dxa"/>
              <w:left w:w="80" w:type="dxa"/>
              <w:bottom w:w="80" w:type="dxa"/>
              <w:right w:w="80" w:type="dxa"/>
            </w:tcMar>
            <w:vAlign w:val="center"/>
          </w:tcPr>
          <w:p>
            <w:pPr>
              <w:pBdr>
                <w:top w:val="nil"/>
                <w:left w:val="nil"/>
                <w:bottom w:val="nil"/>
                <w:right w:val="nil"/>
                <w:between w:val="nil"/>
                <w:bar w:val="nil"/>
              </w:pBdr>
              <w:tabs>
                <w:tab w:val="clear" w:pos="2835"/>
              </w:tabs>
              <w:jc w:val="left"/>
              <w:rPr>
                <w:rFonts w:eastAsia="Arial"/>
                <w:b w:val="0"/>
                <w:color w:val="000000"/>
                <w:sz w:val="20"/>
                <w:szCs w:val="20"/>
                <w:u w:color="000000"/>
                <w:bdr w:val="nil"/>
                <w:lang w:val="es-ES_tradnl" w:eastAsia="es-CL"/>
              </w:rPr>
            </w:pPr>
            <w:r>
              <w:rPr>
                <w:b w:val="0"/>
                <w:color w:val="000000"/>
                <w:kern w:val="24"/>
                <w:sz w:val="20"/>
                <w:szCs w:val="20"/>
                <w:u w:color="000000"/>
                <w:bdr w:val="nil"/>
                <w:lang w:val="es-ES_tradnl" w:eastAsia="es-CL"/>
              </w:rPr>
              <w:t>Proyecto Reforma Tributaria (Adecuación de la Plataforma Tecnológica)</w:t>
            </w:r>
          </w:p>
        </w:tc>
        <w:tc>
          <w:tcPr>
            <w:tcW w:w="2682" w:type="dxa"/>
            <w:tcBorders>
              <w:top w:val="single" w:sz="8" w:space="0" w:color="FFFFFF"/>
              <w:left w:val="single" w:sz="8" w:space="0" w:color="FFFFFF"/>
              <w:bottom w:val="single" w:sz="8" w:space="0" w:color="FFFFFF"/>
              <w:right w:val="single" w:sz="8" w:space="0" w:color="FFFFFF"/>
            </w:tcBorders>
            <w:shd w:val="clear" w:color="auto" w:fill="BDD7EE"/>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20"/>
                <w:szCs w:val="20"/>
                <w:u w:color="000000"/>
                <w:bdr w:val="nil"/>
                <w:lang w:val="es-ES_tradnl" w:eastAsia="es-CL"/>
              </w:rPr>
            </w:pPr>
            <w:r>
              <w:rPr>
                <w:b w:val="0"/>
                <w:color w:val="000000"/>
                <w:kern w:val="24"/>
                <w:sz w:val="20"/>
                <w:szCs w:val="20"/>
                <w:u w:color="000000"/>
                <w:bdr w:val="nil"/>
                <w:lang w:val="es-ES_tradnl" w:eastAsia="es-CL"/>
              </w:rPr>
              <w:t xml:space="preserve">                              1.021.992 </w:t>
            </w:r>
          </w:p>
        </w:tc>
      </w:tr>
      <w:tr>
        <w:tblPrEx>
          <w:tblCellMar>
            <w:top w:w="0" w:type="dxa"/>
            <w:left w:w="0" w:type="dxa"/>
            <w:bottom w:w="0" w:type="dxa"/>
            <w:right w:w="0" w:type="dxa"/>
          </w:tblCellMar>
        </w:tblPrEx>
        <w:trPr>
          <w:trHeight w:val="500"/>
          <w:jc w:val="center"/>
        </w:trPr>
        <w:tc>
          <w:tcPr>
            <w:tcW w:w="6553" w:type="dxa"/>
            <w:tcBorders>
              <w:top w:val="single" w:sz="8" w:space="0" w:color="FFFFFF"/>
              <w:left w:val="single" w:sz="8" w:space="0" w:color="FFFFFF"/>
              <w:bottom w:val="single" w:sz="8" w:space="0" w:color="FFFFFF"/>
              <w:right w:val="single" w:sz="8" w:space="0" w:color="FFFFFF"/>
            </w:tcBorders>
            <w:shd w:val="clear" w:color="auto" w:fill="BDD7EE"/>
            <w:tcMar>
              <w:top w:w="80" w:type="dxa"/>
              <w:left w:w="80" w:type="dxa"/>
              <w:bottom w:w="80" w:type="dxa"/>
              <w:right w:w="80" w:type="dxa"/>
            </w:tcMar>
            <w:vAlign w:val="center"/>
          </w:tcPr>
          <w:p>
            <w:pPr>
              <w:pBdr>
                <w:top w:val="nil"/>
                <w:left w:val="nil"/>
                <w:bottom w:val="nil"/>
                <w:right w:val="nil"/>
                <w:between w:val="nil"/>
                <w:bar w:val="nil"/>
              </w:pBdr>
              <w:tabs>
                <w:tab w:val="clear" w:pos="2835"/>
              </w:tabs>
              <w:jc w:val="left"/>
              <w:rPr>
                <w:rFonts w:eastAsia="Arial"/>
                <w:b w:val="0"/>
                <w:color w:val="000000"/>
                <w:sz w:val="20"/>
                <w:szCs w:val="20"/>
                <w:u w:color="000000"/>
                <w:bdr w:val="nil"/>
                <w:lang w:val="es-ES_tradnl" w:eastAsia="es-CL"/>
              </w:rPr>
            </w:pPr>
            <w:r>
              <w:rPr>
                <w:b w:val="0"/>
                <w:color w:val="000000"/>
                <w:kern w:val="24"/>
                <w:sz w:val="20"/>
                <w:szCs w:val="20"/>
                <w:u w:color="000000"/>
                <w:bdr w:val="nil"/>
                <w:lang w:val="es-ES_tradnl" w:eastAsia="es-CL"/>
              </w:rPr>
              <w:t>Proyecto Reforma Tributaria - Potenciamiento de Apoyo a la Fiscalización (Software)</w:t>
            </w:r>
          </w:p>
        </w:tc>
        <w:tc>
          <w:tcPr>
            <w:tcW w:w="2682" w:type="dxa"/>
            <w:tcBorders>
              <w:top w:val="single" w:sz="8" w:space="0" w:color="FFFFFF"/>
              <w:left w:val="single" w:sz="8" w:space="0" w:color="FFFFFF"/>
              <w:bottom w:val="single" w:sz="8" w:space="0" w:color="FFFFFF"/>
              <w:right w:val="single" w:sz="8" w:space="0" w:color="FFFFFF"/>
            </w:tcBorders>
            <w:shd w:val="clear" w:color="auto" w:fill="BDD7EE"/>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20"/>
                <w:szCs w:val="20"/>
                <w:u w:color="000000"/>
                <w:bdr w:val="nil"/>
                <w:lang w:val="es-ES_tradnl" w:eastAsia="es-CL"/>
              </w:rPr>
            </w:pPr>
            <w:r>
              <w:rPr>
                <w:b w:val="0"/>
                <w:color w:val="000000"/>
                <w:kern w:val="24"/>
                <w:sz w:val="20"/>
                <w:szCs w:val="20"/>
                <w:u w:color="000000"/>
                <w:bdr w:val="nil"/>
                <w:lang w:val="es-ES_tradnl" w:eastAsia="es-CL"/>
              </w:rPr>
              <w:t xml:space="preserve">                               1.428.774               </w:t>
            </w:r>
          </w:p>
        </w:tc>
      </w:tr>
      <w:tr>
        <w:tblPrEx>
          <w:tblCellMar>
            <w:top w:w="0" w:type="dxa"/>
            <w:left w:w="0" w:type="dxa"/>
            <w:bottom w:w="0" w:type="dxa"/>
            <w:right w:w="0" w:type="dxa"/>
          </w:tblCellMar>
        </w:tblPrEx>
        <w:trPr>
          <w:trHeight w:val="500"/>
          <w:jc w:val="center"/>
        </w:trPr>
        <w:tc>
          <w:tcPr>
            <w:tcW w:w="6553" w:type="dxa"/>
            <w:tcBorders>
              <w:top w:val="single" w:sz="8" w:space="0" w:color="FFFFFF"/>
              <w:left w:val="single" w:sz="8" w:space="0" w:color="FFFFFF"/>
              <w:bottom w:val="single" w:sz="8" w:space="0" w:color="FFFFFF"/>
              <w:right w:val="single" w:sz="8" w:space="0" w:color="FFFFFF"/>
            </w:tcBorders>
            <w:shd w:val="clear" w:color="auto" w:fill="BDD7EE"/>
            <w:tcMar>
              <w:top w:w="80" w:type="dxa"/>
              <w:left w:w="80" w:type="dxa"/>
              <w:bottom w:w="80" w:type="dxa"/>
              <w:right w:w="80" w:type="dxa"/>
            </w:tcMar>
            <w:vAlign w:val="center"/>
          </w:tcPr>
          <w:p>
            <w:pPr>
              <w:pBdr>
                <w:top w:val="nil"/>
                <w:left w:val="nil"/>
                <w:bottom w:val="nil"/>
                <w:right w:val="nil"/>
                <w:between w:val="nil"/>
                <w:bar w:val="nil"/>
              </w:pBdr>
              <w:tabs>
                <w:tab w:val="clear" w:pos="2835"/>
              </w:tabs>
              <w:jc w:val="left"/>
              <w:rPr>
                <w:rFonts w:eastAsia="Arial"/>
                <w:b w:val="0"/>
                <w:color w:val="000000"/>
                <w:sz w:val="20"/>
                <w:szCs w:val="20"/>
                <w:u w:color="000000"/>
                <w:bdr w:val="nil"/>
                <w:lang w:val="es-ES_tradnl" w:eastAsia="es-CL"/>
              </w:rPr>
            </w:pPr>
            <w:r>
              <w:rPr>
                <w:b w:val="0"/>
                <w:color w:val="000000"/>
                <w:kern w:val="24"/>
                <w:sz w:val="20"/>
                <w:szCs w:val="20"/>
                <w:u w:color="000000"/>
                <w:bdr w:val="nil"/>
                <w:lang w:val="es-ES_tradnl" w:eastAsia="es-CL"/>
              </w:rPr>
              <w:t>Continuidad Operacional y Proyectos de Arrastre (Licencias servidores y equipos personales)</w:t>
            </w:r>
          </w:p>
        </w:tc>
        <w:tc>
          <w:tcPr>
            <w:tcW w:w="2682" w:type="dxa"/>
            <w:tcBorders>
              <w:top w:val="single" w:sz="8" w:space="0" w:color="FFFFFF"/>
              <w:left w:val="single" w:sz="8" w:space="0" w:color="FFFFFF"/>
              <w:bottom w:val="single" w:sz="8" w:space="0" w:color="FFFFFF"/>
              <w:right w:val="single" w:sz="8" w:space="0" w:color="FFFFFF"/>
            </w:tcBorders>
            <w:shd w:val="clear" w:color="auto" w:fill="BDD7EE"/>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20"/>
                <w:szCs w:val="20"/>
                <w:u w:color="000000"/>
                <w:bdr w:val="nil"/>
                <w:lang w:val="es-ES_tradnl" w:eastAsia="es-CL"/>
              </w:rPr>
            </w:pPr>
            <w:r>
              <w:rPr>
                <w:b w:val="0"/>
                <w:color w:val="000000"/>
                <w:kern w:val="24"/>
                <w:sz w:val="20"/>
                <w:szCs w:val="20"/>
                <w:u w:color="000000"/>
                <w:bdr w:val="nil"/>
                <w:lang w:val="es-ES_tradnl" w:eastAsia="es-CL"/>
              </w:rPr>
              <w:t xml:space="preserve">                               1.878.429 </w:t>
            </w:r>
          </w:p>
        </w:tc>
      </w:tr>
    </w:tbl>
    <w:p>
      <w:pPr>
        <w:widowControl w:val="0"/>
        <w:pBdr>
          <w:top w:val="nil"/>
          <w:left w:val="nil"/>
          <w:bottom w:val="nil"/>
          <w:right w:val="nil"/>
          <w:between w:val="nil"/>
          <w:bar w:val="nil"/>
        </w:pBdr>
        <w:rPr>
          <w:rFonts w:eastAsia="Arial"/>
          <w:b w:val="0"/>
          <w:color w:val="000000"/>
          <w:u w:color="000000"/>
          <w:bdr w:val="nil"/>
          <w:lang w:val="es-ES_tradnl" w:eastAsia="es-CL"/>
        </w:rPr>
      </w:pPr>
    </w:p>
    <w:p>
      <w:pPr>
        <w:widowControl w:val="0"/>
        <w:pBdr>
          <w:top w:val="nil"/>
          <w:left w:val="nil"/>
          <w:bottom w:val="nil"/>
          <w:right w:val="nil"/>
          <w:between w:val="nil"/>
          <w:bar w:val="nil"/>
        </w:pBdr>
        <w:rPr>
          <w:rFonts w:eastAsia="Arial"/>
          <w:b w:val="0"/>
          <w:color w:val="000000"/>
          <w:u w:color="000000"/>
          <w:bdr w:val="nil"/>
          <w:lang w:val="es-ES_tradnl" w:eastAsia="es-CL"/>
        </w:rPr>
      </w:pPr>
    </w:p>
    <w:p>
      <w:pPr>
        <w:widowControl w:val="0"/>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tabs>
          <w:tab w:val="left" w:pos="720"/>
        </w:tabs>
        <w:jc w:val="center"/>
        <w:rPr>
          <w:rFonts w:eastAsia="Arial"/>
          <w:b w:val="0"/>
          <w:color w:val="000000"/>
          <w:u w:color="000000"/>
          <w:bdr w:val="nil"/>
          <w:lang w:val="es-ES_tradnl" w:eastAsia="es-CL"/>
        </w:rPr>
      </w:pPr>
      <w:r>
        <w:rPr>
          <w:rFonts w:eastAsia="Arial"/>
          <w:bCs/>
          <w:color w:val="000000"/>
          <w:u w:color="000000"/>
          <w:bdr w:val="nil"/>
          <w:lang w:val="es-ES_tradnl" w:eastAsia="es-CL"/>
        </w:rPr>
        <w:t>Subtitulo 31: Iniciativas de Inversión</w:t>
      </w:r>
    </w:p>
    <w:p>
      <w:pPr>
        <w:pBdr>
          <w:top w:val="nil"/>
          <w:left w:val="nil"/>
          <w:bottom w:val="nil"/>
          <w:right w:val="nil"/>
          <w:between w:val="nil"/>
          <w:bar w:val="nil"/>
        </w:pBdr>
        <w:rPr>
          <w:rFonts w:eastAsia="Arial"/>
          <w:b w:val="0"/>
          <w:color w:val="000000"/>
          <w:u w:color="000000"/>
          <w:bdr w:val="nil"/>
          <w:lang w:val="es-ES_tradnl" w:eastAsia="es-CL"/>
        </w:rPr>
      </w:pPr>
    </w:p>
    <w:tbl>
      <w:tblPr>
        <w:tblW w:w="860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6516"/>
        <w:gridCol w:w="2087"/>
      </w:tblGrid>
      <w:tr>
        <w:tblPrEx>
          <w:tblCellMar>
            <w:top w:w="0" w:type="dxa"/>
            <w:left w:w="0" w:type="dxa"/>
            <w:bottom w:w="0" w:type="dxa"/>
            <w:right w:w="0" w:type="dxa"/>
          </w:tblCellMar>
        </w:tblPrEx>
        <w:trPr>
          <w:trHeight w:val="381"/>
        </w:trPr>
        <w:tc>
          <w:tcPr>
            <w:tcW w:w="6516" w:type="dxa"/>
            <w:tcBorders>
              <w:top w:val="single" w:sz="8" w:space="0" w:color="FFFFFF"/>
              <w:left w:val="single" w:sz="8" w:space="0" w:color="FFFFFF"/>
              <w:bottom w:val="single" w:sz="8" w:space="0" w:color="FFFFFF"/>
              <w:right w:val="single" w:sz="8" w:space="0" w:color="FFFFFF"/>
            </w:tcBorders>
            <w:shd w:val="clear" w:color="auto" w:fill="5B9BD5"/>
            <w:tcMar>
              <w:top w:w="80" w:type="dxa"/>
              <w:left w:w="80" w:type="dxa"/>
              <w:bottom w:w="80" w:type="dxa"/>
              <w:right w:w="80" w:type="dxa"/>
            </w:tcMar>
            <w:vAlign w:val="bottom"/>
          </w:tcPr>
          <w:p>
            <w:pPr>
              <w:pBdr>
                <w:top w:val="nil"/>
                <w:left w:val="nil"/>
                <w:bottom w:val="nil"/>
                <w:right w:val="nil"/>
                <w:between w:val="nil"/>
                <w:bar w:val="nil"/>
              </w:pBdr>
              <w:tabs>
                <w:tab w:val="clear" w:pos="2835"/>
              </w:tabs>
              <w:jc w:val="center"/>
              <w:rPr>
                <w:rFonts w:eastAsia="Arial"/>
                <w:b w:val="0"/>
                <w:color w:val="000000"/>
                <w:sz w:val="20"/>
                <w:szCs w:val="20"/>
                <w:u w:color="000000"/>
                <w:bdr w:val="nil"/>
                <w:lang w:val="es-ES_tradnl" w:eastAsia="es-CL"/>
              </w:rPr>
            </w:pPr>
            <w:r>
              <w:rPr>
                <w:bCs/>
                <w:color w:val="000000"/>
                <w:kern w:val="24"/>
                <w:sz w:val="20"/>
                <w:szCs w:val="20"/>
                <w:u w:color="000000"/>
                <w:bdr w:val="nil"/>
                <w:lang w:val="es-ES_tradnl" w:eastAsia="es-CL"/>
              </w:rPr>
              <w:t>Ámbito o Proyecto (cifras en M$)</w:t>
            </w:r>
          </w:p>
        </w:tc>
        <w:tc>
          <w:tcPr>
            <w:tcW w:w="2087" w:type="dxa"/>
            <w:tcBorders>
              <w:top w:val="single" w:sz="8" w:space="0" w:color="FFFFFF"/>
              <w:left w:val="single" w:sz="8" w:space="0" w:color="FFFFFF"/>
              <w:bottom w:val="single" w:sz="8" w:space="0" w:color="FFFFFF"/>
              <w:right w:val="single" w:sz="8" w:space="0" w:color="FFFFFF"/>
            </w:tcBorders>
            <w:shd w:val="clear" w:color="auto" w:fill="5B9BD5"/>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20"/>
                <w:szCs w:val="20"/>
                <w:u w:color="000000"/>
                <w:bdr w:val="nil"/>
                <w:lang w:val="es-ES_tradnl" w:eastAsia="es-CL"/>
              </w:rPr>
            </w:pPr>
            <w:r>
              <w:rPr>
                <w:bCs/>
                <w:color w:val="000000"/>
                <w:kern w:val="24"/>
                <w:sz w:val="20"/>
                <w:szCs w:val="20"/>
                <w:u w:color="000000"/>
                <w:bdr w:val="nil"/>
                <w:lang w:val="es-ES_tradnl" w:eastAsia="es-CL"/>
              </w:rPr>
              <w:t>2.030.080</w:t>
            </w:r>
          </w:p>
        </w:tc>
      </w:tr>
      <w:tr>
        <w:tblPrEx>
          <w:tblCellMar>
            <w:top w:w="0" w:type="dxa"/>
            <w:left w:w="0" w:type="dxa"/>
            <w:bottom w:w="0" w:type="dxa"/>
            <w:right w:w="0" w:type="dxa"/>
          </w:tblCellMar>
        </w:tblPrEx>
        <w:trPr>
          <w:trHeight w:val="1074"/>
        </w:trPr>
        <w:tc>
          <w:tcPr>
            <w:tcW w:w="6516" w:type="dxa"/>
            <w:tcBorders>
              <w:top w:val="single" w:sz="8" w:space="0" w:color="FFFFFF"/>
              <w:left w:val="single" w:sz="8" w:space="0" w:color="FFFFFF"/>
              <w:bottom w:val="single" w:sz="8" w:space="0" w:color="FFFFFF"/>
              <w:right w:val="single" w:sz="8" w:space="0" w:color="FFFFFF"/>
            </w:tcBorders>
            <w:shd w:val="clear" w:color="auto" w:fill="BDD7EE"/>
            <w:tcMar>
              <w:top w:w="80" w:type="dxa"/>
              <w:left w:w="80" w:type="dxa"/>
              <w:bottom w:w="80" w:type="dxa"/>
              <w:right w:w="80" w:type="dxa"/>
            </w:tcMar>
            <w:vAlign w:val="center"/>
          </w:tcPr>
          <w:p>
            <w:pPr>
              <w:pBdr>
                <w:top w:val="nil"/>
                <w:left w:val="nil"/>
                <w:bottom w:val="nil"/>
                <w:right w:val="nil"/>
                <w:between w:val="nil"/>
                <w:bar w:val="nil"/>
              </w:pBdr>
              <w:tabs>
                <w:tab w:val="clear" w:pos="2835"/>
              </w:tabs>
              <w:jc w:val="left"/>
              <w:rPr>
                <w:rFonts w:eastAsia="Arial"/>
                <w:b w:val="0"/>
                <w:color w:val="000000"/>
                <w:sz w:val="20"/>
                <w:szCs w:val="20"/>
                <w:u w:color="000000"/>
                <w:bdr w:val="nil"/>
                <w:lang w:val="es-ES_tradnl" w:eastAsia="es-CL"/>
              </w:rPr>
            </w:pPr>
            <w:r>
              <w:rPr>
                <w:b w:val="0"/>
                <w:color w:val="000000"/>
                <w:kern w:val="24"/>
                <w:sz w:val="20"/>
                <w:szCs w:val="20"/>
                <w:u w:color="000000"/>
                <w:bdr w:val="nil"/>
                <w:lang w:val="es-ES_tradnl" w:eastAsia="es-CL"/>
              </w:rPr>
              <w:t>Reforma Tributaria - Construcción nuevas dependencias Dirección Regional Arica</w:t>
            </w:r>
          </w:p>
        </w:tc>
        <w:tc>
          <w:tcPr>
            <w:tcW w:w="2087" w:type="dxa"/>
            <w:tcBorders>
              <w:top w:val="single" w:sz="8" w:space="0" w:color="FFFFFF"/>
              <w:left w:val="single" w:sz="8" w:space="0" w:color="FFFFFF"/>
              <w:bottom w:val="single" w:sz="8" w:space="0" w:color="FFFFFF"/>
              <w:right w:val="single" w:sz="8" w:space="0" w:color="FFFFFF"/>
            </w:tcBorders>
            <w:shd w:val="clear" w:color="auto" w:fill="BDD7EE"/>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20"/>
                <w:szCs w:val="20"/>
                <w:u w:color="000000"/>
                <w:bdr w:val="nil"/>
                <w:lang w:val="es-ES_tradnl" w:eastAsia="es-CL"/>
              </w:rPr>
            </w:pPr>
            <w:r>
              <w:rPr>
                <w:b w:val="0"/>
                <w:color w:val="000000"/>
                <w:kern w:val="24"/>
                <w:sz w:val="20"/>
                <w:szCs w:val="20"/>
                <w:u w:color="000000"/>
                <w:bdr w:val="nil"/>
                <w:lang w:val="es-ES_tradnl" w:eastAsia="es-CL"/>
              </w:rPr>
              <w:t>2.030.080</w:t>
            </w:r>
          </w:p>
        </w:tc>
      </w:tr>
    </w:tbl>
    <w:p>
      <w:pPr>
        <w:widowControl w:val="0"/>
        <w:pBdr>
          <w:top w:val="nil"/>
          <w:left w:val="nil"/>
          <w:bottom w:val="nil"/>
          <w:right w:val="nil"/>
          <w:between w:val="nil"/>
          <w:bar w:val="nil"/>
        </w:pBdr>
        <w:rPr>
          <w:rFonts w:eastAsia="Arial"/>
          <w:b w:val="0"/>
          <w:color w:val="000000"/>
          <w:u w:color="000000"/>
          <w:bdr w:val="nil"/>
          <w:lang w:val="es-ES_tradnl" w:eastAsia="es-CL"/>
        </w:rPr>
      </w:pPr>
    </w:p>
    <w:p>
      <w:pPr>
        <w:widowControl w:val="0"/>
        <w:pBdr>
          <w:top w:val="nil"/>
          <w:left w:val="nil"/>
          <w:bottom w:val="nil"/>
          <w:right w:val="nil"/>
          <w:between w:val="nil"/>
          <w:bar w:val="nil"/>
        </w:pBdr>
        <w:rPr>
          <w:rFonts w:eastAsia="Arial"/>
          <w:b w:val="0"/>
          <w:color w:val="000000"/>
          <w:u w:color="000000"/>
          <w:bdr w:val="nil"/>
          <w:lang w:val="es-ES_tradnl" w:eastAsia="es-CL"/>
        </w:rPr>
      </w:pPr>
    </w:p>
    <w:p>
      <w:pPr>
        <w:widowControl w:val="0"/>
        <w:pBdr>
          <w:top w:val="nil"/>
          <w:left w:val="nil"/>
          <w:bottom w:val="nil"/>
          <w:right w:val="nil"/>
          <w:between w:val="nil"/>
          <w:bar w:val="nil"/>
        </w:pBdr>
        <w:rPr>
          <w:rFonts w:eastAsia="Arial"/>
          <w:b w:val="0"/>
          <w:color w:val="000000"/>
          <w:u w:color="000000"/>
          <w:bdr w:val="nil"/>
          <w:lang w:val="es-ES_tradnl" w:eastAsia="es-CL"/>
        </w:rPr>
      </w:pPr>
    </w:p>
    <w:p>
      <w:pPr>
        <w:widowControl w:val="0"/>
        <w:pBdr>
          <w:top w:val="nil"/>
          <w:left w:val="nil"/>
          <w:bottom w:val="nil"/>
          <w:right w:val="nil"/>
          <w:between w:val="nil"/>
          <w:bar w:val="nil"/>
        </w:pBdr>
        <w:rPr>
          <w:rFonts w:eastAsia="Arial"/>
          <w:b w:val="0"/>
          <w:color w:val="000000"/>
          <w:u w:color="000000"/>
          <w:bdr w:val="nil"/>
          <w:lang w:val="es-ES_tradnl" w:eastAsia="es-CL"/>
        </w:rPr>
      </w:pPr>
      <w:r>
        <w:rPr>
          <w:rFonts w:eastAsia="Arial"/>
          <w:b w:val="0"/>
          <w:color w:val="000000"/>
          <w:u w:color="000000"/>
          <w:bdr w:val="nil"/>
          <w:lang w:val="es-ES_tradnl" w:eastAsia="es-CL"/>
        </w:rPr>
        <w:tab/>
        <w:t>En seguida, exhibió el siguiente esquema comparativo analítico del presupuesto del Servicio, de los años 2016-2017:</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jc w:val="center"/>
        <w:rPr>
          <w:rFonts w:eastAsia="Arial"/>
          <w:b w:val="0"/>
          <w:color w:val="000000"/>
          <w:u w:color="000000"/>
          <w:bdr w:val="nil"/>
          <w:lang w:val="es-ES_tradnl" w:eastAsia="es-CL"/>
        </w:rPr>
      </w:pPr>
      <w:r>
        <w:rPr>
          <w:rFonts w:eastAsia="Arial"/>
          <w:b w:val="0"/>
          <w:noProof/>
          <w:color w:val="000000"/>
          <w:u w:color="000000"/>
          <w:bdr w:val="nil"/>
          <w:lang w:eastAsia="es-CL"/>
        </w:rPr>
        <w:pict>
          <v:shape id="_x0000_i1042" type="#_x0000_t75" style="width:452.85pt;height:567.05pt;visibility:visible">
            <v:imagedata r:id="rId25" o:title=""/>
          </v:shape>
        </w:pic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w:b w:val="0"/>
          <w:color w:val="000000"/>
          <w:u w:color="000000"/>
          <w:bdr w:val="nil"/>
          <w:lang w:val="es-ES_tradnl" w:eastAsia="es-CL"/>
        </w:rPr>
        <w:tab/>
        <w:t>A continuación, describió la ejecución presupuestaria del organismo que dirige a través de la siguiente lámina.</w:t>
      </w:r>
    </w:p>
    <w:p>
      <w:pPr>
        <w:pBdr>
          <w:top w:val="nil"/>
          <w:left w:val="nil"/>
          <w:bottom w:val="nil"/>
          <w:right w:val="nil"/>
          <w:between w:val="nil"/>
          <w:bar w:val="nil"/>
        </w:pBdr>
        <w:rPr>
          <w:rFonts w:eastAsia="Arial"/>
          <w:b w:val="0"/>
          <w:color w:val="000000"/>
          <w:u w:color="000000"/>
          <w:bdr w:val="nil"/>
          <w:lang w:val="es-ES_tradnl" w:eastAsia="es-CL"/>
        </w:rPr>
      </w:pPr>
    </w:p>
    <w:tbl>
      <w:tblPr>
        <w:tblW w:w="10277" w:type="dxa"/>
        <w:jc w:val="center"/>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1076"/>
        <w:gridCol w:w="2995"/>
        <w:gridCol w:w="1058"/>
        <w:gridCol w:w="1193"/>
        <w:gridCol w:w="1275"/>
        <w:gridCol w:w="1241"/>
        <w:gridCol w:w="1439"/>
      </w:tblGrid>
      <w:tr>
        <w:tblPrEx>
          <w:tblCellMar>
            <w:top w:w="0" w:type="dxa"/>
            <w:left w:w="0" w:type="dxa"/>
            <w:bottom w:w="0" w:type="dxa"/>
            <w:right w:w="0" w:type="dxa"/>
          </w:tblCellMar>
        </w:tblPrEx>
        <w:trPr>
          <w:trHeight w:val="680"/>
          <w:jc w:val="center"/>
        </w:trPr>
        <w:tc>
          <w:tcPr>
            <w:tcW w:w="1076" w:type="dxa"/>
            <w:vMerge w:val="restart"/>
            <w:tcBorders>
              <w:top w:val="single" w:sz="8" w:space="0" w:color="FFFFFF"/>
              <w:left w:val="single" w:sz="8" w:space="0" w:color="FFFFFF"/>
              <w:bottom w:val="single" w:sz="8" w:space="0" w:color="FFFFFF"/>
              <w:right w:val="single" w:sz="8" w:space="0" w:color="FFFFFF"/>
            </w:tcBorders>
            <w:shd w:val="clear" w:color="auto" w:fill="5B9BD5"/>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Subtítulo</w:t>
            </w:r>
          </w:p>
        </w:tc>
        <w:tc>
          <w:tcPr>
            <w:tcW w:w="2995" w:type="dxa"/>
            <w:vMerge w:val="restart"/>
            <w:tcBorders>
              <w:top w:val="single" w:sz="8" w:space="0" w:color="FFFFFF"/>
              <w:left w:val="single" w:sz="8" w:space="0" w:color="FFFFFF"/>
              <w:bottom w:val="single" w:sz="8" w:space="0" w:color="FFFFFF"/>
              <w:right w:val="single" w:sz="8" w:space="0" w:color="FFFFFF"/>
            </w:tcBorders>
            <w:shd w:val="clear" w:color="auto" w:fill="5B9BD5"/>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Clasificación Presupuestaria</w:t>
            </w:r>
          </w:p>
        </w:tc>
        <w:tc>
          <w:tcPr>
            <w:tcW w:w="3526" w:type="dxa"/>
            <w:gridSpan w:val="3"/>
            <w:tcBorders>
              <w:top w:val="single" w:sz="8" w:space="0" w:color="FFFFFF"/>
              <w:left w:val="single" w:sz="8" w:space="0" w:color="FFFFFF"/>
              <w:bottom w:val="single" w:sz="8" w:space="0" w:color="FFFFFF"/>
              <w:right w:val="single" w:sz="8" w:space="0" w:color="FFFFFF"/>
            </w:tcBorders>
            <w:shd w:val="clear" w:color="auto" w:fill="5B9BD5"/>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Presupuesto año 2016</w:t>
            </w:r>
          </w:p>
        </w:tc>
        <w:tc>
          <w:tcPr>
            <w:tcW w:w="2680" w:type="dxa"/>
            <w:gridSpan w:val="2"/>
            <w:tcBorders>
              <w:top w:val="single" w:sz="8" w:space="0" w:color="FFFFFF"/>
              <w:left w:val="single" w:sz="8" w:space="0" w:color="FFFFFF"/>
              <w:bottom w:val="single" w:sz="8" w:space="0" w:color="FFFFFF"/>
              <w:right w:val="nil"/>
            </w:tcBorders>
            <w:shd w:val="clear" w:color="auto" w:fill="5B9BD5"/>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Avance Ejecución Presupuestaria a agosto 2016</w:t>
            </w:r>
          </w:p>
        </w:tc>
      </w:tr>
      <w:tr>
        <w:tblPrEx>
          <w:tblCellMar>
            <w:top w:w="0" w:type="dxa"/>
            <w:left w:w="0" w:type="dxa"/>
            <w:bottom w:w="0" w:type="dxa"/>
            <w:right w:w="0" w:type="dxa"/>
          </w:tblCellMar>
        </w:tblPrEx>
        <w:trPr>
          <w:trHeight w:val="1600"/>
          <w:jc w:val="center"/>
        </w:trPr>
        <w:tc>
          <w:tcPr>
            <w:tcW w:w="1076" w:type="dxa"/>
            <w:vMerge/>
            <w:tcBorders>
              <w:top w:val="single" w:sz="8" w:space="0" w:color="FFFFFF"/>
              <w:left w:val="single" w:sz="8" w:space="0" w:color="FFFFFF"/>
              <w:bottom w:val="single" w:sz="8" w:space="0" w:color="FFFFFF"/>
              <w:right w:val="single" w:sz="8" w:space="0" w:color="FFFFFF"/>
            </w:tcBorders>
            <w:shd w:val="clear" w:color="auto" w:fill="5B9BD5"/>
          </w:tcPr>
          <w:p>
            <w:pPr>
              <w:pBdr>
                <w:top w:val="nil"/>
                <w:left w:val="nil"/>
                <w:bottom w:val="nil"/>
                <w:right w:val="nil"/>
                <w:between w:val="nil"/>
                <w:bar w:val="nil"/>
              </w:pBdr>
              <w:rPr>
                <w:rFonts w:eastAsia="Arial"/>
                <w:b w:val="0"/>
                <w:color w:val="000000"/>
                <w:sz w:val="18"/>
                <w:szCs w:val="18"/>
                <w:u w:color="000000"/>
                <w:bdr w:val="nil"/>
                <w:lang w:val="es-ES_tradnl" w:eastAsia="es-CL"/>
              </w:rPr>
            </w:pPr>
          </w:p>
        </w:tc>
        <w:tc>
          <w:tcPr>
            <w:tcW w:w="2995" w:type="dxa"/>
            <w:vMerge/>
            <w:tcBorders>
              <w:top w:val="single" w:sz="8" w:space="0" w:color="FFFFFF"/>
              <w:left w:val="single" w:sz="8" w:space="0" w:color="FFFFFF"/>
              <w:bottom w:val="single" w:sz="8" w:space="0" w:color="FFFFFF"/>
              <w:right w:val="single" w:sz="8" w:space="0" w:color="FFFFFF"/>
            </w:tcBorders>
            <w:shd w:val="clear" w:color="auto" w:fill="5B9BD5"/>
          </w:tcPr>
          <w:p>
            <w:pPr>
              <w:pBdr>
                <w:top w:val="nil"/>
                <w:left w:val="nil"/>
                <w:bottom w:val="nil"/>
                <w:right w:val="nil"/>
                <w:between w:val="nil"/>
                <w:bar w:val="nil"/>
              </w:pBdr>
              <w:rPr>
                <w:rFonts w:eastAsia="Arial"/>
                <w:b w:val="0"/>
                <w:color w:val="000000"/>
                <w:sz w:val="18"/>
                <w:szCs w:val="18"/>
                <w:u w:color="000000"/>
                <w:bdr w:val="nil"/>
                <w:lang w:val="es-ES_tradnl" w:eastAsia="es-CL"/>
              </w:rPr>
            </w:pPr>
          </w:p>
        </w:tc>
        <w:tc>
          <w:tcPr>
            <w:tcW w:w="1058" w:type="dxa"/>
            <w:vMerge w:val="restart"/>
            <w:tcBorders>
              <w:top w:val="single" w:sz="8" w:space="0" w:color="FFFFFF"/>
              <w:left w:val="single" w:sz="8" w:space="0" w:color="FFFFFF"/>
              <w:bottom w:val="single" w:sz="8" w:space="0" w:color="FFFFFF"/>
              <w:right w:val="single" w:sz="8" w:space="0" w:color="FFFFFF"/>
            </w:tcBorders>
            <w:shd w:val="clear" w:color="auto" w:fill="5B9BD5"/>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Ley Inicial año 2016 (1)</w:t>
            </w:r>
          </w:p>
        </w:tc>
        <w:tc>
          <w:tcPr>
            <w:tcW w:w="1193" w:type="dxa"/>
            <w:vMerge w:val="restart"/>
            <w:tcBorders>
              <w:top w:val="single" w:sz="8" w:space="0" w:color="FFFFFF"/>
              <w:left w:val="single" w:sz="8" w:space="0" w:color="FFFFFF"/>
              <w:bottom w:val="single" w:sz="8" w:space="0" w:color="FFFFFF"/>
              <w:right w:val="single" w:sz="8" w:space="0" w:color="FFFFFF"/>
            </w:tcBorders>
            <w:shd w:val="clear" w:color="auto" w:fill="5B9BD5"/>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Presupuesto Vigente a agosto 2016 (2)</w:t>
            </w:r>
          </w:p>
        </w:tc>
        <w:tc>
          <w:tcPr>
            <w:tcW w:w="1275" w:type="dxa"/>
            <w:vMerge w:val="restart"/>
            <w:tcBorders>
              <w:top w:val="single" w:sz="8" w:space="0" w:color="FFFFFF"/>
              <w:left w:val="single" w:sz="8" w:space="0" w:color="FFFFFF"/>
              <w:bottom w:val="single" w:sz="8" w:space="0" w:color="FFFFFF"/>
              <w:right w:val="single" w:sz="8" w:space="0" w:color="FFFFFF"/>
            </w:tcBorders>
            <w:shd w:val="clear" w:color="auto" w:fill="5B9BD5"/>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Ejecución Presupuestaria a agosto 2016 (3)</w:t>
            </w:r>
          </w:p>
        </w:tc>
        <w:tc>
          <w:tcPr>
            <w:tcW w:w="1241" w:type="dxa"/>
            <w:tcBorders>
              <w:top w:val="single" w:sz="8" w:space="0" w:color="FFFFFF"/>
              <w:left w:val="single" w:sz="8" w:space="0" w:color="FFFFFF"/>
              <w:bottom w:val="nil"/>
              <w:right w:val="single" w:sz="8" w:space="0" w:color="FFFFFF"/>
            </w:tcBorders>
            <w:shd w:val="clear" w:color="auto" w:fill="5B9BD5"/>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En relación con Ley Inicial</w:t>
            </w:r>
          </w:p>
        </w:tc>
        <w:tc>
          <w:tcPr>
            <w:tcW w:w="1439" w:type="dxa"/>
            <w:tcBorders>
              <w:top w:val="single" w:sz="8" w:space="0" w:color="FFFFFF"/>
              <w:left w:val="single" w:sz="8" w:space="0" w:color="FFFFFF"/>
              <w:bottom w:val="nil"/>
              <w:right w:val="single" w:sz="4" w:space="0" w:color="000000"/>
            </w:tcBorders>
            <w:shd w:val="clear" w:color="auto" w:fill="5B9BD5"/>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En relación con Presupuesto Vigente</w:t>
            </w:r>
          </w:p>
        </w:tc>
      </w:tr>
      <w:tr>
        <w:tblPrEx>
          <w:tblCellMar>
            <w:top w:w="0" w:type="dxa"/>
            <w:left w:w="0" w:type="dxa"/>
            <w:bottom w:w="0" w:type="dxa"/>
            <w:right w:w="0" w:type="dxa"/>
          </w:tblCellMar>
        </w:tblPrEx>
        <w:trPr>
          <w:trHeight w:val="450"/>
          <w:jc w:val="center"/>
        </w:trPr>
        <w:tc>
          <w:tcPr>
            <w:tcW w:w="1076" w:type="dxa"/>
            <w:vMerge/>
            <w:tcBorders>
              <w:top w:val="single" w:sz="8" w:space="0" w:color="FFFFFF"/>
              <w:left w:val="single" w:sz="8" w:space="0" w:color="FFFFFF"/>
              <w:bottom w:val="single" w:sz="8" w:space="0" w:color="FFFFFF"/>
              <w:right w:val="single" w:sz="8" w:space="0" w:color="FFFFFF"/>
            </w:tcBorders>
            <w:shd w:val="clear" w:color="auto" w:fill="5B9BD5"/>
          </w:tcPr>
          <w:p>
            <w:pPr>
              <w:pBdr>
                <w:top w:val="nil"/>
                <w:left w:val="nil"/>
                <w:bottom w:val="nil"/>
                <w:right w:val="nil"/>
                <w:between w:val="nil"/>
                <w:bar w:val="nil"/>
              </w:pBdr>
              <w:rPr>
                <w:rFonts w:eastAsia="Arial"/>
                <w:b w:val="0"/>
                <w:color w:val="000000"/>
                <w:sz w:val="18"/>
                <w:szCs w:val="18"/>
                <w:u w:color="000000"/>
                <w:bdr w:val="nil"/>
                <w:lang w:val="es-ES_tradnl" w:eastAsia="es-CL"/>
              </w:rPr>
            </w:pPr>
          </w:p>
        </w:tc>
        <w:tc>
          <w:tcPr>
            <w:tcW w:w="2995" w:type="dxa"/>
            <w:vMerge/>
            <w:tcBorders>
              <w:top w:val="single" w:sz="8" w:space="0" w:color="FFFFFF"/>
              <w:left w:val="single" w:sz="8" w:space="0" w:color="FFFFFF"/>
              <w:bottom w:val="single" w:sz="8" w:space="0" w:color="FFFFFF"/>
              <w:right w:val="single" w:sz="8" w:space="0" w:color="FFFFFF"/>
            </w:tcBorders>
            <w:shd w:val="clear" w:color="auto" w:fill="5B9BD5"/>
          </w:tcPr>
          <w:p>
            <w:pPr>
              <w:pBdr>
                <w:top w:val="nil"/>
                <w:left w:val="nil"/>
                <w:bottom w:val="nil"/>
                <w:right w:val="nil"/>
                <w:between w:val="nil"/>
                <w:bar w:val="nil"/>
              </w:pBdr>
              <w:rPr>
                <w:rFonts w:eastAsia="Arial"/>
                <w:b w:val="0"/>
                <w:color w:val="000000"/>
                <w:sz w:val="18"/>
                <w:szCs w:val="18"/>
                <w:u w:color="000000"/>
                <w:bdr w:val="nil"/>
                <w:lang w:val="es-ES_tradnl" w:eastAsia="es-CL"/>
              </w:rPr>
            </w:pPr>
          </w:p>
        </w:tc>
        <w:tc>
          <w:tcPr>
            <w:tcW w:w="1058" w:type="dxa"/>
            <w:vMerge/>
            <w:tcBorders>
              <w:top w:val="single" w:sz="8" w:space="0" w:color="FFFFFF"/>
              <w:left w:val="single" w:sz="8" w:space="0" w:color="FFFFFF"/>
              <w:bottom w:val="single" w:sz="8" w:space="0" w:color="FFFFFF"/>
              <w:right w:val="single" w:sz="8" w:space="0" w:color="FFFFFF"/>
            </w:tcBorders>
            <w:shd w:val="clear" w:color="auto" w:fill="5B9BD5"/>
          </w:tcPr>
          <w:p>
            <w:pPr>
              <w:pBdr>
                <w:top w:val="nil"/>
                <w:left w:val="nil"/>
                <w:bottom w:val="nil"/>
                <w:right w:val="nil"/>
                <w:between w:val="nil"/>
                <w:bar w:val="nil"/>
              </w:pBdr>
              <w:rPr>
                <w:rFonts w:eastAsia="Arial"/>
                <w:b w:val="0"/>
                <w:color w:val="000000"/>
                <w:sz w:val="18"/>
                <w:szCs w:val="18"/>
                <w:u w:color="000000"/>
                <w:bdr w:val="nil"/>
                <w:lang w:val="es-ES_tradnl" w:eastAsia="es-CL"/>
              </w:rPr>
            </w:pPr>
          </w:p>
        </w:tc>
        <w:tc>
          <w:tcPr>
            <w:tcW w:w="1193" w:type="dxa"/>
            <w:vMerge/>
            <w:tcBorders>
              <w:top w:val="single" w:sz="8" w:space="0" w:color="FFFFFF"/>
              <w:left w:val="single" w:sz="8" w:space="0" w:color="FFFFFF"/>
              <w:bottom w:val="single" w:sz="8" w:space="0" w:color="FFFFFF"/>
              <w:right w:val="single" w:sz="8" w:space="0" w:color="FFFFFF"/>
            </w:tcBorders>
            <w:shd w:val="clear" w:color="auto" w:fill="5B9BD5"/>
          </w:tcPr>
          <w:p>
            <w:pPr>
              <w:pBdr>
                <w:top w:val="nil"/>
                <w:left w:val="nil"/>
                <w:bottom w:val="nil"/>
                <w:right w:val="nil"/>
                <w:between w:val="nil"/>
                <w:bar w:val="nil"/>
              </w:pBdr>
              <w:rPr>
                <w:rFonts w:eastAsia="Arial"/>
                <w:b w:val="0"/>
                <w:color w:val="000000"/>
                <w:sz w:val="18"/>
                <w:szCs w:val="18"/>
                <w:u w:color="000000"/>
                <w:bdr w:val="nil"/>
                <w:lang w:val="es-ES_tradnl" w:eastAsia="es-CL"/>
              </w:rPr>
            </w:pPr>
          </w:p>
        </w:tc>
        <w:tc>
          <w:tcPr>
            <w:tcW w:w="1275" w:type="dxa"/>
            <w:vMerge/>
            <w:tcBorders>
              <w:top w:val="single" w:sz="8" w:space="0" w:color="FFFFFF"/>
              <w:left w:val="single" w:sz="8" w:space="0" w:color="FFFFFF"/>
              <w:bottom w:val="single" w:sz="8" w:space="0" w:color="FFFFFF"/>
              <w:right w:val="single" w:sz="8" w:space="0" w:color="FFFFFF"/>
            </w:tcBorders>
            <w:shd w:val="clear" w:color="auto" w:fill="5B9BD5"/>
          </w:tcPr>
          <w:p>
            <w:pPr>
              <w:pBdr>
                <w:top w:val="nil"/>
                <w:left w:val="nil"/>
                <w:bottom w:val="nil"/>
                <w:right w:val="nil"/>
                <w:between w:val="nil"/>
                <w:bar w:val="nil"/>
              </w:pBdr>
              <w:rPr>
                <w:rFonts w:eastAsia="Arial"/>
                <w:b w:val="0"/>
                <w:color w:val="000000"/>
                <w:sz w:val="18"/>
                <w:szCs w:val="18"/>
                <w:u w:color="000000"/>
                <w:bdr w:val="nil"/>
                <w:lang w:val="es-ES_tradnl" w:eastAsia="es-CL"/>
              </w:rPr>
            </w:pPr>
          </w:p>
        </w:tc>
        <w:tc>
          <w:tcPr>
            <w:tcW w:w="1241" w:type="dxa"/>
            <w:tcBorders>
              <w:top w:val="nil"/>
              <w:left w:val="single" w:sz="8" w:space="0" w:color="FFFFFF"/>
              <w:bottom w:val="single" w:sz="8" w:space="0" w:color="FFFFFF"/>
              <w:right w:val="single" w:sz="8" w:space="0" w:color="FFFFFF"/>
            </w:tcBorders>
            <w:shd w:val="clear" w:color="auto" w:fill="5B9BD5"/>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 (3)/(1)</w:t>
            </w:r>
          </w:p>
        </w:tc>
        <w:tc>
          <w:tcPr>
            <w:tcW w:w="1439" w:type="dxa"/>
            <w:tcBorders>
              <w:top w:val="nil"/>
              <w:left w:val="single" w:sz="8" w:space="0" w:color="FFFFFF"/>
              <w:bottom w:val="single" w:sz="8" w:space="0" w:color="FFFFFF"/>
              <w:right w:val="single" w:sz="4" w:space="0" w:color="000000"/>
            </w:tcBorders>
            <w:shd w:val="clear" w:color="auto" w:fill="5B9BD5"/>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 (3)/(2)</w:t>
            </w:r>
          </w:p>
        </w:tc>
      </w:tr>
      <w:tr>
        <w:tblPrEx>
          <w:tblCellMar>
            <w:top w:w="0" w:type="dxa"/>
            <w:left w:w="0" w:type="dxa"/>
            <w:bottom w:w="0" w:type="dxa"/>
            <w:right w:w="0" w:type="dxa"/>
          </w:tblCellMar>
        </w:tblPrEx>
        <w:trPr>
          <w:trHeight w:val="460"/>
          <w:jc w:val="center"/>
        </w:trPr>
        <w:tc>
          <w:tcPr>
            <w:tcW w:w="1076" w:type="dxa"/>
            <w:tcBorders>
              <w:top w:val="single" w:sz="8" w:space="0" w:color="FFFFFF"/>
              <w:left w:val="single" w:sz="8" w:space="0" w:color="FFFFFF"/>
              <w:bottom w:val="single" w:sz="8" w:space="0" w:color="FFFFFF"/>
              <w:right w:val="single" w:sz="8" w:space="0" w:color="FFFFFF"/>
            </w:tcBorders>
            <w:shd w:val="clear" w:color="auto" w:fill="BDD7EE"/>
            <w:tcMar>
              <w:top w:w="80" w:type="dxa"/>
              <w:left w:w="80" w:type="dxa"/>
              <w:bottom w:w="80" w:type="dxa"/>
              <w:right w:w="80" w:type="dxa"/>
            </w:tcMar>
            <w:vAlign w:val="bottom"/>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 </w:t>
            </w:r>
          </w:p>
        </w:tc>
        <w:tc>
          <w:tcPr>
            <w:tcW w:w="2995" w:type="dxa"/>
            <w:tcBorders>
              <w:top w:val="single" w:sz="8" w:space="0" w:color="FFFFFF"/>
              <w:left w:val="single" w:sz="8" w:space="0" w:color="FFFFFF"/>
              <w:bottom w:val="single" w:sz="8" w:space="0" w:color="FFFFFF"/>
              <w:right w:val="single" w:sz="8" w:space="0" w:color="FFFFFF"/>
            </w:tcBorders>
            <w:shd w:val="clear" w:color="auto" w:fill="BDD7EE"/>
            <w:tcMar>
              <w:top w:w="80" w:type="dxa"/>
              <w:left w:w="80" w:type="dxa"/>
              <w:bottom w:w="80" w:type="dxa"/>
              <w:right w:w="80" w:type="dxa"/>
            </w:tcMar>
            <w:vAlign w:val="bottom"/>
          </w:tcPr>
          <w:p>
            <w:pPr>
              <w:pBdr>
                <w:top w:val="nil"/>
                <w:left w:val="nil"/>
                <w:bottom w:val="nil"/>
                <w:right w:val="nil"/>
                <w:between w:val="nil"/>
                <w:bar w:val="nil"/>
              </w:pBdr>
              <w:tabs>
                <w:tab w:val="clear" w:pos="2835"/>
              </w:tabs>
              <w:jc w:val="left"/>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GASTOS</w:t>
            </w:r>
          </w:p>
        </w:tc>
        <w:tc>
          <w:tcPr>
            <w:tcW w:w="1058" w:type="dxa"/>
            <w:tcBorders>
              <w:top w:val="single" w:sz="8" w:space="0" w:color="FFFFFF"/>
              <w:left w:val="single" w:sz="8" w:space="0" w:color="FFFFFF"/>
              <w:bottom w:val="single" w:sz="8" w:space="0" w:color="FFFFFF"/>
              <w:right w:val="single" w:sz="8" w:space="0" w:color="FFFFFF"/>
            </w:tcBorders>
            <w:shd w:val="clear" w:color="auto" w:fill="BDD7EE"/>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179.552.854</w:t>
            </w:r>
          </w:p>
        </w:tc>
        <w:tc>
          <w:tcPr>
            <w:tcW w:w="1193" w:type="dxa"/>
            <w:tcBorders>
              <w:top w:val="single" w:sz="8" w:space="0" w:color="FFFFFF"/>
              <w:left w:val="single" w:sz="8" w:space="0" w:color="FFFFFF"/>
              <w:bottom w:val="single" w:sz="8" w:space="0" w:color="FFFFFF"/>
              <w:right w:val="single" w:sz="8" w:space="0" w:color="FFFFFF"/>
            </w:tcBorders>
            <w:shd w:val="clear" w:color="auto" w:fill="BDD7EE"/>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184.816.693</w:t>
            </w:r>
          </w:p>
        </w:tc>
        <w:tc>
          <w:tcPr>
            <w:tcW w:w="1275" w:type="dxa"/>
            <w:tcBorders>
              <w:top w:val="single" w:sz="8" w:space="0" w:color="FFFFFF"/>
              <w:left w:val="single" w:sz="8" w:space="0" w:color="FFFFFF"/>
              <w:bottom w:val="single" w:sz="8" w:space="0" w:color="FFFFFF"/>
              <w:right w:val="single" w:sz="8" w:space="0" w:color="FFFFFF"/>
            </w:tcBorders>
            <w:shd w:val="clear" w:color="auto" w:fill="BDD7EE"/>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126.482.994</w:t>
            </w:r>
          </w:p>
        </w:tc>
        <w:tc>
          <w:tcPr>
            <w:tcW w:w="1241" w:type="dxa"/>
            <w:tcBorders>
              <w:top w:val="single" w:sz="8" w:space="0" w:color="FFFFFF"/>
              <w:left w:val="single" w:sz="8" w:space="0" w:color="FFFFFF"/>
              <w:bottom w:val="single" w:sz="8" w:space="0" w:color="FFFFFF"/>
              <w:right w:val="single" w:sz="8" w:space="0" w:color="FFFFFF"/>
            </w:tcBorders>
            <w:shd w:val="clear" w:color="auto" w:fill="BDD7EE"/>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70,4%</w:t>
            </w:r>
          </w:p>
        </w:tc>
        <w:tc>
          <w:tcPr>
            <w:tcW w:w="1439" w:type="dxa"/>
            <w:tcBorders>
              <w:top w:val="single" w:sz="8" w:space="0" w:color="FFFFFF"/>
              <w:left w:val="single" w:sz="8" w:space="0" w:color="FFFFFF"/>
              <w:bottom w:val="single" w:sz="8" w:space="0" w:color="FFFFFF"/>
              <w:right w:val="single" w:sz="8" w:space="0" w:color="FFFFFF"/>
            </w:tcBorders>
            <w:shd w:val="clear" w:color="auto" w:fill="BDD7EE"/>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Cs/>
                <w:color w:val="000000"/>
                <w:kern w:val="24"/>
                <w:sz w:val="18"/>
                <w:szCs w:val="18"/>
                <w:u w:color="000000"/>
                <w:bdr w:val="nil"/>
                <w:lang w:val="es-ES_tradnl" w:eastAsia="es-CL"/>
              </w:rPr>
              <w:t>68,4%</w:t>
            </w:r>
          </w:p>
        </w:tc>
      </w:tr>
      <w:tr>
        <w:tblPrEx>
          <w:tblCellMar>
            <w:top w:w="0" w:type="dxa"/>
            <w:left w:w="0" w:type="dxa"/>
            <w:bottom w:w="0" w:type="dxa"/>
            <w:right w:w="0" w:type="dxa"/>
          </w:tblCellMar>
        </w:tblPrEx>
        <w:trPr>
          <w:trHeight w:val="460"/>
          <w:jc w:val="center"/>
        </w:trPr>
        <w:tc>
          <w:tcPr>
            <w:tcW w:w="1076" w:type="dxa"/>
            <w:tcBorders>
              <w:top w:val="single" w:sz="8" w:space="0" w:color="FFFFFF"/>
              <w:left w:val="single" w:sz="8" w:space="0" w:color="FFFFFF"/>
              <w:bottom w:val="single" w:sz="8" w:space="0" w:color="FFFFFF"/>
              <w:right w:val="single" w:sz="8" w:space="0" w:color="FFFFFF"/>
            </w:tcBorders>
            <w:shd w:val="clear" w:color="auto" w:fill="BDD7EE"/>
            <w:tcMar>
              <w:top w:w="80" w:type="dxa"/>
              <w:left w:w="80" w:type="dxa"/>
              <w:bottom w:w="80" w:type="dxa"/>
              <w:right w:w="80" w:type="dxa"/>
            </w:tcMar>
            <w:vAlign w:val="bottom"/>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21</w:t>
            </w:r>
          </w:p>
        </w:tc>
        <w:tc>
          <w:tcPr>
            <w:tcW w:w="2995" w:type="dxa"/>
            <w:tcBorders>
              <w:top w:val="single" w:sz="8" w:space="0" w:color="FFFFFF"/>
              <w:left w:val="single" w:sz="8" w:space="0" w:color="FFFFFF"/>
              <w:bottom w:val="single" w:sz="8" w:space="0" w:color="FFFFFF"/>
              <w:right w:val="single" w:sz="8" w:space="0" w:color="FFFFFF"/>
            </w:tcBorders>
            <w:shd w:val="clear" w:color="auto" w:fill="BDD7EE"/>
            <w:tcMar>
              <w:top w:w="80" w:type="dxa"/>
              <w:left w:w="80" w:type="dxa"/>
              <w:bottom w:w="80" w:type="dxa"/>
              <w:right w:w="80" w:type="dxa"/>
            </w:tcMar>
            <w:vAlign w:val="bottom"/>
          </w:tcPr>
          <w:p>
            <w:pPr>
              <w:pBdr>
                <w:top w:val="nil"/>
                <w:left w:val="nil"/>
                <w:bottom w:val="nil"/>
                <w:right w:val="nil"/>
                <w:between w:val="nil"/>
                <w:bar w:val="nil"/>
              </w:pBdr>
              <w:tabs>
                <w:tab w:val="clear" w:pos="2835"/>
              </w:tabs>
              <w:jc w:val="lef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GASTOS EN PERSONAL</w:t>
            </w:r>
          </w:p>
        </w:tc>
        <w:tc>
          <w:tcPr>
            <w:tcW w:w="1058" w:type="dxa"/>
            <w:tcBorders>
              <w:top w:val="single" w:sz="8" w:space="0" w:color="FFFFFF"/>
              <w:left w:val="single" w:sz="8" w:space="0" w:color="FFFFFF"/>
              <w:bottom w:val="single" w:sz="8" w:space="0" w:color="FFFFFF"/>
              <w:right w:val="single" w:sz="8" w:space="0" w:color="FFFFFF"/>
            </w:tcBorders>
            <w:shd w:val="clear" w:color="auto" w:fill="BDD7EE"/>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152.171.207</w:t>
            </w:r>
          </w:p>
        </w:tc>
        <w:tc>
          <w:tcPr>
            <w:tcW w:w="1193" w:type="dxa"/>
            <w:tcBorders>
              <w:top w:val="single" w:sz="8" w:space="0" w:color="FFFFFF"/>
              <w:left w:val="single" w:sz="8" w:space="0" w:color="FFFFFF"/>
              <w:bottom w:val="single" w:sz="8" w:space="0" w:color="FFFFFF"/>
              <w:right w:val="single" w:sz="8" w:space="0" w:color="FFFFFF"/>
            </w:tcBorders>
            <w:shd w:val="clear" w:color="auto" w:fill="BDD7EE"/>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148.976.608</w:t>
            </w:r>
          </w:p>
        </w:tc>
        <w:tc>
          <w:tcPr>
            <w:tcW w:w="1275" w:type="dxa"/>
            <w:tcBorders>
              <w:top w:val="single" w:sz="8" w:space="0" w:color="FFFFFF"/>
              <w:left w:val="single" w:sz="8" w:space="0" w:color="FFFFFF"/>
              <w:bottom w:val="single" w:sz="8" w:space="0" w:color="FFFFFF"/>
              <w:right w:val="single" w:sz="8" w:space="0" w:color="FFFFFF"/>
            </w:tcBorders>
            <w:shd w:val="clear" w:color="auto" w:fill="BDD7EE"/>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104.255.316</w:t>
            </w:r>
          </w:p>
        </w:tc>
        <w:tc>
          <w:tcPr>
            <w:tcW w:w="1241" w:type="dxa"/>
            <w:tcBorders>
              <w:top w:val="single" w:sz="8" w:space="0" w:color="FFFFFF"/>
              <w:left w:val="single" w:sz="8" w:space="0" w:color="FFFFFF"/>
              <w:bottom w:val="single" w:sz="8" w:space="0" w:color="FFFFFF"/>
              <w:right w:val="single" w:sz="8" w:space="0" w:color="FFFFFF"/>
            </w:tcBorders>
            <w:shd w:val="clear" w:color="auto" w:fill="BDD7EE"/>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68,5%</w:t>
            </w:r>
          </w:p>
        </w:tc>
        <w:tc>
          <w:tcPr>
            <w:tcW w:w="1439" w:type="dxa"/>
            <w:tcBorders>
              <w:top w:val="single" w:sz="8" w:space="0" w:color="FFFFFF"/>
              <w:left w:val="single" w:sz="8" w:space="0" w:color="FFFFFF"/>
              <w:bottom w:val="single" w:sz="8" w:space="0" w:color="FFFFFF"/>
              <w:right w:val="single" w:sz="8" w:space="0" w:color="FFFFFF"/>
            </w:tcBorders>
            <w:shd w:val="clear" w:color="auto" w:fill="BDD7EE"/>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70,0%</w:t>
            </w:r>
          </w:p>
        </w:tc>
      </w:tr>
      <w:tr>
        <w:tblPrEx>
          <w:tblCellMar>
            <w:top w:w="0" w:type="dxa"/>
            <w:left w:w="0" w:type="dxa"/>
            <w:bottom w:w="0" w:type="dxa"/>
            <w:right w:w="0" w:type="dxa"/>
          </w:tblCellMar>
        </w:tblPrEx>
        <w:trPr>
          <w:trHeight w:val="460"/>
          <w:jc w:val="center"/>
        </w:trPr>
        <w:tc>
          <w:tcPr>
            <w:tcW w:w="1076" w:type="dxa"/>
            <w:tcBorders>
              <w:top w:val="single" w:sz="8" w:space="0" w:color="FFFFFF"/>
              <w:left w:val="single" w:sz="8" w:space="0" w:color="FFFFFF"/>
              <w:bottom w:val="single" w:sz="8" w:space="0" w:color="FFFFFF"/>
              <w:right w:val="single" w:sz="8" w:space="0" w:color="FFFFFF"/>
            </w:tcBorders>
            <w:shd w:val="clear" w:color="auto" w:fill="BDD7EE"/>
            <w:tcMar>
              <w:top w:w="80" w:type="dxa"/>
              <w:left w:w="80" w:type="dxa"/>
              <w:bottom w:w="80" w:type="dxa"/>
              <w:right w:w="80" w:type="dxa"/>
            </w:tcMar>
            <w:vAlign w:val="bottom"/>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22</w:t>
            </w:r>
          </w:p>
        </w:tc>
        <w:tc>
          <w:tcPr>
            <w:tcW w:w="2995" w:type="dxa"/>
            <w:tcBorders>
              <w:top w:val="single" w:sz="8" w:space="0" w:color="FFFFFF"/>
              <w:left w:val="single" w:sz="8" w:space="0" w:color="FFFFFF"/>
              <w:bottom w:val="single" w:sz="8" w:space="0" w:color="FFFFFF"/>
              <w:right w:val="single" w:sz="8" w:space="0" w:color="FFFFFF"/>
            </w:tcBorders>
            <w:shd w:val="clear" w:color="auto" w:fill="BDD7EE"/>
            <w:tcMar>
              <w:top w:w="80" w:type="dxa"/>
              <w:left w:w="80" w:type="dxa"/>
              <w:bottom w:w="80" w:type="dxa"/>
              <w:right w:w="80" w:type="dxa"/>
            </w:tcMar>
            <w:vAlign w:val="bottom"/>
          </w:tcPr>
          <w:p>
            <w:pPr>
              <w:pBdr>
                <w:top w:val="nil"/>
                <w:left w:val="nil"/>
                <w:bottom w:val="nil"/>
                <w:right w:val="nil"/>
                <w:between w:val="nil"/>
                <w:bar w:val="nil"/>
              </w:pBdr>
              <w:tabs>
                <w:tab w:val="clear" w:pos="2835"/>
              </w:tabs>
              <w:jc w:val="lef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BIENES Y SERVICIOS DE CONSUMO</w:t>
            </w:r>
          </w:p>
        </w:tc>
        <w:tc>
          <w:tcPr>
            <w:tcW w:w="1058" w:type="dxa"/>
            <w:tcBorders>
              <w:top w:val="single" w:sz="8" w:space="0" w:color="FFFFFF"/>
              <w:left w:val="single" w:sz="8" w:space="0" w:color="FFFFFF"/>
              <w:bottom w:val="single" w:sz="8" w:space="0" w:color="FFFFFF"/>
              <w:right w:val="single" w:sz="8" w:space="0" w:color="FFFFFF"/>
            </w:tcBorders>
            <w:shd w:val="clear" w:color="auto" w:fill="BDD7EE"/>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19.884.754</w:t>
            </w:r>
          </w:p>
        </w:tc>
        <w:tc>
          <w:tcPr>
            <w:tcW w:w="1193" w:type="dxa"/>
            <w:tcBorders>
              <w:top w:val="single" w:sz="8" w:space="0" w:color="FFFFFF"/>
              <w:left w:val="single" w:sz="8" w:space="0" w:color="FFFFFF"/>
              <w:bottom w:val="single" w:sz="8" w:space="0" w:color="FFFFFF"/>
              <w:right w:val="single" w:sz="8" w:space="0" w:color="FFFFFF"/>
            </w:tcBorders>
            <w:shd w:val="clear" w:color="auto" w:fill="BDD7EE"/>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20.694.754</w:t>
            </w:r>
          </w:p>
        </w:tc>
        <w:tc>
          <w:tcPr>
            <w:tcW w:w="1275" w:type="dxa"/>
            <w:tcBorders>
              <w:top w:val="single" w:sz="8" w:space="0" w:color="FFFFFF"/>
              <w:left w:val="single" w:sz="8" w:space="0" w:color="FFFFFF"/>
              <w:bottom w:val="single" w:sz="8" w:space="0" w:color="FFFFFF"/>
              <w:right w:val="single" w:sz="8" w:space="0" w:color="FFFFFF"/>
            </w:tcBorders>
            <w:shd w:val="clear" w:color="auto" w:fill="BDD7EE"/>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11.826.266</w:t>
            </w:r>
          </w:p>
        </w:tc>
        <w:tc>
          <w:tcPr>
            <w:tcW w:w="1241" w:type="dxa"/>
            <w:tcBorders>
              <w:top w:val="single" w:sz="8" w:space="0" w:color="FFFFFF"/>
              <w:left w:val="single" w:sz="8" w:space="0" w:color="FFFFFF"/>
              <w:bottom w:val="single" w:sz="8" w:space="0" w:color="FFFFFF"/>
              <w:right w:val="single" w:sz="8" w:space="0" w:color="FFFFFF"/>
            </w:tcBorders>
            <w:shd w:val="clear" w:color="auto" w:fill="BDD7EE"/>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59,5%</w:t>
            </w:r>
          </w:p>
        </w:tc>
        <w:tc>
          <w:tcPr>
            <w:tcW w:w="1439" w:type="dxa"/>
            <w:tcBorders>
              <w:top w:val="single" w:sz="8" w:space="0" w:color="FFFFFF"/>
              <w:left w:val="single" w:sz="8" w:space="0" w:color="FFFFFF"/>
              <w:bottom w:val="single" w:sz="8" w:space="0" w:color="FFFFFF"/>
              <w:right w:val="single" w:sz="8" w:space="0" w:color="FFFFFF"/>
            </w:tcBorders>
            <w:shd w:val="clear" w:color="auto" w:fill="BDD7EE"/>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57,1%</w:t>
            </w:r>
          </w:p>
        </w:tc>
      </w:tr>
      <w:tr>
        <w:tblPrEx>
          <w:tblCellMar>
            <w:top w:w="0" w:type="dxa"/>
            <w:left w:w="0" w:type="dxa"/>
            <w:bottom w:w="0" w:type="dxa"/>
            <w:right w:w="0" w:type="dxa"/>
          </w:tblCellMar>
        </w:tblPrEx>
        <w:trPr>
          <w:trHeight w:val="460"/>
          <w:jc w:val="center"/>
        </w:trPr>
        <w:tc>
          <w:tcPr>
            <w:tcW w:w="1076" w:type="dxa"/>
            <w:tcBorders>
              <w:top w:val="single" w:sz="8" w:space="0" w:color="FFFFFF"/>
              <w:left w:val="single" w:sz="8" w:space="0" w:color="FFFFFF"/>
              <w:bottom w:val="single" w:sz="8" w:space="0" w:color="FFFFFF"/>
              <w:right w:val="single" w:sz="8" w:space="0" w:color="FFFFFF"/>
            </w:tcBorders>
            <w:shd w:val="clear" w:color="auto" w:fill="BDD7EE"/>
            <w:tcMar>
              <w:top w:w="80" w:type="dxa"/>
              <w:left w:w="80" w:type="dxa"/>
              <w:bottom w:w="80" w:type="dxa"/>
              <w:right w:w="80" w:type="dxa"/>
            </w:tcMar>
            <w:vAlign w:val="bottom"/>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23</w:t>
            </w:r>
          </w:p>
        </w:tc>
        <w:tc>
          <w:tcPr>
            <w:tcW w:w="2995" w:type="dxa"/>
            <w:tcBorders>
              <w:top w:val="single" w:sz="8" w:space="0" w:color="FFFFFF"/>
              <w:left w:val="single" w:sz="8" w:space="0" w:color="FFFFFF"/>
              <w:bottom w:val="single" w:sz="8" w:space="0" w:color="FFFFFF"/>
              <w:right w:val="single" w:sz="8" w:space="0" w:color="FFFFFF"/>
            </w:tcBorders>
            <w:shd w:val="clear" w:color="auto" w:fill="BDD7EE"/>
            <w:tcMar>
              <w:top w:w="80" w:type="dxa"/>
              <w:left w:w="80" w:type="dxa"/>
              <w:bottom w:w="80" w:type="dxa"/>
              <w:right w:w="80" w:type="dxa"/>
            </w:tcMar>
            <w:vAlign w:val="bottom"/>
          </w:tcPr>
          <w:p>
            <w:pPr>
              <w:pBdr>
                <w:top w:val="nil"/>
                <w:left w:val="nil"/>
                <w:bottom w:val="nil"/>
                <w:right w:val="nil"/>
                <w:between w:val="nil"/>
                <w:bar w:val="nil"/>
              </w:pBdr>
              <w:tabs>
                <w:tab w:val="clear" w:pos="2835"/>
              </w:tabs>
              <w:jc w:val="lef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PRESTACIONES DE SEGURIDAD SOCIAL</w:t>
            </w:r>
          </w:p>
        </w:tc>
        <w:tc>
          <w:tcPr>
            <w:tcW w:w="1058" w:type="dxa"/>
            <w:tcBorders>
              <w:top w:val="single" w:sz="8" w:space="0" w:color="FFFFFF"/>
              <w:left w:val="single" w:sz="8" w:space="0" w:color="FFFFFF"/>
              <w:bottom w:val="single" w:sz="8" w:space="0" w:color="FFFFFF"/>
              <w:right w:val="single" w:sz="8" w:space="0" w:color="FFFFFF"/>
            </w:tcBorders>
            <w:shd w:val="clear" w:color="auto" w:fill="BDD7EE"/>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 </w:t>
            </w:r>
          </w:p>
        </w:tc>
        <w:tc>
          <w:tcPr>
            <w:tcW w:w="1193" w:type="dxa"/>
            <w:tcBorders>
              <w:top w:val="single" w:sz="8" w:space="0" w:color="FFFFFF"/>
              <w:left w:val="single" w:sz="8" w:space="0" w:color="FFFFFF"/>
              <w:bottom w:val="single" w:sz="8" w:space="0" w:color="FFFFFF"/>
              <w:right w:val="single" w:sz="8" w:space="0" w:color="FFFFFF"/>
            </w:tcBorders>
            <w:shd w:val="clear" w:color="auto" w:fill="BDD7EE"/>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 </w:t>
            </w:r>
          </w:p>
        </w:tc>
        <w:tc>
          <w:tcPr>
            <w:tcW w:w="1275" w:type="dxa"/>
            <w:tcBorders>
              <w:top w:val="single" w:sz="8" w:space="0" w:color="FFFFFF"/>
              <w:left w:val="single" w:sz="8" w:space="0" w:color="FFFFFF"/>
              <w:bottom w:val="single" w:sz="8" w:space="0" w:color="FFFFFF"/>
              <w:right w:val="single" w:sz="8" w:space="0" w:color="FFFFFF"/>
            </w:tcBorders>
            <w:shd w:val="clear" w:color="auto" w:fill="BDD7EE"/>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33.098</w:t>
            </w:r>
          </w:p>
        </w:tc>
        <w:tc>
          <w:tcPr>
            <w:tcW w:w="1241" w:type="dxa"/>
            <w:tcBorders>
              <w:top w:val="single" w:sz="8" w:space="0" w:color="FFFFFF"/>
              <w:left w:val="single" w:sz="8" w:space="0" w:color="FFFFFF"/>
              <w:bottom w:val="single" w:sz="8" w:space="0" w:color="FFFFFF"/>
              <w:right w:val="single" w:sz="8" w:space="0" w:color="FFFFFF"/>
            </w:tcBorders>
            <w:shd w:val="clear" w:color="auto" w:fill="BDD7EE"/>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 </w:t>
            </w:r>
          </w:p>
        </w:tc>
        <w:tc>
          <w:tcPr>
            <w:tcW w:w="1439" w:type="dxa"/>
            <w:tcBorders>
              <w:top w:val="single" w:sz="8" w:space="0" w:color="FFFFFF"/>
              <w:left w:val="single" w:sz="8" w:space="0" w:color="FFFFFF"/>
              <w:bottom w:val="single" w:sz="8" w:space="0" w:color="FFFFFF"/>
              <w:right w:val="single" w:sz="8" w:space="0" w:color="FFFFFF"/>
            </w:tcBorders>
            <w:shd w:val="clear" w:color="auto" w:fill="BDD7EE"/>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 </w:t>
            </w:r>
          </w:p>
        </w:tc>
      </w:tr>
      <w:tr>
        <w:tblPrEx>
          <w:tblCellMar>
            <w:top w:w="0" w:type="dxa"/>
            <w:left w:w="0" w:type="dxa"/>
            <w:bottom w:w="0" w:type="dxa"/>
            <w:right w:w="0" w:type="dxa"/>
          </w:tblCellMar>
        </w:tblPrEx>
        <w:trPr>
          <w:trHeight w:val="460"/>
          <w:jc w:val="center"/>
        </w:trPr>
        <w:tc>
          <w:tcPr>
            <w:tcW w:w="1076" w:type="dxa"/>
            <w:tcBorders>
              <w:top w:val="single" w:sz="8" w:space="0" w:color="FFFFFF"/>
              <w:left w:val="single" w:sz="8" w:space="0" w:color="FFFFFF"/>
              <w:bottom w:val="single" w:sz="8" w:space="0" w:color="FFFFFF"/>
              <w:right w:val="single" w:sz="8" w:space="0" w:color="FFFFFF"/>
            </w:tcBorders>
            <w:shd w:val="clear" w:color="auto" w:fill="BDD7EE"/>
            <w:tcMar>
              <w:top w:w="80" w:type="dxa"/>
              <w:left w:w="80" w:type="dxa"/>
              <w:bottom w:w="80" w:type="dxa"/>
              <w:right w:w="80" w:type="dxa"/>
            </w:tcMar>
            <w:vAlign w:val="bottom"/>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24</w:t>
            </w:r>
          </w:p>
        </w:tc>
        <w:tc>
          <w:tcPr>
            <w:tcW w:w="2995" w:type="dxa"/>
            <w:tcBorders>
              <w:top w:val="single" w:sz="8" w:space="0" w:color="FFFFFF"/>
              <w:left w:val="single" w:sz="8" w:space="0" w:color="FFFFFF"/>
              <w:bottom w:val="single" w:sz="8" w:space="0" w:color="FFFFFF"/>
              <w:right w:val="single" w:sz="8" w:space="0" w:color="FFFFFF"/>
            </w:tcBorders>
            <w:shd w:val="clear" w:color="auto" w:fill="BDD7EE"/>
            <w:tcMar>
              <w:top w:w="80" w:type="dxa"/>
              <w:left w:w="80" w:type="dxa"/>
              <w:bottom w:w="80" w:type="dxa"/>
              <w:right w:w="80" w:type="dxa"/>
            </w:tcMar>
            <w:vAlign w:val="bottom"/>
          </w:tcPr>
          <w:p>
            <w:pPr>
              <w:pBdr>
                <w:top w:val="nil"/>
                <w:left w:val="nil"/>
                <w:bottom w:val="nil"/>
                <w:right w:val="nil"/>
                <w:between w:val="nil"/>
                <w:bar w:val="nil"/>
              </w:pBdr>
              <w:tabs>
                <w:tab w:val="clear" w:pos="2835"/>
              </w:tabs>
              <w:jc w:val="lef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TRANSFERENCIAS CORRIENTES</w:t>
            </w:r>
          </w:p>
        </w:tc>
        <w:tc>
          <w:tcPr>
            <w:tcW w:w="1058" w:type="dxa"/>
            <w:tcBorders>
              <w:top w:val="single" w:sz="8" w:space="0" w:color="FFFFFF"/>
              <w:left w:val="single" w:sz="8" w:space="0" w:color="FFFFFF"/>
              <w:bottom w:val="single" w:sz="8" w:space="0" w:color="FFFFFF"/>
              <w:right w:val="single" w:sz="8" w:space="0" w:color="FFFFFF"/>
            </w:tcBorders>
            <w:shd w:val="clear" w:color="auto" w:fill="BDD7EE"/>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 </w:t>
            </w:r>
          </w:p>
        </w:tc>
        <w:tc>
          <w:tcPr>
            <w:tcW w:w="1193" w:type="dxa"/>
            <w:tcBorders>
              <w:top w:val="single" w:sz="8" w:space="0" w:color="FFFFFF"/>
              <w:left w:val="single" w:sz="8" w:space="0" w:color="FFFFFF"/>
              <w:bottom w:val="single" w:sz="8" w:space="0" w:color="FFFFFF"/>
              <w:right w:val="single" w:sz="8" w:space="0" w:color="FFFFFF"/>
            </w:tcBorders>
            <w:shd w:val="clear" w:color="auto" w:fill="BDD7EE"/>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 </w:t>
            </w:r>
          </w:p>
        </w:tc>
        <w:tc>
          <w:tcPr>
            <w:tcW w:w="1275" w:type="dxa"/>
            <w:tcBorders>
              <w:top w:val="single" w:sz="8" w:space="0" w:color="FFFFFF"/>
              <w:left w:val="single" w:sz="8" w:space="0" w:color="FFFFFF"/>
              <w:bottom w:val="single" w:sz="8" w:space="0" w:color="FFFFFF"/>
              <w:right w:val="single" w:sz="8" w:space="0" w:color="FFFFFF"/>
            </w:tcBorders>
            <w:shd w:val="clear" w:color="auto" w:fill="BDD7EE"/>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 </w:t>
            </w:r>
          </w:p>
        </w:tc>
        <w:tc>
          <w:tcPr>
            <w:tcW w:w="1241" w:type="dxa"/>
            <w:tcBorders>
              <w:top w:val="single" w:sz="8" w:space="0" w:color="FFFFFF"/>
              <w:left w:val="single" w:sz="8" w:space="0" w:color="FFFFFF"/>
              <w:bottom w:val="single" w:sz="8" w:space="0" w:color="FFFFFF"/>
              <w:right w:val="single" w:sz="8" w:space="0" w:color="FFFFFF"/>
            </w:tcBorders>
            <w:shd w:val="clear" w:color="auto" w:fill="BDD7EE"/>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 </w:t>
            </w:r>
          </w:p>
        </w:tc>
        <w:tc>
          <w:tcPr>
            <w:tcW w:w="1439" w:type="dxa"/>
            <w:tcBorders>
              <w:top w:val="single" w:sz="8" w:space="0" w:color="FFFFFF"/>
              <w:left w:val="single" w:sz="8" w:space="0" w:color="FFFFFF"/>
              <w:bottom w:val="single" w:sz="8" w:space="0" w:color="FFFFFF"/>
              <w:right w:val="single" w:sz="8" w:space="0" w:color="FFFFFF"/>
            </w:tcBorders>
            <w:shd w:val="clear" w:color="auto" w:fill="BDD7EE"/>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 </w:t>
            </w:r>
          </w:p>
        </w:tc>
      </w:tr>
      <w:tr>
        <w:tblPrEx>
          <w:tblCellMar>
            <w:top w:w="0" w:type="dxa"/>
            <w:left w:w="0" w:type="dxa"/>
            <w:bottom w:w="0" w:type="dxa"/>
            <w:right w:w="0" w:type="dxa"/>
          </w:tblCellMar>
        </w:tblPrEx>
        <w:trPr>
          <w:trHeight w:val="240"/>
          <w:jc w:val="center"/>
        </w:trPr>
        <w:tc>
          <w:tcPr>
            <w:tcW w:w="1076" w:type="dxa"/>
            <w:tcBorders>
              <w:top w:val="single" w:sz="8" w:space="0" w:color="FFFFFF"/>
              <w:left w:val="single" w:sz="8" w:space="0" w:color="FFFFFF"/>
              <w:bottom w:val="single" w:sz="8" w:space="0" w:color="FFFFFF"/>
              <w:right w:val="single" w:sz="8" w:space="0" w:color="FFFFFF"/>
            </w:tcBorders>
            <w:shd w:val="clear" w:color="auto" w:fill="BDD7EE"/>
            <w:tcMar>
              <w:top w:w="80" w:type="dxa"/>
              <w:left w:w="80" w:type="dxa"/>
              <w:bottom w:w="80" w:type="dxa"/>
              <w:right w:w="80" w:type="dxa"/>
            </w:tcMar>
            <w:vAlign w:val="bottom"/>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25</w:t>
            </w:r>
          </w:p>
        </w:tc>
        <w:tc>
          <w:tcPr>
            <w:tcW w:w="2995" w:type="dxa"/>
            <w:tcBorders>
              <w:top w:val="single" w:sz="8" w:space="0" w:color="FFFFFF"/>
              <w:left w:val="single" w:sz="8" w:space="0" w:color="FFFFFF"/>
              <w:bottom w:val="single" w:sz="8" w:space="0" w:color="FFFFFF"/>
              <w:right w:val="single" w:sz="8" w:space="0" w:color="FFFFFF"/>
            </w:tcBorders>
            <w:shd w:val="clear" w:color="auto" w:fill="BDD7EE"/>
            <w:tcMar>
              <w:top w:w="80" w:type="dxa"/>
              <w:left w:w="80" w:type="dxa"/>
              <w:bottom w:w="80" w:type="dxa"/>
              <w:right w:w="80" w:type="dxa"/>
            </w:tcMar>
            <w:vAlign w:val="bottom"/>
          </w:tcPr>
          <w:p>
            <w:pPr>
              <w:pBdr>
                <w:top w:val="nil"/>
                <w:left w:val="nil"/>
                <w:bottom w:val="nil"/>
                <w:right w:val="nil"/>
                <w:between w:val="nil"/>
                <w:bar w:val="nil"/>
              </w:pBdr>
              <w:tabs>
                <w:tab w:val="clear" w:pos="2835"/>
              </w:tabs>
              <w:jc w:val="lef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INTEGROS AL FISCO</w:t>
            </w:r>
          </w:p>
        </w:tc>
        <w:tc>
          <w:tcPr>
            <w:tcW w:w="1058" w:type="dxa"/>
            <w:tcBorders>
              <w:top w:val="single" w:sz="8" w:space="0" w:color="FFFFFF"/>
              <w:left w:val="single" w:sz="8" w:space="0" w:color="FFFFFF"/>
              <w:bottom w:val="single" w:sz="8" w:space="0" w:color="FFFFFF"/>
              <w:right w:val="single" w:sz="8" w:space="0" w:color="FFFFFF"/>
            </w:tcBorders>
            <w:shd w:val="clear" w:color="auto" w:fill="BDD7EE"/>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10</w:t>
            </w:r>
          </w:p>
        </w:tc>
        <w:tc>
          <w:tcPr>
            <w:tcW w:w="1193" w:type="dxa"/>
            <w:tcBorders>
              <w:top w:val="single" w:sz="8" w:space="0" w:color="FFFFFF"/>
              <w:left w:val="single" w:sz="8" w:space="0" w:color="FFFFFF"/>
              <w:bottom w:val="single" w:sz="8" w:space="0" w:color="FFFFFF"/>
              <w:right w:val="single" w:sz="8" w:space="0" w:color="FFFFFF"/>
            </w:tcBorders>
            <w:shd w:val="clear" w:color="auto" w:fill="BDD7EE"/>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10</w:t>
            </w:r>
          </w:p>
        </w:tc>
        <w:tc>
          <w:tcPr>
            <w:tcW w:w="1275" w:type="dxa"/>
            <w:tcBorders>
              <w:top w:val="single" w:sz="8" w:space="0" w:color="FFFFFF"/>
              <w:left w:val="single" w:sz="8" w:space="0" w:color="FFFFFF"/>
              <w:bottom w:val="single" w:sz="8" w:space="0" w:color="FFFFFF"/>
              <w:right w:val="single" w:sz="8" w:space="0" w:color="FFFFFF"/>
            </w:tcBorders>
            <w:shd w:val="clear" w:color="auto" w:fill="BDD7EE"/>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367</w:t>
            </w:r>
          </w:p>
        </w:tc>
        <w:tc>
          <w:tcPr>
            <w:tcW w:w="1241" w:type="dxa"/>
            <w:tcBorders>
              <w:top w:val="single" w:sz="8" w:space="0" w:color="FFFFFF"/>
              <w:left w:val="single" w:sz="8" w:space="0" w:color="FFFFFF"/>
              <w:bottom w:val="single" w:sz="8" w:space="0" w:color="FFFFFF"/>
              <w:right w:val="single" w:sz="8" w:space="0" w:color="FFFFFF"/>
            </w:tcBorders>
            <w:shd w:val="clear" w:color="auto" w:fill="BDD7EE"/>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3670,0%</w:t>
            </w:r>
          </w:p>
        </w:tc>
        <w:tc>
          <w:tcPr>
            <w:tcW w:w="1439" w:type="dxa"/>
            <w:tcBorders>
              <w:top w:val="single" w:sz="8" w:space="0" w:color="FFFFFF"/>
              <w:left w:val="single" w:sz="8" w:space="0" w:color="FFFFFF"/>
              <w:bottom w:val="single" w:sz="8" w:space="0" w:color="FFFFFF"/>
              <w:right w:val="single" w:sz="8" w:space="0" w:color="FFFFFF"/>
            </w:tcBorders>
            <w:shd w:val="clear" w:color="auto" w:fill="BDD7EE"/>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3670,0%</w:t>
            </w:r>
          </w:p>
        </w:tc>
      </w:tr>
      <w:tr>
        <w:tblPrEx>
          <w:tblCellMar>
            <w:top w:w="0" w:type="dxa"/>
            <w:left w:w="0" w:type="dxa"/>
            <w:bottom w:w="0" w:type="dxa"/>
            <w:right w:w="0" w:type="dxa"/>
          </w:tblCellMar>
        </w:tblPrEx>
        <w:trPr>
          <w:trHeight w:val="460"/>
          <w:jc w:val="center"/>
        </w:trPr>
        <w:tc>
          <w:tcPr>
            <w:tcW w:w="1076" w:type="dxa"/>
            <w:tcBorders>
              <w:top w:val="single" w:sz="8" w:space="0" w:color="FFFFFF"/>
              <w:left w:val="single" w:sz="8" w:space="0" w:color="FFFFFF"/>
              <w:bottom w:val="single" w:sz="8" w:space="0" w:color="FFFFFF"/>
              <w:right w:val="single" w:sz="8" w:space="0" w:color="FFFFFF"/>
            </w:tcBorders>
            <w:shd w:val="clear" w:color="auto" w:fill="BDD7EE"/>
            <w:tcMar>
              <w:top w:w="80" w:type="dxa"/>
              <w:left w:w="80" w:type="dxa"/>
              <w:bottom w:w="80" w:type="dxa"/>
              <w:right w:w="80" w:type="dxa"/>
            </w:tcMar>
            <w:vAlign w:val="bottom"/>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26</w:t>
            </w:r>
          </w:p>
        </w:tc>
        <w:tc>
          <w:tcPr>
            <w:tcW w:w="2995" w:type="dxa"/>
            <w:tcBorders>
              <w:top w:val="single" w:sz="8" w:space="0" w:color="FFFFFF"/>
              <w:left w:val="single" w:sz="8" w:space="0" w:color="FFFFFF"/>
              <w:bottom w:val="single" w:sz="8" w:space="0" w:color="FFFFFF"/>
              <w:right w:val="single" w:sz="8" w:space="0" w:color="FFFFFF"/>
            </w:tcBorders>
            <w:shd w:val="clear" w:color="auto" w:fill="BDD7EE"/>
            <w:tcMar>
              <w:top w:w="80" w:type="dxa"/>
              <w:left w:w="80" w:type="dxa"/>
              <w:bottom w:w="80" w:type="dxa"/>
              <w:right w:w="80" w:type="dxa"/>
            </w:tcMar>
            <w:vAlign w:val="bottom"/>
          </w:tcPr>
          <w:p>
            <w:pPr>
              <w:pBdr>
                <w:top w:val="nil"/>
                <w:left w:val="nil"/>
                <w:bottom w:val="nil"/>
                <w:right w:val="nil"/>
                <w:between w:val="nil"/>
                <w:bar w:val="nil"/>
              </w:pBdr>
              <w:tabs>
                <w:tab w:val="clear" w:pos="2835"/>
              </w:tabs>
              <w:jc w:val="lef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OTROS GASTOS CORRIENTES</w:t>
            </w:r>
          </w:p>
        </w:tc>
        <w:tc>
          <w:tcPr>
            <w:tcW w:w="1058" w:type="dxa"/>
            <w:tcBorders>
              <w:top w:val="single" w:sz="8" w:space="0" w:color="FFFFFF"/>
              <w:left w:val="single" w:sz="8" w:space="0" w:color="FFFFFF"/>
              <w:bottom w:val="single" w:sz="8" w:space="0" w:color="FFFFFF"/>
              <w:right w:val="single" w:sz="8" w:space="0" w:color="FFFFFF"/>
            </w:tcBorders>
            <w:shd w:val="clear" w:color="auto" w:fill="BDD7EE"/>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 </w:t>
            </w:r>
          </w:p>
        </w:tc>
        <w:tc>
          <w:tcPr>
            <w:tcW w:w="1193" w:type="dxa"/>
            <w:tcBorders>
              <w:top w:val="single" w:sz="8" w:space="0" w:color="FFFFFF"/>
              <w:left w:val="single" w:sz="8" w:space="0" w:color="FFFFFF"/>
              <w:bottom w:val="single" w:sz="8" w:space="0" w:color="FFFFFF"/>
              <w:right w:val="single" w:sz="8" w:space="0" w:color="FFFFFF"/>
            </w:tcBorders>
            <w:shd w:val="clear" w:color="auto" w:fill="BDD7EE"/>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 </w:t>
            </w:r>
          </w:p>
        </w:tc>
        <w:tc>
          <w:tcPr>
            <w:tcW w:w="1275" w:type="dxa"/>
            <w:tcBorders>
              <w:top w:val="single" w:sz="8" w:space="0" w:color="FFFFFF"/>
              <w:left w:val="single" w:sz="8" w:space="0" w:color="FFFFFF"/>
              <w:bottom w:val="single" w:sz="8" w:space="0" w:color="FFFFFF"/>
              <w:right w:val="single" w:sz="8" w:space="0" w:color="FFFFFF"/>
            </w:tcBorders>
            <w:shd w:val="clear" w:color="auto" w:fill="BDD7EE"/>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14.613</w:t>
            </w:r>
          </w:p>
        </w:tc>
        <w:tc>
          <w:tcPr>
            <w:tcW w:w="1241" w:type="dxa"/>
            <w:tcBorders>
              <w:top w:val="single" w:sz="8" w:space="0" w:color="FFFFFF"/>
              <w:left w:val="single" w:sz="8" w:space="0" w:color="FFFFFF"/>
              <w:bottom w:val="single" w:sz="8" w:space="0" w:color="FFFFFF"/>
              <w:right w:val="single" w:sz="8" w:space="0" w:color="FFFFFF"/>
            </w:tcBorders>
            <w:shd w:val="clear" w:color="auto" w:fill="BDD7EE"/>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 </w:t>
            </w:r>
          </w:p>
        </w:tc>
        <w:tc>
          <w:tcPr>
            <w:tcW w:w="1439" w:type="dxa"/>
            <w:tcBorders>
              <w:top w:val="single" w:sz="8" w:space="0" w:color="FFFFFF"/>
              <w:left w:val="single" w:sz="8" w:space="0" w:color="FFFFFF"/>
              <w:bottom w:val="single" w:sz="8" w:space="0" w:color="FFFFFF"/>
              <w:right w:val="single" w:sz="8" w:space="0" w:color="FFFFFF"/>
            </w:tcBorders>
            <w:shd w:val="clear" w:color="auto" w:fill="BDD7EE"/>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 </w:t>
            </w:r>
          </w:p>
        </w:tc>
      </w:tr>
      <w:tr>
        <w:tblPrEx>
          <w:tblCellMar>
            <w:top w:w="0" w:type="dxa"/>
            <w:left w:w="0" w:type="dxa"/>
            <w:bottom w:w="0" w:type="dxa"/>
            <w:right w:w="0" w:type="dxa"/>
          </w:tblCellMar>
        </w:tblPrEx>
        <w:trPr>
          <w:trHeight w:val="460"/>
          <w:jc w:val="center"/>
        </w:trPr>
        <w:tc>
          <w:tcPr>
            <w:tcW w:w="1076" w:type="dxa"/>
            <w:tcBorders>
              <w:top w:val="single" w:sz="8" w:space="0" w:color="FFFFFF"/>
              <w:left w:val="single" w:sz="8" w:space="0" w:color="FFFFFF"/>
              <w:bottom w:val="single" w:sz="8" w:space="0" w:color="FFFFFF"/>
              <w:right w:val="single" w:sz="8" w:space="0" w:color="FFFFFF"/>
            </w:tcBorders>
            <w:shd w:val="clear" w:color="auto" w:fill="BDD7EE"/>
            <w:tcMar>
              <w:top w:w="80" w:type="dxa"/>
              <w:left w:w="80" w:type="dxa"/>
              <w:bottom w:w="80" w:type="dxa"/>
              <w:right w:w="80" w:type="dxa"/>
            </w:tcMar>
            <w:vAlign w:val="bottom"/>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29</w:t>
            </w:r>
          </w:p>
        </w:tc>
        <w:tc>
          <w:tcPr>
            <w:tcW w:w="2995" w:type="dxa"/>
            <w:tcBorders>
              <w:top w:val="single" w:sz="8" w:space="0" w:color="FFFFFF"/>
              <w:left w:val="single" w:sz="8" w:space="0" w:color="FFFFFF"/>
              <w:bottom w:val="single" w:sz="8" w:space="0" w:color="FFFFFF"/>
              <w:right w:val="single" w:sz="8" w:space="0" w:color="FFFFFF"/>
            </w:tcBorders>
            <w:shd w:val="clear" w:color="auto" w:fill="BDD7EE"/>
            <w:tcMar>
              <w:top w:w="80" w:type="dxa"/>
              <w:left w:w="80" w:type="dxa"/>
              <w:bottom w:w="80" w:type="dxa"/>
              <w:right w:w="80" w:type="dxa"/>
            </w:tcMar>
            <w:vAlign w:val="bottom"/>
          </w:tcPr>
          <w:p>
            <w:pPr>
              <w:pBdr>
                <w:top w:val="nil"/>
                <w:left w:val="nil"/>
                <w:bottom w:val="nil"/>
                <w:right w:val="nil"/>
                <w:between w:val="nil"/>
                <w:bar w:val="nil"/>
              </w:pBdr>
              <w:tabs>
                <w:tab w:val="clear" w:pos="2835"/>
              </w:tabs>
              <w:jc w:val="lef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ADQUISICIÓN DE ACTIVOS NO FINANCIEROS</w:t>
            </w:r>
          </w:p>
        </w:tc>
        <w:tc>
          <w:tcPr>
            <w:tcW w:w="1058" w:type="dxa"/>
            <w:tcBorders>
              <w:top w:val="single" w:sz="8" w:space="0" w:color="FFFFFF"/>
              <w:left w:val="single" w:sz="8" w:space="0" w:color="FFFFFF"/>
              <w:bottom w:val="single" w:sz="8" w:space="0" w:color="FFFFFF"/>
              <w:right w:val="single" w:sz="8" w:space="0" w:color="FFFFFF"/>
            </w:tcBorders>
            <w:shd w:val="clear" w:color="auto" w:fill="BDD7EE"/>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5.804.386</w:t>
            </w:r>
          </w:p>
        </w:tc>
        <w:tc>
          <w:tcPr>
            <w:tcW w:w="1193" w:type="dxa"/>
            <w:tcBorders>
              <w:top w:val="single" w:sz="8" w:space="0" w:color="FFFFFF"/>
              <w:left w:val="single" w:sz="8" w:space="0" w:color="FFFFFF"/>
              <w:bottom w:val="single" w:sz="8" w:space="0" w:color="FFFFFF"/>
              <w:right w:val="single" w:sz="8" w:space="0" w:color="FFFFFF"/>
            </w:tcBorders>
            <w:shd w:val="clear" w:color="auto" w:fill="BDD7EE"/>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7.617.250</w:t>
            </w:r>
          </w:p>
        </w:tc>
        <w:tc>
          <w:tcPr>
            <w:tcW w:w="1275" w:type="dxa"/>
            <w:tcBorders>
              <w:top w:val="single" w:sz="8" w:space="0" w:color="FFFFFF"/>
              <w:left w:val="single" w:sz="8" w:space="0" w:color="FFFFFF"/>
              <w:bottom w:val="single" w:sz="8" w:space="0" w:color="FFFFFF"/>
              <w:right w:val="single" w:sz="8" w:space="0" w:color="FFFFFF"/>
            </w:tcBorders>
            <w:shd w:val="clear" w:color="auto" w:fill="BDD7EE"/>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3.030.340</w:t>
            </w:r>
          </w:p>
        </w:tc>
        <w:tc>
          <w:tcPr>
            <w:tcW w:w="1241" w:type="dxa"/>
            <w:tcBorders>
              <w:top w:val="single" w:sz="8" w:space="0" w:color="FFFFFF"/>
              <w:left w:val="single" w:sz="8" w:space="0" w:color="FFFFFF"/>
              <w:bottom w:val="single" w:sz="8" w:space="0" w:color="FFFFFF"/>
              <w:right w:val="single" w:sz="8" w:space="0" w:color="FFFFFF"/>
            </w:tcBorders>
            <w:shd w:val="clear" w:color="auto" w:fill="BDD7EE"/>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52,2%</w:t>
            </w:r>
          </w:p>
        </w:tc>
        <w:tc>
          <w:tcPr>
            <w:tcW w:w="1439" w:type="dxa"/>
            <w:tcBorders>
              <w:top w:val="single" w:sz="8" w:space="0" w:color="FFFFFF"/>
              <w:left w:val="single" w:sz="8" w:space="0" w:color="FFFFFF"/>
              <w:bottom w:val="single" w:sz="8" w:space="0" w:color="FFFFFF"/>
              <w:right w:val="single" w:sz="8" w:space="0" w:color="FFFFFF"/>
            </w:tcBorders>
            <w:shd w:val="clear" w:color="auto" w:fill="BDD7EE"/>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39,8%</w:t>
            </w:r>
          </w:p>
        </w:tc>
      </w:tr>
      <w:tr>
        <w:tblPrEx>
          <w:tblCellMar>
            <w:top w:w="0" w:type="dxa"/>
            <w:left w:w="0" w:type="dxa"/>
            <w:bottom w:w="0" w:type="dxa"/>
            <w:right w:w="0" w:type="dxa"/>
          </w:tblCellMar>
        </w:tblPrEx>
        <w:trPr>
          <w:trHeight w:val="460"/>
          <w:jc w:val="center"/>
        </w:trPr>
        <w:tc>
          <w:tcPr>
            <w:tcW w:w="1076" w:type="dxa"/>
            <w:tcBorders>
              <w:top w:val="single" w:sz="8" w:space="0" w:color="FFFFFF"/>
              <w:left w:val="single" w:sz="8" w:space="0" w:color="FFFFFF"/>
              <w:bottom w:val="single" w:sz="8" w:space="0" w:color="FFFFFF"/>
              <w:right w:val="single" w:sz="8" w:space="0" w:color="FFFFFF"/>
            </w:tcBorders>
            <w:shd w:val="clear" w:color="auto" w:fill="BDD7EE"/>
            <w:tcMar>
              <w:top w:w="80" w:type="dxa"/>
              <w:left w:w="80" w:type="dxa"/>
              <w:bottom w:w="80" w:type="dxa"/>
              <w:right w:w="80" w:type="dxa"/>
            </w:tcMar>
            <w:vAlign w:val="bottom"/>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30</w:t>
            </w:r>
          </w:p>
        </w:tc>
        <w:tc>
          <w:tcPr>
            <w:tcW w:w="2995" w:type="dxa"/>
            <w:tcBorders>
              <w:top w:val="single" w:sz="8" w:space="0" w:color="FFFFFF"/>
              <w:left w:val="single" w:sz="8" w:space="0" w:color="FFFFFF"/>
              <w:bottom w:val="single" w:sz="8" w:space="0" w:color="FFFFFF"/>
              <w:right w:val="single" w:sz="8" w:space="0" w:color="FFFFFF"/>
            </w:tcBorders>
            <w:shd w:val="clear" w:color="auto" w:fill="BDD7EE"/>
            <w:tcMar>
              <w:top w:w="80" w:type="dxa"/>
              <w:left w:w="80" w:type="dxa"/>
              <w:bottom w:w="80" w:type="dxa"/>
              <w:right w:w="80" w:type="dxa"/>
            </w:tcMar>
            <w:vAlign w:val="bottom"/>
          </w:tcPr>
          <w:p>
            <w:pPr>
              <w:pBdr>
                <w:top w:val="nil"/>
                <w:left w:val="nil"/>
                <w:bottom w:val="nil"/>
                <w:right w:val="nil"/>
                <w:between w:val="nil"/>
                <w:bar w:val="nil"/>
              </w:pBdr>
              <w:tabs>
                <w:tab w:val="clear" w:pos="2835"/>
              </w:tabs>
              <w:jc w:val="lef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ADQUISICIÓN DE ACTIVOS FINANCIEROS</w:t>
            </w:r>
          </w:p>
        </w:tc>
        <w:tc>
          <w:tcPr>
            <w:tcW w:w="1058" w:type="dxa"/>
            <w:tcBorders>
              <w:top w:val="single" w:sz="8" w:space="0" w:color="FFFFFF"/>
              <w:left w:val="single" w:sz="8" w:space="0" w:color="FFFFFF"/>
              <w:bottom w:val="single" w:sz="8" w:space="0" w:color="FFFFFF"/>
              <w:right w:val="single" w:sz="8" w:space="0" w:color="FFFFFF"/>
            </w:tcBorders>
            <w:shd w:val="clear" w:color="auto" w:fill="BDD7EE"/>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 </w:t>
            </w:r>
          </w:p>
        </w:tc>
        <w:tc>
          <w:tcPr>
            <w:tcW w:w="1193" w:type="dxa"/>
            <w:tcBorders>
              <w:top w:val="single" w:sz="8" w:space="0" w:color="FFFFFF"/>
              <w:left w:val="single" w:sz="8" w:space="0" w:color="FFFFFF"/>
              <w:bottom w:val="single" w:sz="8" w:space="0" w:color="FFFFFF"/>
              <w:right w:val="single" w:sz="8" w:space="0" w:color="FFFFFF"/>
            </w:tcBorders>
            <w:shd w:val="clear" w:color="auto" w:fill="BDD7EE"/>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 </w:t>
            </w:r>
          </w:p>
        </w:tc>
        <w:tc>
          <w:tcPr>
            <w:tcW w:w="1275" w:type="dxa"/>
            <w:tcBorders>
              <w:top w:val="single" w:sz="8" w:space="0" w:color="FFFFFF"/>
              <w:left w:val="single" w:sz="8" w:space="0" w:color="FFFFFF"/>
              <w:bottom w:val="single" w:sz="8" w:space="0" w:color="FFFFFF"/>
              <w:right w:val="single" w:sz="8" w:space="0" w:color="FFFFFF"/>
            </w:tcBorders>
            <w:shd w:val="clear" w:color="auto" w:fill="BDD7EE"/>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 </w:t>
            </w:r>
          </w:p>
        </w:tc>
        <w:tc>
          <w:tcPr>
            <w:tcW w:w="1241" w:type="dxa"/>
            <w:tcBorders>
              <w:top w:val="single" w:sz="8" w:space="0" w:color="FFFFFF"/>
              <w:left w:val="single" w:sz="8" w:space="0" w:color="FFFFFF"/>
              <w:bottom w:val="single" w:sz="8" w:space="0" w:color="FFFFFF"/>
              <w:right w:val="single" w:sz="8" w:space="0" w:color="FFFFFF"/>
            </w:tcBorders>
            <w:shd w:val="clear" w:color="auto" w:fill="BDD7EE"/>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 </w:t>
            </w:r>
          </w:p>
        </w:tc>
        <w:tc>
          <w:tcPr>
            <w:tcW w:w="1439" w:type="dxa"/>
            <w:tcBorders>
              <w:top w:val="single" w:sz="8" w:space="0" w:color="FFFFFF"/>
              <w:left w:val="single" w:sz="8" w:space="0" w:color="FFFFFF"/>
              <w:bottom w:val="single" w:sz="8" w:space="0" w:color="FFFFFF"/>
              <w:right w:val="single" w:sz="8" w:space="0" w:color="FFFFFF"/>
            </w:tcBorders>
            <w:shd w:val="clear" w:color="auto" w:fill="BDD7EE"/>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 </w:t>
            </w:r>
          </w:p>
        </w:tc>
      </w:tr>
      <w:tr>
        <w:tblPrEx>
          <w:tblCellMar>
            <w:top w:w="0" w:type="dxa"/>
            <w:left w:w="0" w:type="dxa"/>
            <w:bottom w:w="0" w:type="dxa"/>
            <w:right w:w="0" w:type="dxa"/>
          </w:tblCellMar>
        </w:tblPrEx>
        <w:trPr>
          <w:trHeight w:val="460"/>
          <w:jc w:val="center"/>
        </w:trPr>
        <w:tc>
          <w:tcPr>
            <w:tcW w:w="1076" w:type="dxa"/>
            <w:tcBorders>
              <w:top w:val="single" w:sz="8" w:space="0" w:color="FFFFFF"/>
              <w:left w:val="single" w:sz="8" w:space="0" w:color="FFFFFF"/>
              <w:bottom w:val="single" w:sz="8" w:space="0" w:color="FFFFFF"/>
              <w:right w:val="single" w:sz="8" w:space="0" w:color="FFFFFF"/>
            </w:tcBorders>
            <w:shd w:val="clear" w:color="auto" w:fill="BDD7EE"/>
            <w:tcMar>
              <w:top w:w="80" w:type="dxa"/>
              <w:left w:w="80" w:type="dxa"/>
              <w:bottom w:w="80" w:type="dxa"/>
              <w:right w:w="80" w:type="dxa"/>
            </w:tcMar>
            <w:vAlign w:val="bottom"/>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31</w:t>
            </w:r>
          </w:p>
        </w:tc>
        <w:tc>
          <w:tcPr>
            <w:tcW w:w="2995" w:type="dxa"/>
            <w:tcBorders>
              <w:top w:val="single" w:sz="8" w:space="0" w:color="FFFFFF"/>
              <w:left w:val="single" w:sz="8" w:space="0" w:color="FFFFFF"/>
              <w:bottom w:val="single" w:sz="8" w:space="0" w:color="FFFFFF"/>
              <w:right w:val="single" w:sz="8" w:space="0" w:color="FFFFFF"/>
            </w:tcBorders>
            <w:shd w:val="clear" w:color="auto" w:fill="BDD7EE"/>
            <w:tcMar>
              <w:top w:w="80" w:type="dxa"/>
              <w:left w:w="80" w:type="dxa"/>
              <w:bottom w:w="80" w:type="dxa"/>
              <w:right w:w="80" w:type="dxa"/>
            </w:tcMar>
            <w:vAlign w:val="bottom"/>
          </w:tcPr>
          <w:p>
            <w:pPr>
              <w:pBdr>
                <w:top w:val="nil"/>
                <w:left w:val="nil"/>
                <w:bottom w:val="nil"/>
                <w:right w:val="nil"/>
                <w:between w:val="nil"/>
                <w:bar w:val="nil"/>
              </w:pBdr>
              <w:tabs>
                <w:tab w:val="clear" w:pos="2835"/>
              </w:tabs>
              <w:jc w:val="lef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INICIATIVAS DE INVERSIÓN</w:t>
            </w:r>
          </w:p>
        </w:tc>
        <w:tc>
          <w:tcPr>
            <w:tcW w:w="1058" w:type="dxa"/>
            <w:tcBorders>
              <w:top w:val="single" w:sz="8" w:space="0" w:color="FFFFFF"/>
              <w:left w:val="single" w:sz="8" w:space="0" w:color="FFFFFF"/>
              <w:bottom w:val="single" w:sz="8" w:space="0" w:color="FFFFFF"/>
              <w:right w:val="single" w:sz="8" w:space="0" w:color="FFFFFF"/>
            </w:tcBorders>
            <w:shd w:val="clear" w:color="auto" w:fill="BDD7EE"/>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1.692.487</w:t>
            </w:r>
          </w:p>
        </w:tc>
        <w:tc>
          <w:tcPr>
            <w:tcW w:w="1193" w:type="dxa"/>
            <w:tcBorders>
              <w:top w:val="single" w:sz="8" w:space="0" w:color="FFFFFF"/>
              <w:left w:val="single" w:sz="8" w:space="0" w:color="FFFFFF"/>
              <w:bottom w:val="single" w:sz="8" w:space="0" w:color="FFFFFF"/>
              <w:right w:val="single" w:sz="8" w:space="0" w:color="FFFFFF"/>
            </w:tcBorders>
            <w:shd w:val="clear" w:color="auto" w:fill="BDD7EE"/>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297.849</w:t>
            </w:r>
          </w:p>
        </w:tc>
        <w:tc>
          <w:tcPr>
            <w:tcW w:w="1275" w:type="dxa"/>
            <w:tcBorders>
              <w:top w:val="single" w:sz="8" w:space="0" w:color="FFFFFF"/>
              <w:left w:val="single" w:sz="8" w:space="0" w:color="FFFFFF"/>
              <w:bottom w:val="single" w:sz="8" w:space="0" w:color="FFFFFF"/>
              <w:right w:val="single" w:sz="8" w:space="0" w:color="FFFFFF"/>
            </w:tcBorders>
            <w:shd w:val="clear" w:color="auto" w:fill="BDD7EE"/>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100.865</w:t>
            </w:r>
          </w:p>
        </w:tc>
        <w:tc>
          <w:tcPr>
            <w:tcW w:w="1241" w:type="dxa"/>
            <w:tcBorders>
              <w:top w:val="single" w:sz="8" w:space="0" w:color="FFFFFF"/>
              <w:left w:val="single" w:sz="8" w:space="0" w:color="FFFFFF"/>
              <w:bottom w:val="single" w:sz="8" w:space="0" w:color="FFFFFF"/>
              <w:right w:val="single" w:sz="8" w:space="0" w:color="FFFFFF"/>
            </w:tcBorders>
            <w:shd w:val="clear" w:color="auto" w:fill="BDD7EE"/>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6,0%</w:t>
            </w:r>
          </w:p>
        </w:tc>
        <w:tc>
          <w:tcPr>
            <w:tcW w:w="1439" w:type="dxa"/>
            <w:tcBorders>
              <w:top w:val="single" w:sz="8" w:space="0" w:color="FFFFFF"/>
              <w:left w:val="single" w:sz="8" w:space="0" w:color="FFFFFF"/>
              <w:bottom w:val="single" w:sz="8" w:space="0" w:color="FFFFFF"/>
              <w:right w:val="single" w:sz="8" w:space="0" w:color="FFFFFF"/>
            </w:tcBorders>
            <w:shd w:val="clear" w:color="auto" w:fill="BDD7EE"/>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33,9%</w:t>
            </w:r>
          </w:p>
        </w:tc>
      </w:tr>
      <w:tr>
        <w:tblPrEx>
          <w:tblCellMar>
            <w:top w:w="0" w:type="dxa"/>
            <w:left w:w="0" w:type="dxa"/>
            <w:bottom w:w="0" w:type="dxa"/>
            <w:right w:w="0" w:type="dxa"/>
          </w:tblCellMar>
        </w:tblPrEx>
        <w:trPr>
          <w:trHeight w:val="240"/>
          <w:jc w:val="center"/>
        </w:trPr>
        <w:tc>
          <w:tcPr>
            <w:tcW w:w="1076" w:type="dxa"/>
            <w:tcBorders>
              <w:top w:val="single" w:sz="8" w:space="0" w:color="FFFFFF"/>
              <w:left w:val="single" w:sz="8" w:space="0" w:color="FFFFFF"/>
              <w:bottom w:val="single" w:sz="8" w:space="0" w:color="FFFFFF"/>
              <w:right w:val="single" w:sz="8" w:space="0" w:color="FFFFFF"/>
            </w:tcBorders>
            <w:shd w:val="clear" w:color="auto" w:fill="BDD7EE"/>
            <w:tcMar>
              <w:top w:w="80" w:type="dxa"/>
              <w:left w:w="80" w:type="dxa"/>
              <w:bottom w:w="80" w:type="dxa"/>
              <w:right w:w="80" w:type="dxa"/>
            </w:tcMar>
            <w:vAlign w:val="bottom"/>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32</w:t>
            </w:r>
          </w:p>
        </w:tc>
        <w:tc>
          <w:tcPr>
            <w:tcW w:w="2995" w:type="dxa"/>
            <w:tcBorders>
              <w:top w:val="single" w:sz="8" w:space="0" w:color="FFFFFF"/>
              <w:left w:val="single" w:sz="8" w:space="0" w:color="FFFFFF"/>
              <w:bottom w:val="single" w:sz="8" w:space="0" w:color="FFFFFF"/>
              <w:right w:val="single" w:sz="8" w:space="0" w:color="FFFFFF"/>
            </w:tcBorders>
            <w:shd w:val="clear" w:color="auto" w:fill="BDD7EE"/>
            <w:tcMar>
              <w:top w:w="80" w:type="dxa"/>
              <w:left w:w="80" w:type="dxa"/>
              <w:bottom w:w="80" w:type="dxa"/>
              <w:right w:w="80" w:type="dxa"/>
            </w:tcMar>
            <w:vAlign w:val="bottom"/>
          </w:tcPr>
          <w:p>
            <w:pPr>
              <w:pBdr>
                <w:top w:val="nil"/>
                <w:left w:val="nil"/>
                <w:bottom w:val="nil"/>
                <w:right w:val="nil"/>
                <w:between w:val="nil"/>
                <w:bar w:val="nil"/>
              </w:pBdr>
              <w:tabs>
                <w:tab w:val="clear" w:pos="2835"/>
              </w:tabs>
              <w:jc w:val="lef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PRÉSTAMOS</w:t>
            </w:r>
          </w:p>
        </w:tc>
        <w:tc>
          <w:tcPr>
            <w:tcW w:w="1058" w:type="dxa"/>
            <w:tcBorders>
              <w:top w:val="single" w:sz="8" w:space="0" w:color="FFFFFF"/>
              <w:left w:val="single" w:sz="8" w:space="0" w:color="FFFFFF"/>
              <w:bottom w:val="single" w:sz="8" w:space="0" w:color="FFFFFF"/>
              <w:right w:val="single" w:sz="8" w:space="0" w:color="FFFFFF"/>
            </w:tcBorders>
            <w:shd w:val="clear" w:color="auto" w:fill="BDD7EE"/>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 </w:t>
            </w:r>
          </w:p>
        </w:tc>
        <w:tc>
          <w:tcPr>
            <w:tcW w:w="1193" w:type="dxa"/>
            <w:tcBorders>
              <w:top w:val="single" w:sz="8" w:space="0" w:color="FFFFFF"/>
              <w:left w:val="single" w:sz="8" w:space="0" w:color="FFFFFF"/>
              <w:bottom w:val="single" w:sz="8" w:space="0" w:color="FFFFFF"/>
              <w:right w:val="single" w:sz="8" w:space="0" w:color="FFFFFF"/>
            </w:tcBorders>
            <w:shd w:val="clear" w:color="auto" w:fill="BDD7EE"/>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 </w:t>
            </w:r>
          </w:p>
        </w:tc>
        <w:tc>
          <w:tcPr>
            <w:tcW w:w="1275" w:type="dxa"/>
            <w:tcBorders>
              <w:top w:val="single" w:sz="8" w:space="0" w:color="FFFFFF"/>
              <w:left w:val="single" w:sz="8" w:space="0" w:color="FFFFFF"/>
              <w:bottom w:val="single" w:sz="8" w:space="0" w:color="FFFFFF"/>
              <w:right w:val="single" w:sz="8" w:space="0" w:color="FFFFFF"/>
            </w:tcBorders>
            <w:shd w:val="clear" w:color="auto" w:fill="BDD7EE"/>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 </w:t>
            </w:r>
          </w:p>
        </w:tc>
        <w:tc>
          <w:tcPr>
            <w:tcW w:w="1241" w:type="dxa"/>
            <w:tcBorders>
              <w:top w:val="single" w:sz="8" w:space="0" w:color="FFFFFF"/>
              <w:left w:val="single" w:sz="8" w:space="0" w:color="FFFFFF"/>
              <w:bottom w:val="single" w:sz="8" w:space="0" w:color="FFFFFF"/>
              <w:right w:val="single" w:sz="8" w:space="0" w:color="FFFFFF"/>
            </w:tcBorders>
            <w:shd w:val="clear" w:color="auto" w:fill="BDD7EE"/>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 </w:t>
            </w:r>
          </w:p>
        </w:tc>
        <w:tc>
          <w:tcPr>
            <w:tcW w:w="1439" w:type="dxa"/>
            <w:tcBorders>
              <w:top w:val="single" w:sz="8" w:space="0" w:color="FFFFFF"/>
              <w:left w:val="single" w:sz="8" w:space="0" w:color="FFFFFF"/>
              <w:bottom w:val="single" w:sz="8" w:space="0" w:color="FFFFFF"/>
              <w:right w:val="single" w:sz="8" w:space="0" w:color="FFFFFF"/>
            </w:tcBorders>
            <w:shd w:val="clear" w:color="auto" w:fill="BDD7EE"/>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 </w:t>
            </w:r>
          </w:p>
        </w:tc>
      </w:tr>
      <w:tr>
        <w:tblPrEx>
          <w:tblCellMar>
            <w:top w:w="0" w:type="dxa"/>
            <w:left w:w="0" w:type="dxa"/>
            <w:bottom w:w="0" w:type="dxa"/>
            <w:right w:w="0" w:type="dxa"/>
          </w:tblCellMar>
        </w:tblPrEx>
        <w:trPr>
          <w:trHeight w:val="460"/>
          <w:jc w:val="center"/>
        </w:trPr>
        <w:tc>
          <w:tcPr>
            <w:tcW w:w="1076" w:type="dxa"/>
            <w:tcBorders>
              <w:top w:val="single" w:sz="8" w:space="0" w:color="FFFFFF"/>
              <w:left w:val="single" w:sz="8" w:space="0" w:color="FFFFFF"/>
              <w:bottom w:val="single" w:sz="8" w:space="0" w:color="FFFFFF"/>
              <w:right w:val="single" w:sz="8" w:space="0" w:color="FFFFFF"/>
            </w:tcBorders>
            <w:shd w:val="clear" w:color="auto" w:fill="BDD7EE"/>
            <w:tcMar>
              <w:top w:w="80" w:type="dxa"/>
              <w:left w:w="80" w:type="dxa"/>
              <w:bottom w:w="80" w:type="dxa"/>
              <w:right w:w="80" w:type="dxa"/>
            </w:tcMar>
            <w:vAlign w:val="bottom"/>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33</w:t>
            </w:r>
          </w:p>
        </w:tc>
        <w:tc>
          <w:tcPr>
            <w:tcW w:w="2995" w:type="dxa"/>
            <w:tcBorders>
              <w:top w:val="single" w:sz="8" w:space="0" w:color="FFFFFF"/>
              <w:left w:val="single" w:sz="8" w:space="0" w:color="FFFFFF"/>
              <w:bottom w:val="single" w:sz="8" w:space="0" w:color="FFFFFF"/>
              <w:right w:val="single" w:sz="8" w:space="0" w:color="FFFFFF"/>
            </w:tcBorders>
            <w:shd w:val="clear" w:color="auto" w:fill="BDD7EE"/>
            <w:tcMar>
              <w:top w:w="80" w:type="dxa"/>
              <w:left w:w="80" w:type="dxa"/>
              <w:bottom w:w="80" w:type="dxa"/>
              <w:right w:w="80" w:type="dxa"/>
            </w:tcMar>
            <w:vAlign w:val="bottom"/>
          </w:tcPr>
          <w:p>
            <w:pPr>
              <w:pBdr>
                <w:top w:val="nil"/>
                <w:left w:val="nil"/>
                <w:bottom w:val="nil"/>
                <w:right w:val="nil"/>
                <w:between w:val="nil"/>
                <w:bar w:val="nil"/>
              </w:pBdr>
              <w:tabs>
                <w:tab w:val="clear" w:pos="2835"/>
              </w:tabs>
              <w:jc w:val="lef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TRANSFERENCIAS DE CAPITAL</w:t>
            </w:r>
          </w:p>
        </w:tc>
        <w:tc>
          <w:tcPr>
            <w:tcW w:w="1058" w:type="dxa"/>
            <w:tcBorders>
              <w:top w:val="single" w:sz="8" w:space="0" w:color="FFFFFF"/>
              <w:left w:val="single" w:sz="8" w:space="0" w:color="FFFFFF"/>
              <w:bottom w:val="single" w:sz="8" w:space="0" w:color="FFFFFF"/>
              <w:right w:val="single" w:sz="8" w:space="0" w:color="FFFFFF"/>
            </w:tcBorders>
            <w:shd w:val="clear" w:color="auto" w:fill="BDD7EE"/>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 </w:t>
            </w:r>
          </w:p>
        </w:tc>
        <w:tc>
          <w:tcPr>
            <w:tcW w:w="1193" w:type="dxa"/>
            <w:tcBorders>
              <w:top w:val="single" w:sz="8" w:space="0" w:color="FFFFFF"/>
              <w:left w:val="single" w:sz="8" w:space="0" w:color="FFFFFF"/>
              <w:bottom w:val="single" w:sz="8" w:space="0" w:color="FFFFFF"/>
              <w:right w:val="single" w:sz="8" w:space="0" w:color="FFFFFF"/>
            </w:tcBorders>
            <w:shd w:val="clear" w:color="auto" w:fill="BDD7EE"/>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 </w:t>
            </w:r>
          </w:p>
        </w:tc>
        <w:tc>
          <w:tcPr>
            <w:tcW w:w="1275" w:type="dxa"/>
            <w:tcBorders>
              <w:top w:val="single" w:sz="8" w:space="0" w:color="FFFFFF"/>
              <w:left w:val="single" w:sz="8" w:space="0" w:color="FFFFFF"/>
              <w:bottom w:val="single" w:sz="8" w:space="0" w:color="FFFFFF"/>
              <w:right w:val="single" w:sz="8" w:space="0" w:color="FFFFFF"/>
            </w:tcBorders>
            <w:shd w:val="clear" w:color="auto" w:fill="BDD7EE"/>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 </w:t>
            </w:r>
          </w:p>
        </w:tc>
        <w:tc>
          <w:tcPr>
            <w:tcW w:w="1241" w:type="dxa"/>
            <w:tcBorders>
              <w:top w:val="single" w:sz="8" w:space="0" w:color="FFFFFF"/>
              <w:left w:val="single" w:sz="8" w:space="0" w:color="FFFFFF"/>
              <w:bottom w:val="single" w:sz="8" w:space="0" w:color="FFFFFF"/>
              <w:right w:val="single" w:sz="8" w:space="0" w:color="FFFFFF"/>
            </w:tcBorders>
            <w:shd w:val="clear" w:color="auto" w:fill="BDD7EE"/>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 </w:t>
            </w:r>
          </w:p>
        </w:tc>
        <w:tc>
          <w:tcPr>
            <w:tcW w:w="1439" w:type="dxa"/>
            <w:tcBorders>
              <w:top w:val="single" w:sz="8" w:space="0" w:color="FFFFFF"/>
              <w:left w:val="single" w:sz="8" w:space="0" w:color="FFFFFF"/>
              <w:bottom w:val="single" w:sz="8" w:space="0" w:color="FFFFFF"/>
              <w:right w:val="single" w:sz="8" w:space="0" w:color="FFFFFF"/>
            </w:tcBorders>
            <w:shd w:val="clear" w:color="auto" w:fill="BDD7EE"/>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 </w:t>
            </w:r>
          </w:p>
        </w:tc>
      </w:tr>
      <w:tr>
        <w:tblPrEx>
          <w:tblCellMar>
            <w:top w:w="0" w:type="dxa"/>
            <w:left w:w="0" w:type="dxa"/>
            <w:bottom w:w="0" w:type="dxa"/>
            <w:right w:w="0" w:type="dxa"/>
          </w:tblCellMar>
        </w:tblPrEx>
        <w:trPr>
          <w:trHeight w:val="460"/>
          <w:jc w:val="center"/>
        </w:trPr>
        <w:tc>
          <w:tcPr>
            <w:tcW w:w="1076" w:type="dxa"/>
            <w:tcBorders>
              <w:top w:val="single" w:sz="8" w:space="0" w:color="FFFFFF"/>
              <w:left w:val="single" w:sz="8" w:space="0" w:color="FFFFFF"/>
              <w:bottom w:val="single" w:sz="8" w:space="0" w:color="FFFFFF"/>
              <w:right w:val="single" w:sz="8" w:space="0" w:color="FFFFFF"/>
            </w:tcBorders>
            <w:shd w:val="clear" w:color="auto" w:fill="BDD7EE"/>
            <w:tcMar>
              <w:top w:w="80" w:type="dxa"/>
              <w:left w:w="80" w:type="dxa"/>
              <w:bottom w:w="80" w:type="dxa"/>
              <w:right w:w="80" w:type="dxa"/>
            </w:tcMar>
            <w:vAlign w:val="bottom"/>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34</w:t>
            </w:r>
          </w:p>
        </w:tc>
        <w:tc>
          <w:tcPr>
            <w:tcW w:w="2995" w:type="dxa"/>
            <w:tcBorders>
              <w:top w:val="single" w:sz="8" w:space="0" w:color="FFFFFF"/>
              <w:left w:val="single" w:sz="8" w:space="0" w:color="FFFFFF"/>
              <w:bottom w:val="single" w:sz="8" w:space="0" w:color="FFFFFF"/>
              <w:right w:val="single" w:sz="8" w:space="0" w:color="FFFFFF"/>
            </w:tcBorders>
            <w:shd w:val="clear" w:color="auto" w:fill="BDD7EE"/>
            <w:tcMar>
              <w:top w:w="80" w:type="dxa"/>
              <w:left w:w="80" w:type="dxa"/>
              <w:bottom w:w="80" w:type="dxa"/>
              <w:right w:w="80" w:type="dxa"/>
            </w:tcMar>
            <w:vAlign w:val="bottom"/>
          </w:tcPr>
          <w:p>
            <w:pPr>
              <w:pBdr>
                <w:top w:val="nil"/>
                <w:left w:val="nil"/>
                <w:bottom w:val="nil"/>
                <w:right w:val="nil"/>
                <w:between w:val="nil"/>
                <w:bar w:val="nil"/>
              </w:pBdr>
              <w:tabs>
                <w:tab w:val="clear" w:pos="2835"/>
              </w:tabs>
              <w:jc w:val="lef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SERVICIO DE LA DEUDA</w:t>
            </w:r>
          </w:p>
        </w:tc>
        <w:tc>
          <w:tcPr>
            <w:tcW w:w="1058" w:type="dxa"/>
            <w:tcBorders>
              <w:top w:val="single" w:sz="8" w:space="0" w:color="FFFFFF"/>
              <w:left w:val="single" w:sz="8" w:space="0" w:color="FFFFFF"/>
              <w:bottom w:val="single" w:sz="8" w:space="0" w:color="FFFFFF"/>
              <w:right w:val="single" w:sz="8" w:space="0" w:color="FFFFFF"/>
            </w:tcBorders>
            <w:shd w:val="clear" w:color="auto" w:fill="BDD7EE"/>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10</w:t>
            </w:r>
          </w:p>
        </w:tc>
        <w:tc>
          <w:tcPr>
            <w:tcW w:w="1193" w:type="dxa"/>
            <w:tcBorders>
              <w:top w:val="single" w:sz="8" w:space="0" w:color="FFFFFF"/>
              <w:left w:val="single" w:sz="8" w:space="0" w:color="FFFFFF"/>
              <w:bottom w:val="single" w:sz="8" w:space="0" w:color="FFFFFF"/>
              <w:right w:val="single" w:sz="8" w:space="0" w:color="FFFFFF"/>
            </w:tcBorders>
            <w:shd w:val="clear" w:color="auto" w:fill="BDD7EE"/>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7.230.222</w:t>
            </w:r>
          </w:p>
        </w:tc>
        <w:tc>
          <w:tcPr>
            <w:tcW w:w="1275" w:type="dxa"/>
            <w:tcBorders>
              <w:top w:val="single" w:sz="8" w:space="0" w:color="FFFFFF"/>
              <w:left w:val="single" w:sz="8" w:space="0" w:color="FFFFFF"/>
              <w:bottom w:val="single" w:sz="8" w:space="0" w:color="FFFFFF"/>
              <w:right w:val="single" w:sz="8" w:space="0" w:color="FFFFFF"/>
            </w:tcBorders>
            <w:shd w:val="clear" w:color="auto" w:fill="BDD7EE"/>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7.222.129</w:t>
            </w:r>
          </w:p>
        </w:tc>
        <w:tc>
          <w:tcPr>
            <w:tcW w:w="1241" w:type="dxa"/>
            <w:tcBorders>
              <w:top w:val="single" w:sz="8" w:space="0" w:color="FFFFFF"/>
              <w:left w:val="single" w:sz="8" w:space="0" w:color="FFFFFF"/>
              <w:bottom w:val="single" w:sz="8" w:space="0" w:color="FFFFFF"/>
              <w:right w:val="single" w:sz="8" w:space="0" w:color="FFFFFF"/>
            </w:tcBorders>
            <w:shd w:val="clear" w:color="auto" w:fill="BDD7EE"/>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72221290,0%</w:t>
            </w:r>
          </w:p>
        </w:tc>
        <w:tc>
          <w:tcPr>
            <w:tcW w:w="1439" w:type="dxa"/>
            <w:tcBorders>
              <w:top w:val="single" w:sz="8" w:space="0" w:color="FFFFFF"/>
              <w:left w:val="single" w:sz="8" w:space="0" w:color="FFFFFF"/>
              <w:bottom w:val="single" w:sz="8" w:space="0" w:color="FFFFFF"/>
              <w:right w:val="single" w:sz="8" w:space="0" w:color="FFFFFF"/>
            </w:tcBorders>
            <w:shd w:val="clear" w:color="auto" w:fill="BDD7EE"/>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99,9%</w:t>
            </w:r>
          </w:p>
        </w:tc>
      </w:tr>
      <w:tr>
        <w:tblPrEx>
          <w:tblCellMar>
            <w:top w:w="0" w:type="dxa"/>
            <w:left w:w="0" w:type="dxa"/>
            <w:bottom w:w="0" w:type="dxa"/>
            <w:right w:w="0" w:type="dxa"/>
          </w:tblCellMar>
        </w:tblPrEx>
        <w:trPr>
          <w:trHeight w:val="240"/>
          <w:jc w:val="center"/>
        </w:trPr>
        <w:tc>
          <w:tcPr>
            <w:tcW w:w="1076" w:type="dxa"/>
            <w:tcBorders>
              <w:top w:val="single" w:sz="8" w:space="0" w:color="FFFFFF"/>
              <w:left w:val="single" w:sz="8" w:space="0" w:color="FFFFFF"/>
              <w:bottom w:val="single" w:sz="8" w:space="0" w:color="FFFFFF"/>
              <w:right w:val="single" w:sz="8" w:space="0" w:color="FFFFFF"/>
            </w:tcBorders>
            <w:shd w:val="clear" w:color="auto" w:fill="BDD7EE"/>
            <w:tcMar>
              <w:top w:w="80" w:type="dxa"/>
              <w:left w:w="80" w:type="dxa"/>
              <w:bottom w:w="80" w:type="dxa"/>
              <w:right w:w="80" w:type="dxa"/>
            </w:tcMar>
            <w:vAlign w:val="bottom"/>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35</w:t>
            </w:r>
          </w:p>
        </w:tc>
        <w:tc>
          <w:tcPr>
            <w:tcW w:w="2995" w:type="dxa"/>
            <w:tcBorders>
              <w:top w:val="single" w:sz="8" w:space="0" w:color="FFFFFF"/>
              <w:left w:val="single" w:sz="8" w:space="0" w:color="FFFFFF"/>
              <w:bottom w:val="single" w:sz="8" w:space="0" w:color="FFFFFF"/>
              <w:right w:val="single" w:sz="8" w:space="0" w:color="FFFFFF"/>
            </w:tcBorders>
            <w:shd w:val="clear" w:color="auto" w:fill="BDD7EE"/>
            <w:tcMar>
              <w:top w:w="80" w:type="dxa"/>
              <w:left w:w="80" w:type="dxa"/>
              <w:bottom w:w="80" w:type="dxa"/>
              <w:right w:w="80" w:type="dxa"/>
            </w:tcMar>
            <w:vAlign w:val="bottom"/>
          </w:tcPr>
          <w:p>
            <w:pPr>
              <w:pBdr>
                <w:top w:val="nil"/>
                <w:left w:val="nil"/>
                <w:bottom w:val="nil"/>
                <w:right w:val="nil"/>
                <w:between w:val="nil"/>
                <w:bar w:val="nil"/>
              </w:pBdr>
              <w:tabs>
                <w:tab w:val="clear" w:pos="2835"/>
              </w:tabs>
              <w:jc w:val="lef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SALDO FINAL DE CAJA</w:t>
            </w:r>
          </w:p>
        </w:tc>
        <w:tc>
          <w:tcPr>
            <w:tcW w:w="1058" w:type="dxa"/>
            <w:tcBorders>
              <w:top w:val="single" w:sz="8" w:space="0" w:color="FFFFFF"/>
              <w:left w:val="single" w:sz="8" w:space="0" w:color="FFFFFF"/>
              <w:bottom w:val="single" w:sz="8" w:space="0" w:color="FFFFFF"/>
              <w:right w:val="single" w:sz="8" w:space="0" w:color="FFFFFF"/>
            </w:tcBorders>
            <w:shd w:val="clear" w:color="auto" w:fill="BDD7EE"/>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 </w:t>
            </w:r>
          </w:p>
        </w:tc>
        <w:tc>
          <w:tcPr>
            <w:tcW w:w="1193" w:type="dxa"/>
            <w:tcBorders>
              <w:top w:val="single" w:sz="8" w:space="0" w:color="FFFFFF"/>
              <w:left w:val="single" w:sz="8" w:space="0" w:color="FFFFFF"/>
              <w:bottom w:val="single" w:sz="8" w:space="0" w:color="FFFFFF"/>
              <w:right w:val="single" w:sz="8" w:space="0" w:color="FFFFFF"/>
            </w:tcBorders>
            <w:shd w:val="clear" w:color="auto" w:fill="BDD7EE"/>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 </w:t>
            </w:r>
          </w:p>
        </w:tc>
        <w:tc>
          <w:tcPr>
            <w:tcW w:w="1275" w:type="dxa"/>
            <w:tcBorders>
              <w:top w:val="single" w:sz="8" w:space="0" w:color="FFFFFF"/>
              <w:left w:val="single" w:sz="8" w:space="0" w:color="FFFFFF"/>
              <w:bottom w:val="single" w:sz="8" w:space="0" w:color="FFFFFF"/>
              <w:right w:val="single" w:sz="8" w:space="0" w:color="FFFFFF"/>
            </w:tcBorders>
            <w:shd w:val="clear" w:color="auto" w:fill="BDD7EE"/>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 </w:t>
            </w:r>
          </w:p>
        </w:tc>
        <w:tc>
          <w:tcPr>
            <w:tcW w:w="1241" w:type="dxa"/>
            <w:tcBorders>
              <w:top w:val="single" w:sz="8" w:space="0" w:color="FFFFFF"/>
              <w:left w:val="single" w:sz="8" w:space="0" w:color="FFFFFF"/>
              <w:bottom w:val="single" w:sz="8" w:space="0" w:color="FFFFFF"/>
              <w:right w:val="single" w:sz="8" w:space="0" w:color="FFFFFF"/>
            </w:tcBorders>
            <w:shd w:val="clear" w:color="auto" w:fill="BDD7EE"/>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 </w:t>
            </w:r>
          </w:p>
        </w:tc>
        <w:tc>
          <w:tcPr>
            <w:tcW w:w="1439" w:type="dxa"/>
            <w:tcBorders>
              <w:top w:val="single" w:sz="8" w:space="0" w:color="FFFFFF"/>
              <w:left w:val="single" w:sz="8" w:space="0" w:color="FFFFFF"/>
              <w:bottom w:val="single" w:sz="8" w:space="0" w:color="FFFFFF"/>
              <w:right w:val="single" w:sz="8" w:space="0" w:color="FFFFFF"/>
            </w:tcBorders>
            <w:shd w:val="clear" w:color="auto" w:fill="BDD7EE"/>
            <w:tcMar>
              <w:top w:w="80" w:type="dxa"/>
              <w:left w:w="80" w:type="dxa"/>
              <w:bottom w:w="80" w:type="dxa"/>
              <w:right w:w="80" w:type="dxa"/>
            </w:tcMar>
            <w:vAlign w:val="center"/>
          </w:tcPr>
          <w:p>
            <w:pPr>
              <w:pBdr>
                <w:top w:val="nil"/>
                <w:left w:val="nil"/>
                <w:bottom w:val="nil"/>
                <w:right w:val="nil"/>
                <w:between w:val="nil"/>
                <w:bar w:val="nil"/>
              </w:pBdr>
              <w:tabs>
                <w:tab w:val="clear" w:pos="2835"/>
              </w:tabs>
              <w:jc w:val="right"/>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 </w:t>
            </w:r>
          </w:p>
        </w:tc>
      </w:tr>
    </w:tbl>
    <w:p>
      <w:pPr>
        <w:widowControl w:val="0"/>
        <w:pBdr>
          <w:top w:val="nil"/>
          <w:left w:val="nil"/>
          <w:bottom w:val="nil"/>
          <w:right w:val="nil"/>
          <w:between w:val="nil"/>
          <w:bar w:val="nil"/>
        </w:pBdr>
        <w:rPr>
          <w:rFonts w:eastAsia="Arial"/>
          <w:b w:val="0"/>
          <w:color w:val="000000"/>
          <w:u w:color="000000"/>
          <w:bdr w:val="nil"/>
          <w:lang w:val="es-ES_tradnl" w:eastAsia="es-CL"/>
        </w:rPr>
      </w:pPr>
      <w:r>
        <w:rPr>
          <w:rFonts w:eastAsia="Arial"/>
          <w:b w:val="0"/>
          <w:color w:val="000000"/>
          <w:u w:color="000000"/>
          <w:bdr w:val="nil"/>
          <w:lang w:val="es-ES_tradnl" w:eastAsia="es-CL"/>
        </w:rPr>
        <w:tab/>
      </w:r>
    </w:p>
    <w:p>
      <w:pPr>
        <w:widowControl w:val="0"/>
        <w:pBdr>
          <w:top w:val="nil"/>
          <w:left w:val="nil"/>
          <w:bottom w:val="nil"/>
          <w:right w:val="nil"/>
          <w:between w:val="nil"/>
          <w:bar w:val="nil"/>
        </w:pBdr>
        <w:rPr>
          <w:rFonts w:eastAsia="Arial"/>
          <w:b w:val="0"/>
          <w:color w:val="000000"/>
          <w:u w:color="000000"/>
          <w:bdr w:val="nil"/>
          <w:lang w:val="es-ES_tradnl" w:eastAsia="es-CL"/>
        </w:rPr>
      </w:pPr>
      <w:r>
        <w:rPr>
          <w:rFonts w:eastAsia="Arial"/>
          <w:b w:val="0"/>
          <w:color w:val="000000"/>
          <w:u w:color="000000"/>
          <w:bdr w:val="nil"/>
          <w:lang w:val="es-ES_tradnl" w:eastAsia="es-CL"/>
        </w:rPr>
        <w:tab/>
        <w:t>Por último, y a modo de anexo a su presentación, describió sintéticamente, del siguiente modo, el Plan de Gestión de Cumplimiento Tributario del presente año, así como las estrategias asociadas al mismo.</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jc w:val="center"/>
        <w:rPr>
          <w:rFonts w:eastAsia="Arial"/>
          <w:b w:val="0"/>
          <w:color w:val="000000"/>
          <w:u w:color="000000"/>
          <w:bdr w:val="nil"/>
          <w:lang w:val="es-ES_tradnl" w:eastAsia="es-CL"/>
        </w:rPr>
      </w:pPr>
      <w:r>
        <w:rPr>
          <w:rFonts w:eastAsia="Arial Unicode MS" w:cs="Arial Unicode MS"/>
          <w:bCs/>
          <w:color w:val="000000"/>
          <w:u w:color="000000"/>
          <w:bdr w:val="nil"/>
          <w:lang w:val="es-ES_tradnl" w:eastAsia="es-CL"/>
        </w:rPr>
        <w:t>Plan de Gestión de Cumplimiento Tributario 2016</w:t>
      </w:r>
    </w:p>
    <w:p>
      <w:pPr>
        <w:pBdr>
          <w:top w:val="nil"/>
          <w:left w:val="nil"/>
          <w:bottom w:val="nil"/>
          <w:right w:val="nil"/>
          <w:between w:val="nil"/>
          <w:bar w:val="nil"/>
        </w:pBdr>
        <w:rPr>
          <w:rFonts w:eastAsia="Arial Unicode MS" w:cs="Arial Unicode MS"/>
          <w:bCs/>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Cs/>
          <w:color w:val="000000"/>
          <w:u w:color="000000"/>
          <w:bdr w:val="nil"/>
          <w:lang w:val="es-ES_tradnl" w:eastAsia="es-CL"/>
        </w:rPr>
        <w:tab/>
        <w:t>- Estrategias:</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Unicode MS" w:cs="Arial Unicode MS"/>
          <w:b w:val="0"/>
          <w:color w:val="000000"/>
          <w:u w:color="000000"/>
          <w:bdr w:val="nil"/>
          <w:lang w:val="es-ES_tradnl" w:eastAsia="es-CL"/>
        </w:rPr>
      </w:pPr>
      <w:r>
        <w:rPr>
          <w:rFonts w:eastAsia="Arial Unicode MS" w:cs="Arial Unicode MS"/>
          <w:b w:val="0"/>
          <w:color w:val="000000"/>
          <w:u w:color="000000"/>
          <w:bdr w:val="nil"/>
          <w:lang w:val="es-ES_tradnl" w:eastAsia="es-CL"/>
        </w:rPr>
        <w:tab/>
        <w:t>- Estrategia integral en el IVA.</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Unicode MS" w:cs="Arial Unicode MS"/>
          <w:b w:val="0"/>
          <w:color w:val="000000"/>
          <w:u w:color="000000"/>
          <w:bdr w:val="nil"/>
          <w:lang w:val="es-ES_tradnl" w:eastAsia="es-CL"/>
        </w:rPr>
      </w:pPr>
      <w:r>
        <w:rPr>
          <w:rFonts w:eastAsia="Arial Unicode MS" w:cs="Arial Unicode MS"/>
          <w:b w:val="0"/>
          <w:color w:val="000000"/>
          <w:u w:color="000000"/>
          <w:bdr w:val="nil"/>
          <w:lang w:val="es-ES_tradnl" w:eastAsia="es-CL"/>
        </w:rPr>
        <w:tab/>
        <w:t>- Estrategia integral en la Renta.</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Unicode MS" w:cs="Arial Unicode MS"/>
          <w:b w:val="0"/>
          <w:color w:val="000000"/>
          <w:u w:color="000000"/>
          <w:bdr w:val="nil"/>
          <w:lang w:val="es-ES_tradnl" w:eastAsia="es-CL"/>
        </w:rPr>
      </w:pPr>
      <w:r>
        <w:rPr>
          <w:rFonts w:eastAsia="Arial Unicode MS" w:cs="Arial Unicode MS"/>
          <w:b w:val="0"/>
          <w:color w:val="000000"/>
          <w:u w:color="000000"/>
          <w:bdr w:val="nil"/>
          <w:lang w:val="es-ES_tradnl" w:eastAsia="es-CL"/>
        </w:rPr>
        <w:tab/>
        <w:t>- Estrategia en la fiscalización internacional.</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Unicode MS" w:cs="Arial Unicode MS"/>
          <w:b w:val="0"/>
          <w:color w:val="000000"/>
          <w:u w:color="000000"/>
          <w:bdr w:val="nil"/>
          <w:lang w:val="es-ES_tradnl" w:eastAsia="es-CL"/>
        </w:rPr>
      </w:pPr>
      <w:r>
        <w:rPr>
          <w:rFonts w:eastAsia="Arial Unicode MS" w:cs="Arial Unicode MS"/>
          <w:b w:val="0"/>
          <w:color w:val="000000"/>
          <w:u w:color="000000"/>
          <w:bdr w:val="nil"/>
          <w:lang w:val="es-ES_tradnl" w:eastAsia="es-CL"/>
        </w:rPr>
        <w:tab/>
        <w:t>- Estrategias para segmentos específicos.</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Unicode MS" w:cs="Arial Unicode MS"/>
          <w:b w:val="0"/>
          <w:color w:val="000000"/>
          <w:u w:color="000000"/>
          <w:bdr w:val="nil"/>
          <w:lang w:val="es-ES_tradnl" w:eastAsia="es-CL"/>
        </w:rPr>
      </w:pPr>
      <w:r>
        <w:rPr>
          <w:rFonts w:eastAsia="Arial Unicode MS" w:cs="Arial Unicode MS"/>
          <w:b w:val="0"/>
          <w:color w:val="000000"/>
          <w:u w:color="000000"/>
          <w:bdr w:val="nil"/>
          <w:lang w:val="es-ES_tradnl" w:eastAsia="es-CL"/>
        </w:rPr>
        <w:tab/>
        <w:t>- Estrategias regionales.</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 Estrategia para el comportamiento agresivo.</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Unicode MS" w:cs="Arial Unicode MS"/>
          <w:bCs/>
          <w:color w:val="000000"/>
          <w:u w:color="000000"/>
          <w:bdr w:val="nil"/>
          <w:lang w:val="es-ES_tradnl" w:eastAsia="es-CL"/>
        </w:rPr>
      </w:pPr>
      <w:r>
        <w:rPr>
          <w:rFonts w:eastAsia="Arial Unicode MS" w:cs="Arial Unicode MS"/>
          <w:bCs/>
          <w:color w:val="000000"/>
          <w:u w:color="000000"/>
          <w:bdr w:val="nil"/>
          <w:lang w:val="es-ES_tradnl" w:eastAsia="es-CL"/>
        </w:rPr>
        <w:tab/>
        <w:t>a. Estrategia integral en el IVA</w:t>
      </w:r>
    </w:p>
    <w:p>
      <w:pPr>
        <w:pBdr>
          <w:top w:val="nil"/>
          <w:left w:val="nil"/>
          <w:bottom w:val="nil"/>
          <w:right w:val="nil"/>
          <w:between w:val="nil"/>
          <w:bar w:val="nil"/>
        </w:pBdr>
        <w:rPr>
          <w:rFonts w:eastAsia="Arial"/>
          <w:bCs/>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 Control subdeclarante de IVA y no declarantes.</w:t>
      </w:r>
    </w:p>
    <w:p>
      <w:pPr>
        <w:pBdr>
          <w:top w:val="nil"/>
          <w:left w:val="nil"/>
          <w:bottom w:val="nil"/>
          <w:right w:val="nil"/>
          <w:between w:val="nil"/>
          <w:bar w:val="nil"/>
        </w:pBdr>
        <w:rPr>
          <w:rFonts w:eastAsia="Arial Unicode MS" w:cs="Arial Unicode MS"/>
          <w:b w:val="0"/>
          <w:color w:val="000000"/>
          <w:u w:color="000000"/>
          <w:bdr w:val="nil"/>
          <w:lang w:val="es-ES_tradnl" w:eastAsia="es-CL"/>
        </w:rPr>
      </w:pPr>
    </w:p>
    <w:p>
      <w:pPr>
        <w:pBdr>
          <w:top w:val="nil"/>
          <w:left w:val="nil"/>
          <w:bottom w:val="nil"/>
          <w:right w:val="nil"/>
          <w:between w:val="nil"/>
          <w:bar w:val="nil"/>
        </w:pBdr>
        <w:rPr>
          <w:rFonts w:eastAsia="Arial Unicode MS" w:cs="Arial Unicode MS"/>
          <w:b w:val="0"/>
          <w:color w:val="000000"/>
          <w:u w:color="000000"/>
          <w:bdr w:val="nil"/>
          <w:lang w:val="es-ES_tradnl" w:eastAsia="es-CL"/>
        </w:rPr>
      </w:pPr>
      <w:r>
        <w:rPr>
          <w:rFonts w:eastAsia="Arial Unicode MS" w:cs="Arial Unicode MS"/>
          <w:b w:val="0"/>
          <w:color w:val="000000"/>
          <w:u w:color="000000"/>
          <w:bdr w:val="nil"/>
          <w:lang w:val="es-ES_tradnl" w:eastAsia="es-CL"/>
        </w:rPr>
        <w:tab/>
        <w:t>- Control  Comercio Informal.</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Unicode MS" w:cs="Arial Unicode MS"/>
          <w:b w:val="0"/>
          <w:color w:val="000000"/>
          <w:u w:color="000000"/>
          <w:bdr w:val="nil"/>
          <w:lang w:val="es-ES_tradnl" w:eastAsia="es-CL"/>
        </w:rPr>
      </w:pPr>
      <w:r>
        <w:rPr>
          <w:rFonts w:eastAsia="Arial Unicode MS" w:cs="Arial Unicode MS"/>
          <w:b w:val="0"/>
          <w:color w:val="000000"/>
          <w:u w:color="000000"/>
          <w:bdr w:val="nil"/>
          <w:lang w:val="es-ES_tradnl" w:eastAsia="es-CL"/>
        </w:rPr>
        <w:tab/>
        <w:t>- Control de la emisión de documentos tributarios electrónicos.</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Unicode MS" w:cs="Arial Unicode MS"/>
          <w:b w:val="0"/>
          <w:color w:val="000000"/>
          <w:u w:color="000000"/>
          <w:bdr w:val="nil"/>
          <w:lang w:val="es-ES_tradnl" w:eastAsia="es-CL"/>
        </w:rPr>
      </w:pPr>
      <w:r>
        <w:rPr>
          <w:rFonts w:eastAsia="Arial Unicode MS" w:cs="Arial Unicode MS"/>
          <w:b w:val="0"/>
          <w:color w:val="000000"/>
          <w:u w:color="000000"/>
          <w:bdr w:val="nil"/>
          <w:lang w:val="es-ES_tradnl" w:eastAsia="es-CL"/>
        </w:rPr>
        <w:tab/>
        <w:t>- Cambio de Sujeto. Ampliación del universo de agentes retenedores.</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Unicode MS" w:cs="Arial Unicode MS"/>
          <w:b w:val="0"/>
          <w:color w:val="000000"/>
          <w:u w:color="000000"/>
          <w:bdr w:val="nil"/>
          <w:lang w:val="es-ES_tradnl" w:eastAsia="es-CL"/>
        </w:rPr>
      </w:pPr>
      <w:r>
        <w:rPr>
          <w:rFonts w:eastAsia="Arial Unicode MS" w:cs="Arial Unicode MS"/>
          <w:b w:val="0"/>
          <w:color w:val="000000"/>
          <w:u w:color="000000"/>
          <w:bdr w:val="nil"/>
          <w:lang w:val="es-ES_tradnl" w:eastAsia="es-CL"/>
        </w:rPr>
        <w:tab/>
        <w:t>- Control de compras en supermercados y comercios similares.</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 Revisiones aleatorias del Comercio Minorista.</w:t>
      </w:r>
    </w:p>
    <w:p>
      <w:pPr>
        <w:pBdr>
          <w:top w:val="nil"/>
          <w:left w:val="nil"/>
          <w:bottom w:val="nil"/>
          <w:right w:val="nil"/>
          <w:between w:val="nil"/>
          <w:bar w:val="nil"/>
        </w:pBdr>
        <w:rPr>
          <w:rFonts w:eastAsia="Arial Unicode MS" w:cs="Arial Unicode MS"/>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 Control de expendedoras de combustibles.</w:t>
      </w:r>
    </w:p>
    <w:p>
      <w:pPr>
        <w:pBdr>
          <w:top w:val="nil"/>
          <w:left w:val="nil"/>
          <w:bottom w:val="nil"/>
          <w:right w:val="nil"/>
          <w:between w:val="nil"/>
          <w:bar w:val="nil"/>
        </w:pBdr>
        <w:rPr>
          <w:rFonts w:eastAsia="Arial Unicode MS" w:cs="Arial Unicode MS"/>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 Control de contribuyentes deudores por postergación del pago del IVA</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Unicode MS" w:cs="Arial Unicode MS"/>
          <w:bCs/>
          <w:color w:val="000000"/>
          <w:u w:color="000000"/>
          <w:bdr w:val="nil"/>
          <w:lang w:val="es-ES_tradnl" w:eastAsia="es-CL"/>
        </w:rPr>
      </w:pPr>
      <w:r>
        <w:rPr>
          <w:rFonts w:eastAsia="Arial Unicode MS" w:cs="Arial Unicode MS"/>
          <w:bCs/>
          <w:color w:val="000000"/>
          <w:u w:color="000000"/>
          <w:bdr w:val="nil"/>
          <w:lang w:val="es-ES_tradnl" w:eastAsia="es-CL"/>
        </w:rPr>
        <w:tab/>
        <w:t>b. Estrategia integral en la Renta</w:t>
      </w:r>
    </w:p>
    <w:p>
      <w:pPr>
        <w:pBdr>
          <w:top w:val="nil"/>
          <w:left w:val="nil"/>
          <w:bottom w:val="nil"/>
          <w:right w:val="nil"/>
          <w:between w:val="nil"/>
          <w:bar w:val="nil"/>
        </w:pBdr>
        <w:rPr>
          <w:rFonts w:eastAsia="Arial"/>
          <w:bCs/>
          <w:color w:val="000000"/>
          <w:u w:color="000000"/>
          <w:bdr w:val="nil"/>
          <w:lang w:val="es-ES_tradnl" w:eastAsia="es-CL"/>
        </w:rPr>
      </w:pPr>
    </w:p>
    <w:p>
      <w:pPr>
        <w:pBdr>
          <w:top w:val="nil"/>
          <w:left w:val="nil"/>
          <w:bottom w:val="nil"/>
          <w:right w:val="nil"/>
          <w:between w:val="nil"/>
          <w:bar w:val="nil"/>
        </w:pBdr>
        <w:rPr>
          <w:rFonts w:eastAsia="Arial Unicode MS" w:cs="Arial Unicode MS"/>
          <w:b w:val="0"/>
          <w:color w:val="000000"/>
          <w:u w:color="000000"/>
          <w:bdr w:val="nil"/>
          <w:lang w:val="es-ES_tradnl" w:eastAsia="es-CL"/>
        </w:rPr>
      </w:pPr>
      <w:r>
        <w:rPr>
          <w:rFonts w:eastAsia="Arial Unicode MS" w:cs="Arial Unicode MS"/>
          <w:b w:val="0"/>
          <w:color w:val="000000"/>
          <w:u w:color="000000"/>
          <w:bdr w:val="nil"/>
          <w:lang w:val="es-ES_tradnl" w:eastAsia="es-CL"/>
        </w:rPr>
        <w:tab/>
        <w:t>- Plan integral para el control del FUT histórico.</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Unicode MS" w:cs="Arial Unicode MS"/>
          <w:b w:val="0"/>
          <w:color w:val="000000"/>
          <w:u w:color="000000"/>
          <w:bdr w:val="nil"/>
          <w:lang w:val="es-ES_tradnl" w:eastAsia="es-CL"/>
        </w:rPr>
      </w:pPr>
      <w:r>
        <w:rPr>
          <w:rFonts w:eastAsia="Arial Unicode MS" w:cs="Arial Unicode MS"/>
          <w:b w:val="0"/>
          <w:color w:val="000000"/>
          <w:u w:color="000000"/>
          <w:bdr w:val="nil"/>
          <w:lang w:val="es-ES_tradnl" w:eastAsia="es-CL"/>
        </w:rPr>
        <w:tab/>
        <w:t>- Control de boletas de honorarios y facturas exentas.</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Unicode MS" w:cs="Arial Unicode MS"/>
          <w:b w:val="0"/>
          <w:color w:val="000000"/>
          <w:u w:color="000000"/>
          <w:bdr w:val="nil"/>
          <w:lang w:val="es-ES_tradnl" w:eastAsia="es-CL"/>
        </w:rPr>
      </w:pPr>
      <w:r>
        <w:rPr>
          <w:rFonts w:eastAsia="Arial Unicode MS" w:cs="Arial Unicode MS"/>
          <w:b w:val="0"/>
          <w:color w:val="000000"/>
          <w:u w:color="000000"/>
          <w:bdr w:val="nil"/>
          <w:lang w:val="es-ES_tradnl" w:eastAsia="es-CL"/>
        </w:rPr>
        <w:tab/>
        <w:t>- Estrategia sobre rentas originadas en Instrumentos Financieros.</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 Acciones preventivas para la correcta presentación de Declaraciones Juradas y Formulario 22.</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Unicode MS" w:cs="Arial Unicode MS"/>
          <w:bCs/>
          <w:color w:val="000000"/>
          <w:u w:color="000000"/>
          <w:bdr w:val="nil"/>
          <w:lang w:val="es-ES_tradnl" w:eastAsia="es-CL"/>
        </w:rPr>
      </w:pPr>
      <w:r>
        <w:rPr>
          <w:rFonts w:eastAsia="Arial Unicode MS" w:cs="Arial Unicode MS"/>
          <w:bCs/>
          <w:color w:val="000000"/>
          <w:u w:color="000000"/>
          <w:bdr w:val="nil"/>
          <w:lang w:val="es-ES_tradnl" w:eastAsia="es-CL"/>
        </w:rPr>
        <w:tab/>
        <w:t>c. Estrategia en la fiscalización internacional</w:t>
      </w:r>
    </w:p>
    <w:p>
      <w:pPr>
        <w:pBdr>
          <w:top w:val="nil"/>
          <w:left w:val="nil"/>
          <w:bottom w:val="nil"/>
          <w:right w:val="nil"/>
          <w:between w:val="nil"/>
          <w:bar w:val="nil"/>
        </w:pBdr>
        <w:rPr>
          <w:rFonts w:eastAsia="Arial"/>
          <w:bCs/>
          <w:color w:val="000000"/>
          <w:u w:color="000000"/>
          <w:bdr w:val="nil"/>
          <w:lang w:val="es-ES_tradnl" w:eastAsia="es-CL"/>
        </w:rPr>
      </w:pPr>
    </w:p>
    <w:p>
      <w:pPr>
        <w:pBdr>
          <w:top w:val="nil"/>
          <w:left w:val="nil"/>
          <w:bottom w:val="nil"/>
          <w:right w:val="nil"/>
          <w:between w:val="nil"/>
          <w:bar w:val="nil"/>
        </w:pBdr>
        <w:rPr>
          <w:rFonts w:eastAsia="Arial Unicode MS" w:cs="Arial Unicode MS"/>
          <w:b w:val="0"/>
          <w:color w:val="000000"/>
          <w:u w:color="000000"/>
          <w:bdr w:val="nil"/>
          <w:lang w:val="es-ES_tradnl" w:eastAsia="es-CL"/>
        </w:rPr>
      </w:pPr>
      <w:r>
        <w:rPr>
          <w:rFonts w:eastAsia="Arial Unicode MS" w:cs="Arial Unicode MS"/>
          <w:b w:val="0"/>
          <w:color w:val="000000"/>
          <w:u w:color="000000"/>
          <w:bdr w:val="nil"/>
          <w:lang w:val="es-ES_tradnl" w:eastAsia="es-CL"/>
        </w:rPr>
        <w:tab/>
        <w:t>- Control de Comercio internacional (exportadores / importadores).</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Unicode MS" w:cs="Arial Unicode MS"/>
          <w:b w:val="0"/>
          <w:color w:val="000000"/>
          <w:u w:color="000000"/>
          <w:bdr w:val="nil"/>
          <w:lang w:val="es-ES_tradnl" w:eastAsia="es-CL"/>
        </w:rPr>
      </w:pPr>
      <w:r>
        <w:rPr>
          <w:rFonts w:eastAsia="Arial Unicode MS" w:cs="Arial Unicode MS"/>
          <w:b w:val="0"/>
          <w:color w:val="000000"/>
          <w:u w:color="000000"/>
          <w:bdr w:val="nil"/>
          <w:lang w:val="es-ES_tradnl" w:eastAsia="es-CL"/>
        </w:rPr>
        <w:tab/>
        <w:t>- Seguimiento y control de contribuyentes con operaciones en el exterior.</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 xml:space="preserve">- Análisis sobre empresas relacionadas extranjeras (BEPS). </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Cs/>
          <w:color w:val="000000"/>
          <w:u w:color="000000"/>
          <w:bdr w:val="nil"/>
          <w:lang w:val="es-ES_tradnl" w:eastAsia="es-CL"/>
        </w:rPr>
      </w:pPr>
      <w:r>
        <w:rPr>
          <w:rFonts w:eastAsia="Arial Unicode MS" w:cs="Arial Unicode MS"/>
          <w:bCs/>
          <w:color w:val="000000"/>
          <w:u w:color="000000"/>
          <w:bdr w:val="nil"/>
          <w:lang w:val="es-ES_tradnl" w:eastAsia="es-CL"/>
        </w:rPr>
        <w:tab/>
        <w:t>d. Estrategias para segmentos específicos</w:t>
      </w:r>
    </w:p>
    <w:p>
      <w:pPr>
        <w:pBdr>
          <w:top w:val="nil"/>
          <w:left w:val="nil"/>
          <w:bottom w:val="nil"/>
          <w:right w:val="nil"/>
          <w:between w:val="nil"/>
          <w:bar w:val="nil"/>
        </w:pBdr>
        <w:rPr>
          <w:rFonts w:eastAsia="Arial Unicode MS" w:cs="Arial Unicode MS"/>
          <w:b w:val="0"/>
          <w:color w:val="000000"/>
          <w:u w:color="000000"/>
          <w:bdr w:val="nil"/>
          <w:lang w:val="es-ES_tradnl" w:eastAsia="es-CL"/>
        </w:rPr>
      </w:pPr>
    </w:p>
    <w:p>
      <w:pPr>
        <w:pBdr>
          <w:top w:val="nil"/>
          <w:left w:val="nil"/>
          <w:bottom w:val="nil"/>
          <w:right w:val="nil"/>
          <w:between w:val="nil"/>
          <w:bar w:val="nil"/>
        </w:pBdr>
        <w:rPr>
          <w:rFonts w:eastAsia="Arial Unicode MS" w:cs="Arial Unicode MS"/>
          <w:b w:val="0"/>
          <w:color w:val="000000"/>
          <w:u w:color="000000"/>
          <w:bdr w:val="nil"/>
          <w:lang w:val="es-ES_tradnl" w:eastAsia="es-CL"/>
        </w:rPr>
      </w:pPr>
      <w:r>
        <w:rPr>
          <w:rFonts w:eastAsia="Arial Unicode MS" w:cs="Arial Unicode MS"/>
          <w:b w:val="0"/>
          <w:color w:val="000000"/>
          <w:u w:color="000000"/>
          <w:bdr w:val="nil"/>
          <w:lang w:val="es-ES_tradnl" w:eastAsia="es-CL"/>
        </w:rPr>
        <w:tab/>
        <w:t>- Caracterización y seguimiento de Grupos Económicos.</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 Segmento personas naturales de alto patrimonio.</w:t>
      </w:r>
    </w:p>
    <w:p>
      <w:pPr>
        <w:pBdr>
          <w:top w:val="nil"/>
          <w:left w:val="nil"/>
          <w:bottom w:val="nil"/>
          <w:right w:val="nil"/>
          <w:between w:val="nil"/>
          <w:bar w:val="nil"/>
        </w:pBdr>
        <w:rPr>
          <w:rFonts w:eastAsia="Arial Unicode MS" w:cs="Arial Unicode MS"/>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 Control del Impuesto a las Herencia y Donaciones.</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Cs/>
          <w:color w:val="000000"/>
          <w:u w:color="000000"/>
          <w:bdr w:val="nil"/>
          <w:lang w:val="es-ES_tradnl" w:eastAsia="es-CL"/>
        </w:rPr>
      </w:pPr>
      <w:r>
        <w:rPr>
          <w:rFonts w:eastAsia="Arial Unicode MS" w:cs="Arial Unicode MS"/>
          <w:bCs/>
          <w:color w:val="000000"/>
          <w:u w:color="000000"/>
          <w:bdr w:val="nil"/>
          <w:lang w:val="es-ES_tradnl" w:eastAsia="es-CL"/>
        </w:rPr>
        <w:tab/>
        <w:t>e. Estrategias regionales</w:t>
      </w:r>
    </w:p>
    <w:p>
      <w:pPr>
        <w:pBdr>
          <w:top w:val="nil"/>
          <w:left w:val="nil"/>
          <w:bottom w:val="nil"/>
          <w:right w:val="nil"/>
          <w:between w:val="nil"/>
          <w:bar w:val="nil"/>
        </w:pBdr>
        <w:rPr>
          <w:rFonts w:eastAsia="Arial Unicode MS" w:cs="Arial Unicode MS"/>
          <w:b w:val="0"/>
          <w:color w:val="000000"/>
          <w:u w:color="000000"/>
          <w:bdr w:val="nil"/>
          <w:lang w:val="es-ES_tradnl" w:eastAsia="es-CL"/>
        </w:rPr>
      </w:pPr>
    </w:p>
    <w:p>
      <w:pPr>
        <w:pBdr>
          <w:top w:val="nil"/>
          <w:left w:val="nil"/>
          <w:bottom w:val="nil"/>
          <w:right w:val="nil"/>
          <w:between w:val="nil"/>
          <w:bar w:val="nil"/>
        </w:pBdr>
        <w:rPr>
          <w:rFonts w:eastAsia="Arial Unicode MS" w:cs="Arial Unicode MS"/>
          <w:b w:val="0"/>
          <w:color w:val="000000"/>
          <w:u w:color="000000"/>
          <w:bdr w:val="nil"/>
          <w:lang w:val="es-ES_tradnl" w:eastAsia="es-CL"/>
        </w:rPr>
      </w:pPr>
      <w:r>
        <w:rPr>
          <w:rFonts w:eastAsia="Arial Unicode MS" w:cs="Arial Unicode MS"/>
          <w:b w:val="0"/>
          <w:color w:val="000000"/>
          <w:u w:color="000000"/>
          <w:bdr w:val="nil"/>
          <w:lang w:val="es-ES_tradnl" w:eastAsia="es-CL"/>
        </w:rPr>
        <w:tab/>
        <w:t>- Caracterización de Segmentos Regionales año 2016.</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 Aplicación de tratamientos a Segmentos Regionales caracterizados el año 2015.</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Cs/>
          <w:color w:val="000000"/>
          <w:u w:color="000000"/>
          <w:bdr w:val="nil"/>
          <w:lang w:val="es-ES_tradnl" w:eastAsia="es-CL"/>
        </w:rPr>
      </w:pPr>
      <w:r>
        <w:rPr>
          <w:rFonts w:eastAsia="Arial Unicode MS" w:cs="Arial Unicode MS"/>
          <w:bCs/>
          <w:color w:val="000000"/>
          <w:u w:color="000000"/>
          <w:bdr w:val="nil"/>
          <w:lang w:val="es-ES_tradnl" w:eastAsia="es-CL"/>
        </w:rPr>
        <w:tab/>
        <w:t>f. Estrategia para el comportamiento agresivo</w:t>
      </w:r>
    </w:p>
    <w:p>
      <w:pPr>
        <w:pBdr>
          <w:top w:val="nil"/>
          <w:left w:val="nil"/>
          <w:bottom w:val="nil"/>
          <w:right w:val="nil"/>
          <w:between w:val="nil"/>
          <w:bar w:val="nil"/>
        </w:pBdr>
        <w:rPr>
          <w:rFonts w:eastAsia="Arial Unicode MS" w:cs="Arial Unicode MS"/>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 Creación de equipo especial de análisis de la elusión tributaria y publicación de catálogo de situaciones consideradas elusivas.</w:t>
      </w:r>
    </w:p>
    <w:p>
      <w:pPr>
        <w:pBdr>
          <w:top w:val="nil"/>
          <w:left w:val="nil"/>
          <w:bottom w:val="nil"/>
          <w:right w:val="nil"/>
          <w:between w:val="nil"/>
          <w:bar w:val="nil"/>
        </w:pBdr>
        <w:rPr>
          <w:rFonts w:eastAsia="Arial Unicode MS" w:cs="Arial Unicode MS"/>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 Aplicación de atribuciones conferidas en norma anti elusiva establecida en la Ley. Nro. 20.780.</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jc w:val="center"/>
        <w:rPr>
          <w:rFonts w:eastAsia="Arial"/>
          <w:b w:val="0"/>
          <w:color w:val="000000"/>
          <w:u w:color="000000"/>
          <w:bdr w:val="nil"/>
          <w:lang w:val="es-ES_tradnl" w:eastAsia="es-CL"/>
        </w:rPr>
      </w:pPr>
      <w:r>
        <w:rPr>
          <w:rFonts w:eastAsia="Arial Unicode MS" w:cs="Arial Unicode MS"/>
          <w:bCs/>
          <w:color w:val="000000"/>
          <w:u w:color="000000"/>
          <w:bdr w:val="nil"/>
          <w:lang w:val="es-ES_tradnl" w:eastAsia="es-CL"/>
        </w:rPr>
        <w:t>INGRESOS DE PERSONAS POR REFORMA TRIBUTARIA AÑOS 2014, 2015 Y 2016</w:t>
      </w:r>
    </w:p>
    <w:p>
      <w:pPr>
        <w:pBdr>
          <w:top w:val="nil"/>
          <w:left w:val="nil"/>
          <w:bottom w:val="nil"/>
          <w:right w:val="nil"/>
          <w:between w:val="nil"/>
          <w:bar w:val="nil"/>
        </w:pBdr>
        <w:rPr>
          <w:rFonts w:eastAsia="Arial"/>
          <w:b w:val="0"/>
          <w:color w:val="000000"/>
          <w:u w:color="000000"/>
          <w:bdr w:val="nil"/>
          <w:lang w:val="es-ES_tradnl" w:eastAsia="es-CL"/>
        </w:rPr>
      </w:pPr>
    </w:p>
    <w:tbl>
      <w:tblPr>
        <w:tblW w:w="5940" w:type="dxa"/>
        <w:jc w:val="center"/>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2240"/>
        <w:gridCol w:w="1260"/>
        <w:gridCol w:w="1220"/>
        <w:gridCol w:w="1220"/>
      </w:tblGrid>
      <w:tr>
        <w:tblPrEx>
          <w:tblCellMar>
            <w:top w:w="0" w:type="dxa"/>
            <w:left w:w="0" w:type="dxa"/>
            <w:bottom w:w="0" w:type="dxa"/>
            <w:right w:w="0" w:type="dxa"/>
          </w:tblCellMar>
        </w:tblPrEx>
        <w:trPr>
          <w:trHeight w:val="470"/>
          <w:jc w:val="center"/>
        </w:trPr>
        <w:tc>
          <w:tcPr>
            <w:tcW w:w="2240" w:type="dxa"/>
            <w:tcBorders>
              <w:top w:val="single" w:sz="8" w:space="0" w:color="FFFFFF"/>
              <w:left w:val="single" w:sz="8" w:space="0" w:color="FFFFFF"/>
              <w:bottom w:val="single" w:sz="24" w:space="0" w:color="FFFFFF"/>
              <w:right w:val="single" w:sz="8" w:space="0" w:color="FFFFFF"/>
            </w:tcBorders>
            <w:shd w:val="clear" w:color="auto" w:fill="5B9BD5"/>
            <w:tcMar>
              <w:top w:w="80" w:type="dxa"/>
              <w:left w:w="80" w:type="dxa"/>
              <w:bottom w:w="80" w:type="dxa"/>
              <w:right w:w="80" w:type="dxa"/>
            </w:tcMar>
            <w:vAlign w:val="center"/>
          </w:tcPr>
          <w:p>
            <w:pPr>
              <w:pBdr>
                <w:top w:val="nil"/>
                <w:left w:val="nil"/>
                <w:bottom w:val="nil"/>
                <w:right w:val="nil"/>
                <w:between w:val="nil"/>
                <w:bar w:val="nil"/>
              </w:pBdr>
              <w:tabs>
                <w:tab w:val="clear" w:pos="2835"/>
              </w:tabs>
              <w:spacing w:line="256" w:lineRule="auto"/>
              <w:jc w:val="left"/>
              <w:rPr>
                <w:rFonts w:eastAsia="Arial"/>
                <w:b w:val="0"/>
                <w:color w:val="000000"/>
                <w:sz w:val="18"/>
                <w:szCs w:val="18"/>
                <w:u w:color="000000"/>
                <w:bdr w:val="nil"/>
                <w:lang w:val="es-ES_tradnl" w:eastAsia="es-CL"/>
              </w:rPr>
            </w:pPr>
            <w:r>
              <w:rPr>
                <w:bCs/>
                <w:color w:val="FFFFFF"/>
                <w:kern w:val="24"/>
                <w:sz w:val="18"/>
                <w:szCs w:val="18"/>
                <w:u w:color="FFFFFF"/>
                <w:bdr w:val="nil"/>
                <w:lang w:val="es-ES_tradnl" w:eastAsia="es-CL"/>
              </w:rPr>
              <w:t>Escalafón</w:t>
            </w:r>
          </w:p>
        </w:tc>
        <w:tc>
          <w:tcPr>
            <w:tcW w:w="1260" w:type="dxa"/>
            <w:tcBorders>
              <w:top w:val="single" w:sz="8" w:space="0" w:color="FFFFFF"/>
              <w:left w:val="single" w:sz="8" w:space="0" w:color="FFFFFF"/>
              <w:bottom w:val="single" w:sz="24" w:space="0" w:color="FFFFFF"/>
              <w:right w:val="single" w:sz="8" w:space="0" w:color="FFFFFF"/>
            </w:tcBorders>
            <w:shd w:val="clear" w:color="auto" w:fill="5B9BD5"/>
            <w:tcMar>
              <w:top w:w="80" w:type="dxa"/>
              <w:left w:w="80" w:type="dxa"/>
              <w:bottom w:w="80" w:type="dxa"/>
              <w:right w:w="80" w:type="dxa"/>
            </w:tcMar>
            <w:vAlign w:val="center"/>
          </w:tcPr>
          <w:p>
            <w:pPr>
              <w:pBdr>
                <w:top w:val="nil"/>
                <w:left w:val="nil"/>
                <w:bottom w:val="nil"/>
                <w:right w:val="nil"/>
                <w:between w:val="nil"/>
                <w:bar w:val="nil"/>
              </w:pBdr>
              <w:tabs>
                <w:tab w:val="clear" w:pos="2835"/>
              </w:tabs>
              <w:spacing w:line="256" w:lineRule="auto"/>
              <w:jc w:val="center"/>
              <w:rPr>
                <w:rFonts w:eastAsia="Arial"/>
                <w:b w:val="0"/>
                <w:color w:val="000000"/>
                <w:sz w:val="18"/>
                <w:szCs w:val="18"/>
                <w:u w:color="000000"/>
                <w:bdr w:val="nil"/>
                <w:lang w:val="es-ES_tradnl" w:eastAsia="es-CL"/>
              </w:rPr>
            </w:pPr>
            <w:r>
              <w:rPr>
                <w:bCs/>
                <w:color w:val="FFFFFF"/>
                <w:kern w:val="24"/>
                <w:sz w:val="18"/>
                <w:szCs w:val="18"/>
                <w:u w:color="FFFFFF"/>
                <w:bdr w:val="nil"/>
                <w:lang w:val="es-ES_tradnl" w:eastAsia="es-CL"/>
              </w:rPr>
              <w:t>AÑO 2014</w:t>
            </w:r>
          </w:p>
        </w:tc>
        <w:tc>
          <w:tcPr>
            <w:tcW w:w="1220" w:type="dxa"/>
            <w:tcBorders>
              <w:top w:val="single" w:sz="8" w:space="0" w:color="FFFFFF"/>
              <w:left w:val="single" w:sz="8" w:space="0" w:color="FFFFFF"/>
              <w:bottom w:val="single" w:sz="24" w:space="0" w:color="FFFFFF"/>
              <w:right w:val="single" w:sz="8" w:space="0" w:color="FFFFFF"/>
            </w:tcBorders>
            <w:shd w:val="clear" w:color="auto" w:fill="5B9BD5"/>
            <w:tcMar>
              <w:top w:w="80" w:type="dxa"/>
              <w:left w:w="80" w:type="dxa"/>
              <w:bottom w:w="80" w:type="dxa"/>
              <w:right w:w="80" w:type="dxa"/>
            </w:tcMar>
            <w:vAlign w:val="center"/>
          </w:tcPr>
          <w:p>
            <w:pPr>
              <w:pBdr>
                <w:top w:val="nil"/>
                <w:left w:val="nil"/>
                <w:bottom w:val="nil"/>
                <w:right w:val="nil"/>
                <w:between w:val="nil"/>
                <w:bar w:val="nil"/>
              </w:pBdr>
              <w:tabs>
                <w:tab w:val="clear" w:pos="2835"/>
              </w:tabs>
              <w:spacing w:line="256" w:lineRule="auto"/>
              <w:jc w:val="center"/>
              <w:rPr>
                <w:rFonts w:eastAsia="Arial"/>
                <w:b w:val="0"/>
                <w:color w:val="000000"/>
                <w:sz w:val="18"/>
                <w:szCs w:val="18"/>
                <w:u w:color="000000"/>
                <w:bdr w:val="nil"/>
                <w:lang w:val="es-ES_tradnl" w:eastAsia="es-CL"/>
              </w:rPr>
            </w:pPr>
            <w:r>
              <w:rPr>
                <w:bCs/>
                <w:color w:val="FFFFFF"/>
                <w:kern w:val="24"/>
                <w:sz w:val="18"/>
                <w:szCs w:val="18"/>
                <w:u w:color="FFFFFF"/>
                <w:bdr w:val="nil"/>
                <w:lang w:val="es-ES_tradnl" w:eastAsia="es-CL"/>
              </w:rPr>
              <w:t>AÑO 2015</w:t>
            </w:r>
          </w:p>
        </w:tc>
        <w:tc>
          <w:tcPr>
            <w:tcW w:w="1220" w:type="dxa"/>
            <w:tcBorders>
              <w:top w:val="single" w:sz="8" w:space="0" w:color="FFFFFF"/>
              <w:left w:val="single" w:sz="8" w:space="0" w:color="FFFFFF"/>
              <w:bottom w:val="single" w:sz="24" w:space="0" w:color="FFFFFF"/>
              <w:right w:val="single" w:sz="8" w:space="0" w:color="FFFFFF"/>
            </w:tcBorders>
            <w:shd w:val="clear" w:color="auto" w:fill="5B9BD5"/>
            <w:tcMar>
              <w:top w:w="80" w:type="dxa"/>
              <w:left w:w="80" w:type="dxa"/>
              <w:bottom w:w="80" w:type="dxa"/>
              <w:right w:w="80" w:type="dxa"/>
            </w:tcMar>
            <w:vAlign w:val="center"/>
          </w:tcPr>
          <w:p>
            <w:pPr>
              <w:pBdr>
                <w:top w:val="nil"/>
                <w:left w:val="nil"/>
                <w:bottom w:val="nil"/>
                <w:right w:val="nil"/>
                <w:between w:val="nil"/>
                <w:bar w:val="nil"/>
              </w:pBdr>
              <w:tabs>
                <w:tab w:val="clear" w:pos="2835"/>
              </w:tabs>
              <w:spacing w:line="256" w:lineRule="auto"/>
              <w:jc w:val="center"/>
              <w:rPr>
                <w:rFonts w:eastAsia="Arial"/>
                <w:b w:val="0"/>
                <w:color w:val="000000"/>
                <w:sz w:val="18"/>
                <w:szCs w:val="18"/>
                <w:u w:color="000000"/>
                <w:bdr w:val="nil"/>
                <w:lang w:val="es-ES_tradnl" w:eastAsia="es-CL"/>
              </w:rPr>
            </w:pPr>
            <w:r>
              <w:rPr>
                <w:bCs/>
                <w:color w:val="FFFFFF"/>
                <w:kern w:val="24"/>
                <w:sz w:val="18"/>
                <w:szCs w:val="18"/>
                <w:u w:color="FFFFFF"/>
                <w:bdr w:val="nil"/>
                <w:lang w:val="es-ES_tradnl" w:eastAsia="es-CL"/>
              </w:rPr>
              <w:t>AÑO 2016</w:t>
            </w:r>
          </w:p>
        </w:tc>
      </w:tr>
      <w:tr>
        <w:tblPrEx>
          <w:tblCellMar>
            <w:top w:w="0" w:type="dxa"/>
            <w:left w:w="0" w:type="dxa"/>
            <w:bottom w:w="0" w:type="dxa"/>
            <w:right w:w="0" w:type="dxa"/>
          </w:tblCellMar>
        </w:tblPrEx>
        <w:trPr>
          <w:trHeight w:val="280"/>
          <w:jc w:val="center"/>
        </w:trPr>
        <w:tc>
          <w:tcPr>
            <w:tcW w:w="2240" w:type="dxa"/>
            <w:tcBorders>
              <w:top w:val="single" w:sz="24" w:space="0" w:color="FFFFFF"/>
              <w:left w:val="single" w:sz="8" w:space="0" w:color="FFFFFF"/>
              <w:bottom w:val="single" w:sz="8" w:space="0" w:color="FFFFFF"/>
              <w:right w:val="single" w:sz="8" w:space="0" w:color="FFFFFF"/>
            </w:tcBorders>
            <w:shd w:val="clear" w:color="auto" w:fill="5B9BD5"/>
            <w:tcMar>
              <w:top w:w="80" w:type="dxa"/>
              <w:left w:w="80" w:type="dxa"/>
              <w:bottom w:w="80" w:type="dxa"/>
              <w:right w:w="80" w:type="dxa"/>
            </w:tcMar>
            <w:vAlign w:val="bottom"/>
          </w:tcPr>
          <w:p>
            <w:pPr>
              <w:pBdr>
                <w:top w:val="nil"/>
                <w:left w:val="nil"/>
                <w:bottom w:val="nil"/>
                <w:right w:val="nil"/>
                <w:between w:val="nil"/>
                <w:bar w:val="nil"/>
              </w:pBdr>
              <w:tabs>
                <w:tab w:val="clear" w:pos="2835"/>
              </w:tabs>
              <w:spacing w:line="323" w:lineRule="atLeast"/>
              <w:jc w:val="left"/>
              <w:rPr>
                <w:rFonts w:eastAsia="Arial"/>
                <w:b w:val="0"/>
                <w:color w:val="000000"/>
                <w:sz w:val="18"/>
                <w:szCs w:val="18"/>
                <w:u w:color="000000"/>
                <w:bdr w:val="nil"/>
                <w:lang w:val="es-ES_tradnl" w:eastAsia="es-CL"/>
              </w:rPr>
            </w:pPr>
            <w:r>
              <w:rPr>
                <w:bCs/>
                <w:color w:val="FFFFFF"/>
                <w:kern w:val="24"/>
                <w:sz w:val="18"/>
                <w:szCs w:val="18"/>
                <w:u w:color="FFFFFF"/>
                <w:bdr w:val="nil"/>
                <w:lang w:val="es-ES_tradnl" w:eastAsia="es-CL"/>
              </w:rPr>
              <w:t>Auxiliar</w:t>
            </w:r>
          </w:p>
        </w:tc>
        <w:tc>
          <w:tcPr>
            <w:tcW w:w="1260" w:type="dxa"/>
            <w:tcBorders>
              <w:top w:val="single" w:sz="24" w:space="0" w:color="FFFFFF"/>
              <w:left w:val="single" w:sz="8" w:space="0" w:color="FFFFFF"/>
              <w:bottom w:val="single" w:sz="8" w:space="0" w:color="FFFFFF"/>
              <w:right w:val="single" w:sz="8" w:space="0" w:color="FFFFFF"/>
            </w:tcBorders>
            <w:shd w:val="clear" w:color="auto" w:fill="D2DEEF"/>
            <w:tcMar>
              <w:top w:w="80" w:type="dxa"/>
              <w:left w:w="80" w:type="dxa"/>
              <w:bottom w:w="80" w:type="dxa"/>
              <w:right w:w="80" w:type="dxa"/>
            </w:tcMar>
            <w:vAlign w:val="bottom"/>
          </w:tcPr>
          <w:p>
            <w:pPr>
              <w:pBdr>
                <w:top w:val="nil"/>
                <w:left w:val="nil"/>
                <w:bottom w:val="nil"/>
                <w:right w:val="nil"/>
                <w:between w:val="nil"/>
                <w:bar w:val="nil"/>
              </w:pBdr>
              <w:tabs>
                <w:tab w:val="clear" w:pos="2835"/>
              </w:tabs>
              <w:spacing w:line="323" w:lineRule="atLeast"/>
              <w:jc w:val="center"/>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10</w:t>
            </w:r>
          </w:p>
        </w:tc>
        <w:tc>
          <w:tcPr>
            <w:tcW w:w="1220" w:type="dxa"/>
            <w:tcBorders>
              <w:top w:val="single" w:sz="24" w:space="0" w:color="FFFFFF"/>
              <w:left w:val="single" w:sz="8" w:space="0" w:color="FFFFFF"/>
              <w:bottom w:val="single" w:sz="8" w:space="0" w:color="FFFFFF"/>
              <w:right w:val="single" w:sz="8" w:space="0" w:color="FFFFFF"/>
            </w:tcBorders>
            <w:shd w:val="clear" w:color="auto" w:fill="D2DEEF"/>
            <w:tcMar>
              <w:top w:w="80" w:type="dxa"/>
              <w:left w:w="80" w:type="dxa"/>
              <w:bottom w:w="80" w:type="dxa"/>
              <w:right w:w="80" w:type="dxa"/>
            </w:tcMar>
            <w:vAlign w:val="bottom"/>
          </w:tcPr>
          <w:p>
            <w:pPr>
              <w:pBdr>
                <w:top w:val="nil"/>
                <w:left w:val="nil"/>
                <w:bottom w:val="nil"/>
                <w:right w:val="nil"/>
                <w:between w:val="nil"/>
                <w:bar w:val="nil"/>
              </w:pBdr>
              <w:tabs>
                <w:tab w:val="clear" w:pos="2835"/>
              </w:tabs>
              <w:spacing w:line="323" w:lineRule="atLeast"/>
              <w:jc w:val="center"/>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5</w:t>
            </w:r>
          </w:p>
        </w:tc>
        <w:tc>
          <w:tcPr>
            <w:tcW w:w="1220" w:type="dxa"/>
            <w:tcBorders>
              <w:top w:val="single" w:sz="24" w:space="0" w:color="FFFFFF"/>
              <w:left w:val="single" w:sz="8" w:space="0" w:color="FFFFFF"/>
              <w:bottom w:val="single" w:sz="8" w:space="0" w:color="FFFFFF"/>
              <w:right w:val="single" w:sz="8" w:space="0" w:color="FFFFFF"/>
            </w:tcBorders>
            <w:shd w:val="clear" w:color="auto" w:fill="D2DEEF"/>
            <w:tcMar>
              <w:top w:w="80" w:type="dxa"/>
              <w:left w:w="80" w:type="dxa"/>
              <w:bottom w:w="80" w:type="dxa"/>
              <w:right w:w="80" w:type="dxa"/>
            </w:tcMar>
            <w:vAlign w:val="bottom"/>
          </w:tcPr>
          <w:p>
            <w:pPr>
              <w:pBdr>
                <w:top w:val="nil"/>
                <w:left w:val="nil"/>
                <w:bottom w:val="nil"/>
                <w:right w:val="nil"/>
                <w:between w:val="nil"/>
                <w:bar w:val="nil"/>
              </w:pBdr>
              <w:tabs>
                <w:tab w:val="clear" w:pos="2835"/>
              </w:tabs>
              <w:spacing w:line="323" w:lineRule="atLeast"/>
              <w:jc w:val="center"/>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16</w:t>
            </w:r>
          </w:p>
        </w:tc>
      </w:tr>
      <w:tr>
        <w:tblPrEx>
          <w:tblCellMar>
            <w:top w:w="0" w:type="dxa"/>
            <w:left w:w="0" w:type="dxa"/>
            <w:bottom w:w="0" w:type="dxa"/>
            <w:right w:w="0" w:type="dxa"/>
          </w:tblCellMar>
        </w:tblPrEx>
        <w:trPr>
          <w:trHeight w:val="260"/>
          <w:jc w:val="center"/>
        </w:trPr>
        <w:tc>
          <w:tcPr>
            <w:tcW w:w="2240" w:type="dxa"/>
            <w:tcBorders>
              <w:top w:val="single" w:sz="8" w:space="0" w:color="FFFFFF"/>
              <w:left w:val="single" w:sz="8" w:space="0" w:color="FFFFFF"/>
              <w:bottom w:val="single" w:sz="8" w:space="0" w:color="FFFFFF"/>
              <w:right w:val="single" w:sz="8" w:space="0" w:color="FFFFFF"/>
            </w:tcBorders>
            <w:shd w:val="clear" w:color="auto" w:fill="5B9BD5"/>
            <w:tcMar>
              <w:top w:w="80" w:type="dxa"/>
              <w:left w:w="80" w:type="dxa"/>
              <w:bottom w:w="80" w:type="dxa"/>
              <w:right w:w="80" w:type="dxa"/>
            </w:tcMar>
            <w:vAlign w:val="bottom"/>
          </w:tcPr>
          <w:p>
            <w:pPr>
              <w:pBdr>
                <w:top w:val="nil"/>
                <w:left w:val="nil"/>
                <w:bottom w:val="nil"/>
                <w:right w:val="nil"/>
                <w:between w:val="nil"/>
                <w:bar w:val="nil"/>
              </w:pBdr>
              <w:tabs>
                <w:tab w:val="clear" w:pos="2835"/>
              </w:tabs>
              <w:spacing w:line="323" w:lineRule="atLeast"/>
              <w:jc w:val="left"/>
              <w:rPr>
                <w:rFonts w:eastAsia="Arial"/>
                <w:b w:val="0"/>
                <w:color w:val="000000"/>
                <w:sz w:val="18"/>
                <w:szCs w:val="18"/>
                <w:u w:color="000000"/>
                <w:bdr w:val="nil"/>
                <w:lang w:val="es-ES_tradnl" w:eastAsia="es-CL"/>
              </w:rPr>
            </w:pPr>
            <w:r>
              <w:rPr>
                <w:bCs/>
                <w:color w:val="FFFFFF"/>
                <w:kern w:val="24"/>
                <w:sz w:val="18"/>
                <w:szCs w:val="18"/>
                <w:u w:color="FFFFFF"/>
                <w:bdr w:val="nil"/>
                <w:lang w:val="es-ES_tradnl" w:eastAsia="es-CL"/>
              </w:rPr>
              <w:t>Administrativo</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80" w:type="dxa"/>
              <w:left w:w="80" w:type="dxa"/>
              <w:bottom w:w="80" w:type="dxa"/>
              <w:right w:w="80" w:type="dxa"/>
            </w:tcMar>
            <w:vAlign w:val="bottom"/>
          </w:tcPr>
          <w:p>
            <w:pPr>
              <w:pBdr>
                <w:top w:val="nil"/>
                <w:left w:val="nil"/>
                <w:bottom w:val="nil"/>
                <w:right w:val="nil"/>
                <w:between w:val="nil"/>
                <w:bar w:val="nil"/>
              </w:pBdr>
              <w:tabs>
                <w:tab w:val="clear" w:pos="2835"/>
              </w:tabs>
              <w:spacing w:line="323" w:lineRule="atLeast"/>
              <w:jc w:val="center"/>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64</w:t>
            </w:r>
          </w:p>
        </w:tc>
        <w:tc>
          <w:tcPr>
            <w:tcW w:w="1220" w:type="dxa"/>
            <w:tcBorders>
              <w:top w:val="single" w:sz="8" w:space="0" w:color="FFFFFF"/>
              <w:left w:val="single" w:sz="8" w:space="0" w:color="FFFFFF"/>
              <w:bottom w:val="single" w:sz="8" w:space="0" w:color="FFFFFF"/>
              <w:right w:val="single" w:sz="8" w:space="0" w:color="FFFFFF"/>
            </w:tcBorders>
            <w:shd w:val="clear" w:color="auto" w:fill="EAEFF7"/>
            <w:tcMar>
              <w:top w:w="80" w:type="dxa"/>
              <w:left w:w="80" w:type="dxa"/>
              <w:bottom w:w="80" w:type="dxa"/>
              <w:right w:w="80" w:type="dxa"/>
            </w:tcMar>
            <w:vAlign w:val="bottom"/>
          </w:tcPr>
          <w:p>
            <w:pPr>
              <w:pBdr>
                <w:top w:val="nil"/>
                <w:left w:val="nil"/>
                <w:bottom w:val="nil"/>
                <w:right w:val="nil"/>
                <w:between w:val="nil"/>
                <w:bar w:val="nil"/>
              </w:pBdr>
              <w:tabs>
                <w:tab w:val="clear" w:pos="2835"/>
              </w:tabs>
              <w:spacing w:line="323" w:lineRule="atLeast"/>
              <w:jc w:val="center"/>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9</w:t>
            </w:r>
          </w:p>
        </w:tc>
        <w:tc>
          <w:tcPr>
            <w:tcW w:w="1220" w:type="dxa"/>
            <w:tcBorders>
              <w:top w:val="single" w:sz="8" w:space="0" w:color="FFFFFF"/>
              <w:left w:val="single" w:sz="8" w:space="0" w:color="FFFFFF"/>
              <w:bottom w:val="single" w:sz="8" w:space="0" w:color="FFFFFF"/>
              <w:right w:val="single" w:sz="8" w:space="0" w:color="FFFFFF"/>
            </w:tcBorders>
            <w:shd w:val="clear" w:color="auto" w:fill="EAEFF7"/>
            <w:tcMar>
              <w:top w:w="80" w:type="dxa"/>
              <w:left w:w="80" w:type="dxa"/>
              <w:bottom w:w="80" w:type="dxa"/>
              <w:right w:w="80" w:type="dxa"/>
            </w:tcMar>
            <w:vAlign w:val="bottom"/>
          </w:tcPr>
          <w:p>
            <w:pPr>
              <w:pBdr>
                <w:top w:val="nil"/>
                <w:left w:val="nil"/>
                <w:bottom w:val="nil"/>
                <w:right w:val="nil"/>
                <w:between w:val="nil"/>
                <w:bar w:val="nil"/>
              </w:pBdr>
              <w:tabs>
                <w:tab w:val="clear" w:pos="2835"/>
              </w:tabs>
              <w:spacing w:line="323" w:lineRule="atLeast"/>
              <w:jc w:val="center"/>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12</w:t>
            </w:r>
          </w:p>
        </w:tc>
      </w:tr>
      <w:tr>
        <w:tblPrEx>
          <w:tblCellMar>
            <w:top w:w="0" w:type="dxa"/>
            <w:left w:w="0" w:type="dxa"/>
            <w:bottom w:w="0" w:type="dxa"/>
            <w:right w:w="0" w:type="dxa"/>
          </w:tblCellMar>
        </w:tblPrEx>
        <w:trPr>
          <w:trHeight w:val="260"/>
          <w:jc w:val="center"/>
        </w:trPr>
        <w:tc>
          <w:tcPr>
            <w:tcW w:w="2240" w:type="dxa"/>
            <w:tcBorders>
              <w:top w:val="single" w:sz="8" w:space="0" w:color="FFFFFF"/>
              <w:left w:val="single" w:sz="8" w:space="0" w:color="FFFFFF"/>
              <w:bottom w:val="single" w:sz="8" w:space="0" w:color="FFFFFF"/>
              <w:right w:val="single" w:sz="8" w:space="0" w:color="FFFFFF"/>
            </w:tcBorders>
            <w:shd w:val="clear" w:color="auto" w:fill="5B9BD5"/>
            <w:tcMar>
              <w:top w:w="80" w:type="dxa"/>
              <w:left w:w="80" w:type="dxa"/>
              <w:bottom w:w="80" w:type="dxa"/>
              <w:right w:w="80" w:type="dxa"/>
            </w:tcMar>
            <w:vAlign w:val="bottom"/>
          </w:tcPr>
          <w:p>
            <w:pPr>
              <w:pBdr>
                <w:top w:val="nil"/>
                <w:left w:val="nil"/>
                <w:bottom w:val="nil"/>
                <w:right w:val="nil"/>
                <w:between w:val="nil"/>
                <w:bar w:val="nil"/>
              </w:pBdr>
              <w:tabs>
                <w:tab w:val="clear" w:pos="2835"/>
              </w:tabs>
              <w:spacing w:line="310" w:lineRule="atLeast"/>
              <w:jc w:val="left"/>
              <w:rPr>
                <w:rFonts w:eastAsia="Arial"/>
                <w:b w:val="0"/>
                <w:color w:val="000000"/>
                <w:sz w:val="18"/>
                <w:szCs w:val="18"/>
                <w:u w:color="000000"/>
                <w:bdr w:val="nil"/>
                <w:lang w:val="es-ES_tradnl" w:eastAsia="es-CL"/>
              </w:rPr>
            </w:pPr>
            <w:r>
              <w:rPr>
                <w:bCs/>
                <w:color w:val="FFFFFF"/>
                <w:kern w:val="24"/>
                <w:sz w:val="18"/>
                <w:szCs w:val="18"/>
                <w:u w:color="FFFFFF"/>
                <w:bdr w:val="nil"/>
                <w:lang w:val="es-ES_tradnl" w:eastAsia="es-CL"/>
              </w:rPr>
              <w:t>Técnico</w:t>
            </w:r>
          </w:p>
        </w:tc>
        <w:tc>
          <w:tcPr>
            <w:tcW w:w="1260" w:type="dxa"/>
            <w:tcBorders>
              <w:top w:val="single" w:sz="8" w:space="0" w:color="FFFFFF"/>
              <w:left w:val="single" w:sz="8" w:space="0" w:color="FFFFFF"/>
              <w:bottom w:val="single" w:sz="8" w:space="0" w:color="FFFFFF"/>
              <w:right w:val="single" w:sz="8" w:space="0" w:color="FFFFFF"/>
            </w:tcBorders>
            <w:shd w:val="clear" w:color="auto" w:fill="D2DEEF"/>
            <w:tcMar>
              <w:top w:w="80" w:type="dxa"/>
              <w:left w:w="80" w:type="dxa"/>
              <w:bottom w:w="80" w:type="dxa"/>
              <w:right w:w="80" w:type="dxa"/>
            </w:tcMar>
            <w:vAlign w:val="bottom"/>
          </w:tcPr>
          <w:p>
            <w:pPr>
              <w:pBdr>
                <w:top w:val="nil"/>
                <w:left w:val="nil"/>
                <w:bottom w:val="nil"/>
                <w:right w:val="nil"/>
                <w:between w:val="nil"/>
                <w:bar w:val="nil"/>
              </w:pBdr>
              <w:tabs>
                <w:tab w:val="clear" w:pos="2835"/>
              </w:tabs>
              <w:spacing w:line="310" w:lineRule="atLeast"/>
              <w:jc w:val="center"/>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7</w:t>
            </w:r>
          </w:p>
        </w:tc>
        <w:tc>
          <w:tcPr>
            <w:tcW w:w="1220" w:type="dxa"/>
            <w:tcBorders>
              <w:top w:val="single" w:sz="8" w:space="0" w:color="FFFFFF"/>
              <w:left w:val="single" w:sz="8" w:space="0" w:color="FFFFFF"/>
              <w:bottom w:val="single" w:sz="8" w:space="0" w:color="FFFFFF"/>
              <w:right w:val="single" w:sz="8" w:space="0" w:color="FFFFFF"/>
            </w:tcBorders>
            <w:shd w:val="clear" w:color="auto" w:fill="D2DEEF"/>
            <w:tcMar>
              <w:top w:w="80" w:type="dxa"/>
              <w:left w:w="80" w:type="dxa"/>
              <w:bottom w:w="80" w:type="dxa"/>
              <w:right w:w="80" w:type="dxa"/>
            </w:tcMar>
            <w:vAlign w:val="bottom"/>
          </w:tcPr>
          <w:p>
            <w:pPr>
              <w:pBdr>
                <w:top w:val="nil"/>
                <w:left w:val="nil"/>
                <w:bottom w:val="nil"/>
                <w:right w:val="nil"/>
                <w:between w:val="nil"/>
                <w:bar w:val="nil"/>
              </w:pBdr>
              <w:tabs>
                <w:tab w:val="clear" w:pos="2835"/>
              </w:tabs>
              <w:spacing w:line="310" w:lineRule="atLeast"/>
              <w:jc w:val="center"/>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15</w:t>
            </w:r>
          </w:p>
        </w:tc>
        <w:tc>
          <w:tcPr>
            <w:tcW w:w="1220" w:type="dxa"/>
            <w:tcBorders>
              <w:top w:val="single" w:sz="8" w:space="0" w:color="FFFFFF"/>
              <w:left w:val="single" w:sz="8" w:space="0" w:color="FFFFFF"/>
              <w:bottom w:val="single" w:sz="8" w:space="0" w:color="FFFFFF"/>
              <w:right w:val="single" w:sz="8" w:space="0" w:color="FFFFFF"/>
            </w:tcBorders>
            <w:shd w:val="clear" w:color="auto" w:fill="D2DEEF"/>
            <w:tcMar>
              <w:top w:w="80" w:type="dxa"/>
              <w:left w:w="80" w:type="dxa"/>
              <w:bottom w:w="80" w:type="dxa"/>
              <w:right w:w="80" w:type="dxa"/>
            </w:tcMar>
            <w:vAlign w:val="bottom"/>
          </w:tcPr>
          <w:p>
            <w:pPr>
              <w:pBdr>
                <w:top w:val="nil"/>
                <w:left w:val="nil"/>
                <w:bottom w:val="nil"/>
                <w:right w:val="nil"/>
                <w:between w:val="nil"/>
                <w:bar w:val="nil"/>
              </w:pBdr>
              <w:tabs>
                <w:tab w:val="clear" w:pos="2835"/>
              </w:tabs>
              <w:spacing w:line="310" w:lineRule="atLeast"/>
              <w:jc w:val="center"/>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0</w:t>
            </w:r>
          </w:p>
        </w:tc>
      </w:tr>
      <w:tr>
        <w:tblPrEx>
          <w:tblCellMar>
            <w:top w:w="0" w:type="dxa"/>
            <w:left w:w="0" w:type="dxa"/>
            <w:bottom w:w="0" w:type="dxa"/>
            <w:right w:w="0" w:type="dxa"/>
          </w:tblCellMar>
        </w:tblPrEx>
        <w:trPr>
          <w:trHeight w:val="260"/>
          <w:jc w:val="center"/>
        </w:trPr>
        <w:tc>
          <w:tcPr>
            <w:tcW w:w="2240" w:type="dxa"/>
            <w:tcBorders>
              <w:top w:val="single" w:sz="8" w:space="0" w:color="FFFFFF"/>
              <w:left w:val="single" w:sz="8" w:space="0" w:color="FFFFFF"/>
              <w:bottom w:val="single" w:sz="8" w:space="0" w:color="FFFFFF"/>
              <w:right w:val="single" w:sz="8" w:space="0" w:color="FFFFFF"/>
            </w:tcBorders>
            <w:shd w:val="clear" w:color="auto" w:fill="5B9BD5"/>
            <w:tcMar>
              <w:top w:w="80" w:type="dxa"/>
              <w:left w:w="80" w:type="dxa"/>
              <w:bottom w:w="80" w:type="dxa"/>
              <w:right w:w="80" w:type="dxa"/>
            </w:tcMar>
            <w:vAlign w:val="bottom"/>
          </w:tcPr>
          <w:p>
            <w:pPr>
              <w:pBdr>
                <w:top w:val="nil"/>
                <w:left w:val="nil"/>
                <w:bottom w:val="nil"/>
                <w:right w:val="nil"/>
                <w:between w:val="nil"/>
                <w:bar w:val="nil"/>
              </w:pBdr>
              <w:tabs>
                <w:tab w:val="clear" w:pos="2835"/>
              </w:tabs>
              <w:spacing w:line="310" w:lineRule="atLeast"/>
              <w:jc w:val="left"/>
              <w:rPr>
                <w:rFonts w:eastAsia="Arial"/>
                <w:b w:val="0"/>
                <w:color w:val="000000"/>
                <w:sz w:val="18"/>
                <w:szCs w:val="18"/>
                <w:u w:color="000000"/>
                <w:bdr w:val="nil"/>
                <w:lang w:val="es-ES_tradnl" w:eastAsia="es-CL"/>
              </w:rPr>
            </w:pPr>
            <w:r>
              <w:rPr>
                <w:bCs/>
                <w:color w:val="FFFFFF"/>
                <w:kern w:val="24"/>
                <w:sz w:val="18"/>
                <w:szCs w:val="18"/>
                <w:u w:color="FFFFFF"/>
                <w:bdr w:val="nil"/>
                <w:lang w:val="es-ES_tradnl" w:eastAsia="es-CL"/>
              </w:rPr>
              <w:t>Fiscalizador</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80" w:type="dxa"/>
              <w:left w:w="80" w:type="dxa"/>
              <w:bottom w:w="80" w:type="dxa"/>
              <w:right w:w="80" w:type="dxa"/>
            </w:tcMar>
            <w:vAlign w:val="bottom"/>
          </w:tcPr>
          <w:p>
            <w:pPr>
              <w:pBdr>
                <w:top w:val="nil"/>
                <w:left w:val="nil"/>
                <w:bottom w:val="nil"/>
                <w:right w:val="nil"/>
                <w:between w:val="nil"/>
                <w:bar w:val="nil"/>
              </w:pBdr>
              <w:tabs>
                <w:tab w:val="clear" w:pos="2835"/>
              </w:tabs>
              <w:spacing w:line="310" w:lineRule="atLeast"/>
              <w:jc w:val="center"/>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0</w:t>
            </w:r>
          </w:p>
        </w:tc>
        <w:tc>
          <w:tcPr>
            <w:tcW w:w="1220" w:type="dxa"/>
            <w:tcBorders>
              <w:top w:val="single" w:sz="8" w:space="0" w:color="FFFFFF"/>
              <w:left w:val="single" w:sz="8" w:space="0" w:color="FFFFFF"/>
              <w:bottom w:val="single" w:sz="8" w:space="0" w:color="FFFFFF"/>
              <w:right w:val="single" w:sz="8" w:space="0" w:color="FFFFFF"/>
            </w:tcBorders>
            <w:shd w:val="clear" w:color="auto" w:fill="EAEFF7"/>
            <w:tcMar>
              <w:top w:w="80" w:type="dxa"/>
              <w:left w:w="80" w:type="dxa"/>
              <w:bottom w:w="80" w:type="dxa"/>
              <w:right w:w="80" w:type="dxa"/>
            </w:tcMar>
            <w:vAlign w:val="bottom"/>
          </w:tcPr>
          <w:p>
            <w:pPr>
              <w:pBdr>
                <w:top w:val="nil"/>
                <w:left w:val="nil"/>
                <w:bottom w:val="nil"/>
                <w:right w:val="nil"/>
                <w:between w:val="nil"/>
                <w:bar w:val="nil"/>
              </w:pBdr>
              <w:tabs>
                <w:tab w:val="clear" w:pos="2835"/>
              </w:tabs>
              <w:spacing w:line="310" w:lineRule="atLeast"/>
              <w:jc w:val="center"/>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281</w:t>
            </w:r>
          </w:p>
        </w:tc>
        <w:tc>
          <w:tcPr>
            <w:tcW w:w="1220" w:type="dxa"/>
            <w:tcBorders>
              <w:top w:val="single" w:sz="8" w:space="0" w:color="FFFFFF"/>
              <w:left w:val="single" w:sz="8" w:space="0" w:color="FFFFFF"/>
              <w:bottom w:val="single" w:sz="8" w:space="0" w:color="FFFFFF"/>
              <w:right w:val="single" w:sz="8" w:space="0" w:color="FFFFFF"/>
            </w:tcBorders>
            <w:shd w:val="clear" w:color="auto" w:fill="EAEFF7"/>
            <w:tcMar>
              <w:top w:w="80" w:type="dxa"/>
              <w:left w:w="80" w:type="dxa"/>
              <w:bottom w:w="80" w:type="dxa"/>
              <w:right w:w="80" w:type="dxa"/>
            </w:tcMar>
            <w:vAlign w:val="bottom"/>
          </w:tcPr>
          <w:p>
            <w:pPr>
              <w:pBdr>
                <w:top w:val="nil"/>
                <w:left w:val="nil"/>
                <w:bottom w:val="nil"/>
                <w:right w:val="nil"/>
                <w:between w:val="nil"/>
                <w:bar w:val="nil"/>
              </w:pBdr>
              <w:tabs>
                <w:tab w:val="clear" w:pos="2835"/>
              </w:tabs>
              <w:spacing w:line="310" w:lineRule="atLeast"/>
              <w:jc w:val="center"/>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93</w:t>
            </w:r>
          </w:p>
        </w:tc>
      </w:tr>
      <w:tr>
        <w:tblPrEx>
          <w:tblCellMar>
            <w:top w:w="0" w:type="dxa"/>
            <w:left w:w="0" w:type="dxa"/>
            <w:bottom w:w="0" w:type="dxa"/>
            <w:right w:w="0" w:type="dxa"/>
          </w:tblCellMar>
        </w:tblPrEx>
        <w:trPr>
          <w:trHeight w:val="260"/>
          <w:jc w:val="center"/>
        </w:trPr>
        <w:tc>
          <w:tcPr>
            <w:tcW w:w="2240" w:type="dxa"/>
            <w:tcBorders>
              <w:top w:val="single" w:sz="8" w:space="0" w:color="FFFFFF"/>
              <w:left w:val="single" w:sz="8" w:space="0" w:color="FFFFFF"/>
              <w:bottom w:val="single" w:sz="8" w:space="0" w:color="FFFFFF"/>
              <w:right w:val="single" w:sz="8" w:space="0" w:color="FFFFFF"/>
            </w:tcBorders>
            <w:shd w:val="clear" w:color="auto" w:fill="5B9BD5"/>
            <w:tcMar>
              <w:top w:w="80" w:type="dxa"/>
              <w:left w:w="80" w:type="dxa"/>
              <w:bottom w:w="80" w:type="dxa"/>
              <w:right w:w="80" w:type="dxa"/>
            </w:tcMar>
            <w:vAlign w:val="bottom"/>
          </w:tcPr>
          <w:p>
            <w:pPr>
              <w:pBdr>
                <w:top w:val="nil"/>
                <w:left w:val="nil"/>
                <w:bottom w:val="nil"/>
                <w:right w:val="nil"/>
                <w:between w:val="nil"/>
                <w:bar w:val="nil"/>
              </w:pBdr>
              <w:tabs>
                <w:tab w:val="clear" w:pos="2835"/>
              </w:tabs>
              <w:spacing w:line="310" w:lineRule="atLeast"/>
              <w:jc w:val="left"/>
              <w:rPr>
                <w:rFonts w:eastAsia="Arial"/>
                <w:b w:val="0"/>
                <w:color w:val="000000"/>
                <w:sz w:val="18"/>
                <w:szCs w:val="18"/>
                <w:u w:color="000000"/>
                <w:bdr w:val="nil"/>
                <w:lang w:val="es-ES_tradnl" w:eastAsia="es-CL"/>
              </w:rPr>
            </w:pPr>
            <w:r>
              <w:rPr>
                <w:bCs/>
                <w:color w:val="FFFFFF"/>
                <w:kern w:val="24"/>
                <w:sz w:val="18"/>
                <w:szCs w:val="18"/>
                <w:u w:color="FFFFFF"/>
                <w:bdr w:val="nil"/>
                <w:lang w:val="es-ES_tradnl" w:eastAsia="es-CL"/>
              </w:rPr>
              <w:t>Profesional</w:t>
            </w:r>
          </w:p>
        </w:tc>
        <w:tc>
          <w:tcPr>
            <w:tcW w:w="1260" w:type="dxa"/>
            <w:tcBorders>
              <w:top w:val="single" w:sz="8" w:space="0" w:color="FFFFFF"/>
              <w:left w:val="single" w:sz="8" w:space="0" w:color="FFFFFF"/>
              <w:bottom w:val="single" w:sz="8" w:space="0" w:color="FFFFFF"/>
              <w:right w:val="single" w:sz="8" w:space="0" w:color="FFFFFF"/>
            </w:tcBorders>
            <w:shd w:val="clear" w:color="auto" w:fill="D2DEEF"/>
            <w:tcMar>
              <w:top w:w="80" w:type="dxa"/>
              <w:left w:w="80" w:type="dxa"/>
              <w:bottom w:w="80" w:type="dxa"/>
              <w:right w:w="80" w:type="dxa"/>
            </w:tcMar>
            <w:vAlign w:val="bottom"/>
          </w:tcPr>
          <w:p>
            <w:pPr>
              <w:pBdr>
                <w:top w:val="nil"/>
                <w:left w:val="nil"/>
                <w:bottom w:val="nil"/>
                <w:right w:val="nil"/>
                <w:between w:val="nil"/>
                <w:bar w:val="nil"/>
              </w:pBdr>
              <w:tabs>
                <w:tab w:val="clear" w:pos="2835"/>
              </w:tabs>
              <w:spacing w:line="310" w:lineRule="atLeast"/>
              <w:jc w:val="center"/>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61</w:t>
            </w:r>
          </w:p>
        </w:tc>
        <w:tc>
          <w:tcPr>
            <w:tcW w:w="1220" w:type="dxa"/>
            <w:tcBorders>
              <w:top w:val="single" w:sz="8" w:space="0" w:color="FFFFFF"/>
              <w:left w:val="single" w:sz="8" w:space="0" w:color="FFFFFF"/>
              <w:bottom w:val="single" w:sz="8" w:space="0" w:color="FFFFFF"/>
              <w:right w:val="single" w:sz="8" w:space="0" w:color="FFFFFF"/>
            </w:tcBorders>
            <w:shd w:val="clear" w:color="auto" w:fill="D2DEEF"/>
            <w:tcMar>
              <w:top w:w="80" w:type="dxa"/>
              <w:left w:w="80" w:type="dxa"/>
              <w:bottom w:w="80" w:type="dxa"/>
              <w:right w:w="80" w:type="dxa"/>
            </w:tcMar>
            <w:vAlign w:val="bottom"/>
          </w:tcPr>
          <w:p>
            <w:pPr>
              <w:pBdr>
                <w:top w:val="nil"/>
                <w:left w:val="nil"/>
                <w:bottom w:val="nil"/>
                <w:right w:val="nil"/>
                <w:between w:val="nil"/>
                <w:bar w:val="nil"/>
              </w:pBdr>
              <w:tabs>
                <w:tab w:val="clear" w:pos="2835"/>
              </w:tabs>
              <w:spacing w:line="310" w:lineRule="atLeast"/>
              <w:jc w:val="center"/>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70</w:t>
            </w:r>
          </w:p>
        </w:tc>
        <w:tc>
          <w:tcPr>
            <w:tcW w:w="1220" w:type="dxa"/>
            <w:tcBorders>
              <w:top w:val="single" w:sz="8" w:space="0" w:color="FFFFFF"/>
              <w:left w:val="single" w:sz="8" w:space="0" w:color="FFFFFF"/>
              <w:bottom w:val="single" w:sz="8" w:space="0" w:color="FFFFFF"/>
              <w:right w:val="single" w:sz="8" w:space="0" w:color="FFFFFF"/>
            </w:tcBorders>
            <w:shd w:val="clear" w:color="auto" w:fill="D2DEEF"/>
            <w:tcMar>
              <w:top w:w="80" w:type="dxa"/>
              <w:left w:w="80" w:type="dxa"/>
              <w:bottom w:w="80" w:type="dxa"/>
              <w:right w:w="80" w:type="dxa"/>
            </w:tcMar>
            <w:vAlign w:val="bottom"/>
          </w:tcPr>
          <w:p>
            <w:pPr>
              <w:pBdr>
                <w:top w:val="nil"/>
                <w:left w:val="nil"/>
                <w:bottom w:val="nil"/>
                <w:right w:val="nil"/>
                <w:between w:val="nil"/>
                <w:bar w:val="nil"/>
              </w:pBdr>
              <w:tabs>
                <w:tab w:val="clear" w:pos="2835"/>
              </w:tabs>
              <w:spacing w:line="310" w:lineRule="atLeast"/>
              <w:jc w:val="center"/>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13</w:t>
            </w:r>
          </w:p>
        </w:tc>
      </w:tr>
      <w:tr>
        <w:tblPrEx>
          <w:tblCellMar>
            <w:top w:w="0" w:type="dxa"/>
            <w:left w:w="0" w:type="dxa"/>
            <w:bottom w:w="0" w:type="dxa"/>
            <w:right w:w="0" w:type="dxa"/>
          </w:tblCellMar>
        </w:tblPrEx>
        <w:trPr>
          <w:trHeight w:val="260"/>
          <w:jc w:val="center"/>
        </w:trPr>
        <w:tc>
          <w:tcPr>
            <w:tcW w:w="2240" w:type="dxa"/>
            <w:tcBorders>
              <w:top w:val="single" w:sz="8" w:space="0" w:color="FFFFFF"/>
              <w:left w:val="single" w:sz="8" w:space="0" w:color="FFFFFF"/>
              <w:bottom w:val="single" w:sz="8" w:space="0" w:color="FFFFFF"/>
              <w:right w:val="single" w:sz="8" w:space="0" w:color="FFFFFF"/>
            </w:tcBorders>
            <w:shd w:val="clear" w:color="auto" w:fill="5B9BD5"/>
            <w:tcMar>
              <w:top w:w="80" w:type="dxa"/>
              <w:left w:w="80" w:type="dxa"/>
              <w:bottom w:w="80" w:type="dxa"/>
              <w:right w:w="80" w:type="dxa"/>
            </w:tcMar>
            <w:vAlign w:val="bottom"/>
          </w:tcPr>
          <w:p>
            <w:pPr>
              <w:pBdr>
                <w:top w:val="nil"/>
                <w:left w:val="nil"/>
                <w:bottom w:val="nil"/>
                <w:right w:val="nil"/>
                <w:between w:val="nil"/>
                <w:bar w:val="nil"/>
              </w:pBdr>
              <w:tabs>
                <w:tab w:val="clear" w:pos="2835"/>
              </w:tabs>
              <w:spacing w:line="323" w:lineRule="atLeast"/>
              <w:jc w:val="left"/>
              <w:rPr>
                <w:rFonts w:eastAsia="Arial"/>
                <w:b w:val="0"/>
                <w:color w:val="000000"/>
                <w:sz w:val="18"/>
                <w:szCs w:val="18"/>
                <w:u w:color="000000"/>
                <w:bdr w:val="nil"/>
                <w:lang w:val="es-ES_tradnl" w:eastAsia="es-CL"/>
              </w:rPr>
            </w:pPr>
            <w:r>
              <w:rPr>
                <w:bCs/>
                <w:color w:val="FFFFFF"/>
                <w:kern w:val="24"/>
                <w:sz w:val="18"/>
                <w:szCs w:val="18"/>
                <w:u w:color="FFFFFF"/>
                <w:bdr w:val="nil"/>
                <w:lang w:val="es-ES_tradnl" w:eastAsia="es-CL"/>
              </w:rPr>
              <w:t>Directivo</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80" w:type="dxa"/>
              <w:left w:w="80" w:type="dxa"/>
              <w:bottom w:w="80" w:type="dxa"/>
              <w:right w:w="80" w:type="dxa"/>
            </w:tcMar>
            <w:vAlign w:val="bottom"/>
          </w:tcPr>
          <w:p>
            <w:pPr>
              <w:pBdr>
                <w:top w:val="nil"/>
                <w:left w:val="nil"/>
                <w:bottom w:val="nil"/>
                <w:right w:val="nil"/>
                <w:between w:val="nil"/>
                <w:bar w:val="nil"/>
              </w:pBdr>
              <w:tabs>
                <w:tab w:val="clear" w:pos="2835"/>
              </w:tabs>
              <w:spacing w:line="323" w:lineRule="atLeast"/>
              <w:jc w:val="center"/>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1</w:t>
            </w:r>
          </w:p>
        </w:tc>
        <w:tc>
          <w:tcPr>
            <w:tcW w:w="1220" w:type="dxa"/>
            <w:tcBorders>
              <w:top w:val="single" w:sz="8" w:space="0" w:color="FFFFFF"/>
              <w:left w:val="single" w:sz="8" w:space="0" w:color="FFFFFF"/>
              <w:bottom w:val="single" w:sz="8" w:space="0" w:color="FFFFFF"/>
              <w:right w:val="single" w:sz="8" w:space="0" w:color="FFFFFF"/>
            </w:tcBorders>
            <w:shd w:val="clear" w:color="auto" w:fill="EAEFF7"/>
            <w:tcMar>
              <w:top w:w="80" w:type="dxa"/>
              <w:left w:w="80" w:type="dxa"/>
              <w:bottom w:w="80" w:type="dxa"/>
              <w:right w:w="80" w:type="dxa"/>
            </w:tcMar>
            <w:vAlign w:val="bottom"/>
          </w:tcPr>
          <w:p>
            <w:pPr>
              <w:pBdr>
                <w:top w:val="nil"/>
                <w:left w:val="nil"/>
                <w:bottom w:val="nil"/>
                <w:right w:val="nil"/>
                <w:between w:val="nil"/>
                <w:bar w:val="nil"/>
              </w:pBdr>
              <w:tabs>
                <w:tab w:val="clear" w:pos="2835"/>
              </w:tabs>
              <w:spacing w:line="323" w:lineRule="atLeast"/>
              <w:jc w:val="center"/>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1</w:t>
            </w:r>
          </w:p>
        </w:tc>
        <w:tc>
          <w:tcPr>
            <w:tcW w:w="1220" w:type="dxa"/>
            <w:tcBorders>
              <w:top w:val="single" w:sz="8" w:space="0" w:color="FFFFFF"/>
              <w:left w:val="single" w:sz="8" w:space="0" w:color="FFFFFF"/>
              <w:bottom w:val="single" w:sz="8" w:space="0" w:color="FFFFFF"/>
              <w:right w:val="single" w:sz="8" w:space="0" w:color="FFFFFF"/>
            </w:tcBorders>
            <w:shd w:val="clear" w:color="auto" w:fill="EAEFF7"/>
            <w:tcMar>
              <w:top w:w="80" w:type="dxa"/>
              <w:left w:w="80" w:type="dxa"/>
              <w:bottom w:w="80" w:type="dxa"/>
              <w:right w:w="80" w:type="dxa"/>
            </w:tcMar>
            <w:vAlign w:val="bottom"/>
          </w:tcPr>
          <w:p>
            <w:pPr>
              <w:pBdr>
                <w:top w:val="nil"/>
                <w:left w:val="nil"/>
                <w:bottom w:val="nil"/>
                <w:right w:val="nil"/>
                <w:between w:val="nil"/>
                <w:bar w:val="nil"/>
              </w:pBdr>
              <w:tabs>
                <w:tab w:val="clear" w:pos="2835"/>
              </w:tabs>
              <w:spacing w:line="323" w:lineRule="atLeast"/>
              <w:jc w:val="center"/>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0</w:t>
            </w:r>
          </w:p>
        </w:tc>
      </w:tr>
      <w:tr>
        <w:tblPrEx>
          <w:tblCellMar>
            <w:top w:w="0" w:type="dxa"/>
            <w:left w:w="0" w:type="dxa"/>
            <w:bottom w:w="0" w:type="dxa"/>
            <w:right w:w="0" w:type="dxa"/>
          </w:tblCellMar>
        </w:tblPrEx>
        <w:trPr>
          <w:trHeight w:val="260"/>
          <w:jc w:val="center"/>
        </w:trPr>
        <w:tc>
          <w:tcPr>
            <w:tcW w:w="2240" w:type="dxa"/>
            <w:tcBorders>
              <w:top w:val="single" w:sz="8" w:space="0" w:color="FFFFFF"/>
              <w:left w:val="single" w:sz="8" w:space="0" w:color="FFFFFF"/>
              <w:bottom w:val="single" w:sz="8" w:space="0" w:color="FFFFFF"/>
              <w:right w:val="single" w:sz="8" w:space="0" w:color="FFFFFF"/>
            </w:tcBorders>
            <w:shd w:val="clear" w:color="auto" w:fill="5B9BD5"/>
            <w:tcMar>
              <w:top w:w="80" w:type="dxa"/>
              <w:left w:w="80" w:type="dxa"/>
              <w:bottom w:w="80" w:type="dxa"/>
              <w:right w:w="80" w:type="dxa"/>
            </w:tcMar>
            <w:vAlign w:val="bottom"/>
          </w:tcPr>
          <w:p>
            <w:pPr>
              <w:pBdr>
                <w:top w:val="nil"/>
                <w:left w:val="nil"/>
                <w:bottom w:val="nil"/>
                <w:right w:val="nil"/>
                <w:between w:val="nil"/>
                <w:bar w:val="nil"/>
              </w:pBdr>
              <w:tabs>
                <w:tab w:val="clear" w:pos="2835"/>
              </w:tabs>
              <w:spacing w:line="323" w:lineRule="atLeast"/>
              <w:jc w:val="left"/>
              <w:rPr>
                <w:rFonts w:eastAsia="Arial"/>
                <w:b w:val="0"/>
                <w:color w:val="000000"/>
                <w:sz w:val="18"/>
                <w:szCs w:val="18"/>
                <w:u w:color="000000"/>
                <w:bdr w:val="nil"/>
                <w:lang w:val="es-ES_tradnl" w:eastAsia="es-CL"/>
              </w:rPr>
            </w:pPr>
            <w:r>
              <w:rPr>
                <w:bCs/>
                <w:color w:val="FFFFFF"/>
                <w:kern w:val="24"/>
                <w:sz w:val="18"/>
                <w:szCs w:val="18"/>
                <w:u w:color="FFFFFF"/>
                <w:bdr w:val="nil"/>
                <w:lang w:val="es-ES_tradnl" w:eastAsia="es-CL"/>
              </w:rPr>
              <w:t>TOTAL</w:t>
            </w:r>
          </w:p>
        </w:tc>
        <w:tc>
          <w:tcPr>
            <w:tcW w:w="1260" w:type="dxa"/>
            <w:tcBorders>
              <w:top w:val="single" w:sz="8" w:space="0" w:color="FFFFFF"/>
              <w:left w:val="single" w:sz="8" w:space="0" w:color="FFFFFF"/>
              <w:bottom w:val="single" w:sz="8" w:space="0" w:color="FFFFFF"/>
              <w:right w:val="single" w:sz="8" w:space="0" w:color="FFFFFF"/>
            </w:tcBorders>
            <w:shd w:val="clear" w:color="auto" w:fill="D2DEEF"/>
            <w:tcMar>
              <w:top w:w="80" w:type="dxa"/>
              <w:left w:w="80" w:type="dxa"/>
              <w:bottom w:w="80" w:type="dxa"/>
              <w:right w:w="80" w:type="dxa"/>
            </w:tcMar>
            <w:vAlign w:val="bottom"/>
          </w:tcPr>
          <w:p>
            <w:pPr>
              <w:pBdr>
                <w:top w:val="nil"/>
                <w:left w:val="nil"/>
                <w:bottom w:val="nil"/>
                <w:right w:val="nil"/>
                <w:between w:val="nil"/>
                <w:bar w:val="nil"/>
              </w:pBdr>
              <w:tabs>
                <w:tab w:val="clear" w:pos="2835"/>
              </w:tabs>
              <w:spacing w:line="323" w:lineRule="atLeast"/>
              <w:jc w:val="center"/>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143</w:t>
            </w:r>
          </w:p>
        </w:tc>
        <w:tc>
          <w:tcPr>
            <w:tcW w:w="1220" w:type="dxa"/>
            <w:tcBorders>
              <w:top w:val="single" w:sz="8" w:space="0" w:color="FFFFFF"/>
              <w:left w:val="single" w:sz="8" w:space="0" w:color="FFFFFF"/>
              <w:bottom w:val="single" w:sz="8" w:space="0" w:color="FFFFFF"/>
              <w:right w:val="single" w:sz="8" w:space="0" w:color="FFFFFF"/>
            </w:tcBorders>
            <w:shd w:val="clear" w:color="auto" w:fill="D2DEEF"/>
            <w:tcMar>
              <w:top w:w="80" w:type="dxa"/>
              <w:left w:w="80" w:type="dxa"/>
              <w:bottom w:w="80" w:type="dxa"/>
              <w:right w:w="80" w:type="dxa"/>
            </w:tcMar>
            <w:vAlign w:val="bottom"/>
          </w:tcPr>
          <w:p>
            <w:pPr>
              <w:pBdr>
                <w:top w:val="nil"/>
                <w:left w:val="nil"/>
                <w:bottom w:val="nil"/>
                <w:right w:val="nil"/>
                <w:between w:val="nil"/>
                <w:bar w:val="nil"/>
              </w:pBdr>
              <w:tabs>
                <w:tab w:val="clear" w:pos="2835"/>
              </w:tabs>
              <w:spacing w:line="323" w:lineRule="atLeast"/>
              <w:jc w:val="center"/>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381</w:t>
            </w:r>
          </w:p>
        </w:tc>
        <w:tc>
          <w:tcPr>
            <w:tcW w:w="1220" w:type="dxa"/>
            <w:tcBorders>
              <w:top w:val="single" w:sz="8" w:space="0" w:color="FFFFFF"/>
              <w:left w:val="single" w:sz="8" w:space="0" w:color="FFFFFF"/>
              <w:bottom w:val="single" w:sz="8" w:space="0" w:color="FFFFFF"/>
              <w:right w:val="single" w:sz="8" w:space="0" w:color="FFFFFF"/>
            </w:tcBorders>
            <w:shd w:val="clear" w:color="auto" w:fill="D2DEEF"/>
            <w:tcMar>
              <w:top w:w="80" w:type="dxa"/>
              <w:left w:w="80" w:type="dxa"/>
              <w:bottom w:w="80" w:type="dxa"/>
              <w:right w:w="80" w:type="dxa"/>
            </w:tcMar>
            <w:vAlign w:val="bottom"/>
          </w:tcPr>
          <w:p>
            <w:pPr>
              <w:pBdr>
                <w:top w:val="nil"/>
                <w:left w:val="nil"/>
                <w:bottom w:val="nil"/>
                <w:right w:val="nil"/>
                <w:between w:val="nil"/>
                <w:bar w:val="nil"/>
              </w:pBdr>
              <w:tabs>
                <w:tab w:val="clear" w:pos="2835"/>
              </w:tabs>
              <w:spacing w:line="323" w:lineRule="atLeast"/>
              <w:jc w:val="center"/>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134</w:t>
            </w:r>
          </w:p>
        </w:tc>
      </w:tr>
      <w:tr>
        <w:tblPrEx>
          <w:tblCellMar>
            <w:top w:w="0" w:type="dxa"/>
            <w:left w:w="0" w:type="dxa"/>
            <w:bottom w:w="0" w:type="dxa"/>
            <w:right w:w="0" w:type="dxa"/>
          </w:tblCellMar>
        </w:tblPrEx>
        <w:trPr>
          <w:trHeight w:val="260"/>
          <w:jc w:val="center"/>
        </w:trPr>
        <w:tc>
          <w:tcPr>
            <w:tcW w:w="2240" w:type="dxa"/>
            <w:tcBorders>
              <w:top w:val="single" w:sz="8" w:space="0" w:color="FFFFFF"/>
              <w:left w:val="single" w:sz="8" w:space="0" w:color="FFFFFF"/>
              <w:bottom w:val="single" w:sz="8" w:space="0" w:color="FFFFFF"/>
              <w:right w:val="single" w:sz="8" w:space="0" w:color="FFFFFF"/>
            </w:tcBorders>
            <w:shd w:val="clear" w:color="auto" w:fill="5B9BD5"/>
            <w:tcMar>
              <w:top w:w="80" w:type="dxa"/>
              <w:left w:w="80" w:type="dxa"/>
              <w:bottom w:w="80" w:type="dxa"/>
              <w:right w:w="80" w:type="dxa"/>
            </w:tcMar>
            <w:vAlign w:val="bottom"/>
          </w:tcPr>
          <w:p>
            <w:pPr>
              <w:pBdr>
                <w:top w:val="nil"/>
                <w:left w:val="nil"/>
                <w:bottom w:val="nil"/>
                <w:right w:val="nil"/>
                <w:between w:val="nil"/>
                <w:bar w:val="nil"/>
              </w:pBdr>
              <w:tabs>
                <w:tab w:val="clear" w:pos="2835"/>
              </w:tabs>
              <w:spacing w:line="323" w:lineRule="atLeast"/>
              <w:jc w:val="left"/>
              <w:rPr>
                <w:rFonts w:eastAsia="Arial"/>
                <w:b w:val="0"/>
                <w:color w:val="000000"/>
                <w:sz w:val="18"/>
                <w:szCs w:val="18"/>
                <w:u w:color="000000"/>
                <w:bdr w:val="nil"/>
                <w:lang w:val="es-ES_tradnl" w:eastAsia="es-CL"/>
              </w:rPr>
            </w:pPr>
            <w:r>
              <w:rPr>
                <w:bCs/>
                <w:color w:val="FFFFFF"/>
                <w:kern w:val="24"/>
                <w:sz w:val="18"/>
                <w:szCs w:val="18"/>
                <w:u w:color="FFFFFF"/>
                <w:bdr w:val="nil"/>
                <w:lang w:val="es-ES_tradnl" w:eastAsia="es-CL"/>
              </w:rPr>
              <w:t>% CUMPLIMIENTO</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80" w:type="dxa"/>
              <w:left w:w="80" w:type="dxa"/>
              <w:bottom w:w="80" w:type="dxa"/>
              <w:right w:w="80" w:type="dxa"/>
            </w:tcMar>
            <w:vAlign w:val="bottom"/>
          </w:tcPr>
          <w:p>
            <w:pPr>
              <w:pBdr>
                <w:top w:val="nil"/>
                <w:left w:val="nil"/>
                <w:bottom w:val="nil"/>
                <w:right w:val="nil"/>
                <w:between w:val="nil"/>
                <w:bar w:val="nil"/>
              </w:pBdr>
              <w:tabs>
                <w:tab w:val="clear" w:pos="2835"/>
              </w:tabs>
              <w:spacing w:line="323" w:lineRule="atLeast"/>
              <w:jc w:val="center"/>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100%</w:t>
            </w:r>
          </w:p>
        </w:tc>
        <w:tc>
          <w:tcPr>
            <w:tcW w:w="1220" w:type="dxa"/>
            <w:tcBorders>
              <w:top w:val="single" w:sz="8" w:space="0" w:color="FFFFFF"/>
              <w:left w:val="single" w:sz="8" w:space="0" w:color="FFFFFF"/>
              <w:bottom w:val="single" w:sz="8" w:space="0" w:color="FFFFFF"/>
              <w:right w:val="single" w:sz="8" w:space="0" w:color="FFFFFF"/>
            </w:tcBorders>
            <w:shd w:val="clear" w:color="auto" w:fill="EAEFF7"/>
            <w:tcMar>
              <w:top w:w="80" w:type="dxa"/>
              <w:left w:w="80" w:type="dxa"/>
              <w:bottom w:w="80" w:type="dxa"/>
              <w:right w:w="80" w:type="dxa"/>
            </w:tcMar>
            <w:vAlign w:val="bottom"/>
          </w:tcPr>
          <w:p>
            <w:pPr>
              <w:pBdr>
                <w:top w:val="nil"/>
                <w:left w:val="nil"/>
                <w:bottom w:val="nil"/>
                <w:right w:val="nil"/>
                <w:between w:val="nil"/>
                <w:bar w:val="nil"/>
              </w:pBdr>
              <w:tabs>
                <w:tab w:val="clear" w:pos="2835"/>
              </w:tabs>
              <w:spacing w:line="323" w:lineRule="atLeast"/>
              <w:jc w:val="center"/>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99%</w:t>
            </w:r>
          </w:p>
        </w:tc>
        <w:tc>
          <w:tcPr>
            <w:tcW w:w="1220" w:type="dxa"/>
            <w:tcBorders>
              <w:top w:val="single" w:sz="8" w:space="0" w:color="FFFFFF"/>
              <w:left w:val="single" w:sz="8" w:space="0" w:color="FFFFFF"/>
              <w:bottom w:val="single" w:sz="8" w:space="0" w:color="FFFFFF"/>
              <w:right w:val="single" w:sz="8" w:space="0" w:color="FFFFFF"/>
            </w:tcBorders>
            <w:shd w:val="clear" w:color="auto" w:fill="EAEFF7"/>
            <w:tcMar>
              <w:top w:w="80" w:type="dxa"/>
              <w:left w:w="80" w:type="dxa"/>
              <w:bottom w:w="80" w:type="dxa"/>
              <w:right w:w="80" w:type="dxa"/>
            </w:tcMar>
            <w:vAlign w:val="bottom"/>
          </w:tcPr>
          <w:p>
            <w:pPr>
              <w:pBdr>
                <w:top w:val="nil"/>
                <w:left w:val="nil"/>
                <w:bottom w:val="nil"/>
                <w:right w:val="nil"/>
                <w:between w:val="nil"/>
                <w:bar w:val="nil"/>
              </w:pBdr>
              <w:tabs>
                <w:tab w:val="clear" w:pos="2835"/>
              </w:tabs>
              <w:spacing w:line="323" w:lineRule="atLeast"/>
              <w:jc w:val="center"/>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63%</w:t>
            </w:r>
          </w:p>
        </w:tc>
      </w:tr>
    </w:tbl>
    <w:p>
      <w:pPr>
        <w:widowControl w:val="0"/>
        <w:pBdr>
          <w:top w:val="nil"/>
          <w:left w:val="nil"/>
          <w:bottom w:val="nil"/>
          <w:right w:val="nil"/>
          <w:between w:val="nil"/>
          <w:bar w:val="nil"/>
        </w:pBdr>
        <w:rPr>
          <w:rFonts w:eastAsia="Arial"/>
          <w:b w:val="0"/>
          <w:color w:val="000000"/>
          <w:sz w:val="18"/>
          <w:szCs w:val="18"/>
          <w:u w:color="000000"/>
          <w:bdr w:val="nil"/>
          <w:lang w:val="es-ES_tradnl" w:eastAsia="es-CL"/>
        </w:rPr>
      </w:pPr>
    </w:p>
    <w:p>
      <w:pPr>
        <w:pBdr>
          <w:top w:val="nil"/>
          <w:left w:val="nil"/>
          <w:bottom w:val="nil"/>
          <w:right w:val="nil"/>
          <w:between w:val="nil"/>
          <w:bar w:val="nil"/>
        </w:pBdr>
        <w:rPr>
          <w:rFonts w:eastAsia="Arial"/>
          <w:b w:val="0"/>
          <w:color w:val="000000"/>
          <w:sz w:val="18"/>
          <w:szCs w:val="18"/>
          <w:u w:color="000000"/>
          <w:bdr w:val="nil"/>
          <w:lang w:val="es-ES_tradnl" w:eastAsia="es-CL"/>
        </w:rPr>
      </w:pPr>
    </w:p>
    <w:tbl>
      <w:tblPr>
        <w:tblW w:w="6000" w:type="dxa"/>
        <w:jc w:val="center"/>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3280"/>
        <w:gridCol w:w="1360"/>
        <w:gridCol w:w="1360"/>
      </w:tblGrid>
      <w:tr>
        <w:tblPrEx>
          <w:tblCellMar>
            <w:top w:w="0" w:type="dxa"/>
            <w:left w:w="0" w:type="dxa"/>
            <w:bottom w:w="0" w:type="dxa"/>
            <w:right w:w="0" w:type="dxa"/>
          </w:tblCellMar>
        </w:tblPrEx>
        <w:trPr>
          <w:trHeight w:val="260"/>
          <w:jc w:val="center"/>
        </w:trPr>
        <w:tc>
          <w:tcPr>
            <w:tcW w:w="3280" w:type="dxa"/>
            <w:tcBorders>
              <w:top w:val="single" w:sz="8" w:space="0" w:color="FFFFFF"/>
              <w:left w:val="single" w:sz="8" w:space="0" w:color="FFFFFF"/>
              <w:bottom w:val="single" w:sz="8" w:space="0" w:color="FFFFFF"/>
              <w:right w:val="single" w:sz="8" w:space="0" w:color="FFFFFF"/>
            </w:tcBorders>
            <w:shd w:val="clear" w:color="auto" w:fill="5B9BD5"/>
            <w:tcMar>
              <w:top w:w="80" w:type="dxa"/>
              <w:left w:w="80" w:type="dxa"/>
              <w:bottom w:w="80" w:type="dxa"/>
              <w:right w:w="80" w:type="dxa"/>
            </w:tcMar>
            <w:vAlign w:val="center"/>
          </w:tcPr>
          <w:p>
            <w:pPr>
              <w:pBdr>
                <w:top w:val="nil"/>
                <w:left w:val="nil"/>
                <w:bottom w:val="nil"/>
                <w:right w:val="nil"/>
                <w:between w:val="nil"/>
                <w:bar w:val="nil"/>
              </w:pBdr>
              <w:tabs>
                <w:tab w:val="clear" w:pos="2835"/>
              </w:tabs>
              <w:spacing w:line="300" w:lineRule="atLeast"/>
              <w:jc w:val="center"/>
              <w:rPr>
                <w:rFonts w:eastAsia="Arial"/>
                <w:b w:val="0"/>
                <w:color w:val="000000"/>
                <w:sz w:val="18"/>
                <w:szCs w:val="18"/>
                <w:u w:color="000000"/>
                <w:bdr w:val="nil"/>
                <w:lang w:val="es-ES_tradnl" w:eastAsia="es-CL"/>
              </w:rPr>
            </w:pPr>
            <w:r>
              <w:rPr>
                <w:b w:val="0"/>
                <w:color w:val="FFFFFF"/>
                <w:kern w:val="24"/>
                <w:sz w:val="18"/>
                <w:szCs w:val="18"/>
                <w:u w:color="FFFFFF"/>
                <w:bdr w:val="nil"/>
                <w:lang w:val="es-ES_tradnl" w:eastAsia="es-CL"/>
              </w:rPr>
              <w:t>Concepto</w:t>
            </w:r>
          </w:p>
        </w:tc>
        <w:tc>
          <w:tcPr>
            <w:tcW w:w="1360" w:type="dxa"/>
            <w:tcBorders>
              <w:top w:val="single" w:sz="8" w:space="0" w:color="FFFFFF"/>
              <w:left w:val="single" w:sz="8" w:space="0" w:color="FFFFFF"/>
              <w:bottom w:val="single" w:sz="8" w:space="0" w:color="FFFFFF"/>
              <w:right w:val="single" w:sz="8" w:space="0" w:color="FFFFFF"/>
            </w:tcBorders>
            <w:shd w:val="clear" w:color="auto" w:fill="5B9BD5"/>
            <w:tcMar>
              <w:top w:w="80" w:type="dxa"/>
              <w:left w:w="80" w:type="dxa"/>
              <w:bottom w:w="80" w:type="dxa"/>
              <w:right w:w="80" w:type="dxa"/>
            </w:tcMar>
            <w:vAlign w:val="center"/>
          </w:tcPr>
          <w:p>
            <w:pPr>
              <w:pBdr>
                <w:top w:val="nil"/>
                <w:left w:val="nil"/>
                <w:bottom w:val="nil"/>
                <w:right w:val="nil"/>
                <w:between w:val="nil"/>
                <w:bar w:val="nil"/>
              </w:pBdr>
              <w:tabs>
                <w:tab w:val="clear" w:pos="2835"/>
              </w:tabs>
              <w:spacing w:line="300" w:lineRule="atLeast"/>
              <w:jc w:val="center"/>
              <w:rPr>
                <w:rFonts w:eastAsia="Arial"/>
                <w:b w:val="0"/>
                <w:color w:val="000000"/>
                <w:sz w:val="18"/>
                <w:szCs w:val="18"/>
                <w:u w:color="000000"/>
                <w:bdr w:val="nil"/>
                <w:lang w:val="es-ES_tradnl" w:eastAsia="es-CL"/>
              </w:rPr>
            </w:pPr>
            <w:r>
              <w:rPr>
                <w:b w:val="0"/>
                <w:color w:val="FFFFFF"/>
                <w:kern w:val="24"/>
                <w:sz w:val="18"/>
                <w:szCs w:val="18"/>
                <w:u w:color="FFFFFF"/>
                <w:bdr w:val="nil"/>
                <w:lang w:val="es-ES_tradnl" w:eastAsia="es-CL"/>
              </w:rPr>
              <w:t>N°</w:t>
            </w:r>
          </w:p>
        </w:tc>
        <w:tc>
          <w:tcPr>
            <w:tcW w:w="1360" w:type="dxa"/>
            <w:tcBorders>
              <w:top w:val="single" w:sz="8" w:space="0" w:color="FFFFFF"/>
              <w:left w:val="single" w:sz="8" w:space="0" w:color="FFFFFF"/>
              <w:bottom w:val="single" w:sz="8" w:space="0" w:color="FFFFFF"/>
              <w:right w:val="single" w:sz="8" w:space="0" w:color="FFFFFF"/>
            </w:tcBorders>
            <w:shd w:val="clear" w:color="auto" w:fill="5B9BD5"/>
            <w:tcMar>
              <w:top w:w="80" w:type="dxa"/>
              <w:left w:w="80" w:type="dxa"/>
              <w:bottom w:w="80" w:type="dxa"/>
              <w:right w:w="80" w:type="dxa"/>
            </w:tcMar>
            <w:vAlign w:val="center"/>
          </w:tcPr>
          <w:p>
            <w:pPr>
              <w:pBdr>
                <w:top w:val="nil"/>
                <w:left w:val="nil"/>
                <w:bottom w:val="nil"/>
                <w:right w:val="nil"/>
                <w:between w:val="nil"/>
                <w:bar w:val="nil"/>
              </w:pBdr>
              <w:tabs>
                <w:tab w:val="clear" w:pos="2835"/>
              </w:tabs>
              <w:spacing w:line="300" w:lineRule="atLeast"/>
              <w:jc w:val="center"/>
              <w:rPr>
                <w:rFonts w:eastAsia="Arial"/>
                <w:b w:val="0"/>
                <w:color w:val="000000"/>
                <w:sz w:val="18"/>
                <w:szCs w:val="18"/>
                <w:u w:color="000000"/>
                <w:bdr w:val="nil"/>
                <w:lang w:val="es-ES_tradnl" w:eastAsia="es-CL"/>
              </w:rPr>
            </w:pPr>
            <w:r>
              <w:rPr>
                <w:b w:val="0"/>
                <w:color w:val="FFFFFF"/>
                <w:kern w:val="24"/>
                <w:sz w:val="18"/>
                <w:szCs w:val="18"/>
                <w:u w:color="FFFFFF"/>
                <w:bdr w:val="nil"/>
                <w:lang w:val="es-ES_tradnl" w:eastAsia="es-CL"/>
              </w:rPr>
              <w:t>%</w:t>
            </w:r>
          </w:p>
        </w:tc>
      </w:tr>
      <w:tr>
        <w:tblPrEx>
          <w:tblCellMar>
            <w:top w:w="0" w:type="dxa"/>
            <w:left w:w="0" w:type="dxa"/>
            <w:bottom w:w="0" w:type="dxa"/>
            <w:right w:w="0" w:type="dxa"/>
          </w:tblCellMar>
        </w:tblPrEx>
        <w:trPr>
          <w:trHeight w:val="260"/>
          <w:jc w:val="center"/>
        </w:trPr>
        <w:tc>
          <w:tcPr>
            <w:tcW w:w="3280" w:type="dxa"/>
            <w:tcBorders>
              <w:top w:val="single" w:sz="8" w:space="0" w:color="FFFFFF"/>
              <w:left w:val="single" w:sz="8" w:space="0" w:color="FFFFFF"/>
              <w:bottom w:val="single" w:sz="8" w:space="0" w:color="FFFFFF"/>
              <w:right w:val="single" w:sz="8" w:space="0" w:color="FFFFFF"/>
            </w:tcBorders>
            <w:shd w:val="clear" w:color="auto" w:fill="EAEFF7"/>
            <w:tcMar>
              <w:top w:w="80" w:type="dxa"/>
              <w:left w:w="80" w:type="dxa"/>
              <w:bottom w:w="80" w:type="dxa"/>
              <w:right w:w="80" w:type="dxa"/>
            </w:tcMar>
            <w:vAlign w:val="bottom"/>
          </w:tcPr>
          <w:p>
            <w:pPr>
              <w:pBdr>
                <w:top w:val="nil"/>
                <w:left w:val="nil"/>
                <w:bottom w:val="nil"/>
                <w:right w:val="nil"/>
                <w:between w:val="nil"/>
                <w:bar w:val="nil"/>
              </w:pBdr>
              <w:tabs>
                <w:tab w:val="clear" w:pos="2835"/>
              </w:tabs>
              <w:spacing w:line="288" w:lineRule="atLeast"/>
              <w:jc w:val="center"/>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N° Vacantes</w:t>
            </w:r>
          </w:p>
        </w:tc>
        <w:tc>
          <w:tcPr>
            <w:tcW w:w="1360" w:type="dxa"/>
            <w:tcBorders>
              <w:top w:val="single" w:sz="8" w:space="0" w:color="FFFFFF"/>
              <w:left w:val="single" w:sz="8" w:space="0" w:color="FFFFFF"/>
              <w:bottom w:val="single" w:sz="8" w:space="0" w:color="FFFFFF"/>
              <w:right w:val="single" w:sz="8" w:space="0" w:color="FFFFFF"/>
            </w:tcBorders>
            <w:shd w:val="clear" w:color="auto" w:fill="EAEFF7"/>
            <w:tcMar>
              <w:top w:w="80" w:type="dxa"/>
              <w:left w:w="80" w:type="dxa"/>
              <w:bottom w:w="80" w:type="dxa"/>
              <w:right w:w="80" w:type="dxa"/>
            </w:tcMar>
            <w:vAlign w:val="bottom"/>
          </w:tcPr>
          <w:p>
            <w:pPr>
              <w:pBdr>
                <w:top w:val="nil"/>
                <w:left w:val="nil"/>
                <w:bottom w:val="nil"/>
                <w:right w:val="nil"/>
                <w:between w:val="nil"/>
                <w:bar w:val="nil"/>
              </w:pBdr>
              <w:tabs>
                <w:tab w:val="clear" w:pos="2835"/>
              </w:tabs>
              <w:spacing w:line="288" w:lineRule="atLeast"/>
              <w:jc w:val="center"/>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740</w:t>
            </w:r>
          </w:p>
        </w:tc>
        <w:tc>
          <w:tcPr>
            <w:tcW w:w="1360" w:type="dxa"/>
            <w:tcBorders>
              <w:top w:val="single" w:sz="8" w:space="0" w:color="FFFFFF"/>
              <w:left w:val="single" w:sz="8" w:space="0" w:color="FFFFFF"/>
              <w:bottom w:val="single" w:sz="8" w:space="0" w:color="FFFFFF"/>
              <w:right w:val="single" w:sz="8" w:space="0" w:color="FFFFFF"/>
            </w:tcBorders>
            <w:shd w:val="clear" w:color="auto" w:fill="EAEFF7"/>
            <w:tcMar>
              <w:top w:w="80" w:type="dxa"/>
              <w:left w:w="80" w:type="dxa"/>
              <w:bottom w:w="80" w:type="dxa"/>
              <w:right w:w="80" w:type="dxa"/>
            </w:tcMar>
            <w:vAlign w:val="bottom"/>
          </w:tcPr>
          <w:p>
            <w:pPr>
              <w:pBdr>
                <w:top w:val="nil"/>
                <w:left w:val="nil"/>
                <w:bottom w:val="nil"/>
                <w:right w:val="nil"/>
                <w:between w:val="nil"/>
                <w:bar w:val="nil"/>
              </w:pBdr>
              <w:tabs>
                <w:tab w:val="clear" w:pos="2835"/>
              </w:tabs>
              <w:spacing w:line="288" w:lineRule="atLeast"/>
              <w:jc w:val="center"/>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100,00%</w:t>
            </w:r>
          </w:p>
        </w:tc>
      </w:tr>
      <w:tr>
        <w:tblPrEx>
          <w:tblCellMar>
            <w:top w:w="0" w:type="dxa"/>
            <w:left w:w="0" w:type="dxa"/>
            <w:bottom w:w="0" w:type="dxa"/>
            <w:right w:w="0" w:type="dxa"/>
          </w:tblCellMar>
        </w:tblPrEx>
        <w:trPr>
          <w:trHeight w:val="260"/>
          <w:jc w:val="center"/>
        </w:trPr>
        <w:tc>
          <w:tcPr>
            <w:tcW w:w="3280" w:type="dxa"/>
            <w:tcBorders>
              <w:top w:val="single" w:sz="8" w:space="0" w:color="FFFFFF"/>
              <w:left w:val="single" w:sz="8" w:space="0" w:color="FFFFFF"/>
              <w:bottom w:val="single" w:sz="8" w:space="0" w:color="FFFFFF"/>
              <w:right w:val="single" w:sz="8" w:space="0" w:color="FFFFFF"/>
            </w:tcBorders>
            <w:shd w:val="clear" w:color="auto" w:fill="EAEFF7"/>
            <w:tcMar>
              <w:top w:w="80" w:type="dxa"/>
              <w:left w:w="80" w:type="dxa"/>
              <w:bottom w:w="80" w:type="dxa"/>
              <w:right w:w="80" w:type="dxa"/>
            </w:tcMar>
            <w:vAlign w:val="bottom"/>
          </w:tcPr>
          <w:p>
            <w:pPr>
              <w:pBdr>
                <w:top w:val="nil"/>
                <w:left w:val="nil"/>
                <w:bottom w:val="nil"/>
                <w:right w:val="nil"/>
                <w:between w:val="nil"/>
                <w:bar w:val="nil"/>
              </w:pBdr>
              <w:tabs>
                <w:tab w:val="clear" w:pos="2835"/>
              </w:tabs>
              <w:spacing w:line="288" w:lineRule="atLeast"/>
              <w:jc w:val="center"/>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Pendientes</w:t>
            </w:r>
          </w:p>
        </w:tc>
        <w:tc>
          <w:tcPr>
            <w:tcW w:w="1360" w:type="dxa"/>
            <w:tcBorders>
              <w:top w:val="single" w:sz="8" w:space="0" w:color="FFFFFF"/>
              <w:left w:val="single" w:sz="8" w:space="0" w:color="FFFFFF"/>
              <w:bottom w:val="single" w:sz="8" w:space="0" w:color="FFFFFF"/>
              <w:right w:val="single" w:sz="8" w:space="0" w:color="FFFFFF"/>
            </w:tcBorders>
            <w:shd w:val="clear" w:color="auto" w:fill="EAEFF7"/>
            <w:tcMar>
              <w:top w:w="80" w:type="dxa"/>
              <w:left w:w="80" w:type="dxa"/>
              <w:bottom w:w="80" w:type="dxa"/>
              <w:right w:w="80" w:type="dxa"/>
            </w:tcMar>
            <w:vAlign w:val="bottom"/>
          </w:tcPr>
          <w:p>
            <w:pPr>
              <w:pBdr>
                <w:top w:val="nil"/>
                <w:left w:val="nil"/>
                <w:bottom w:val="nil"/>
                <w:right w:val="nil"/>
                <w:between w:val="nil"/>
                <w:bar w:val="nil"/>
              </w:pBdr>
              <w:tabs>
                <w:tab w:val="clear" w:pos="2835"/>
              </w:tabs>
              <w:spacing w:line="288" w:lineRule="atLeast"/>
              <w:jc w:val="center"/>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1</w:t>
            </w:r>
          </w:p>
        </w:tc>
        <w:tc>
          <w:tcPr>
            <w:tcW w:w="1360" w:type="dxa"/>
            <w:tcBorders>
              <w:top w:val="single" w:sz="8" w:space="0" w:color="FFFFFF"/>
              <w:left w:val="single" w:sz="8" w:space="0" w:color="FFFFFF"/>
              <w:bottom w:val="single" w:sz="8" w:space="0" w:color="FFFFFF"/>
              <w:right w:val="single" w:sz="8" w:space="0" w:color="FFFFFF"/>
            </w:tcBorders>
            <w:shd w:val="clear" w:color="auto" w:fill="EAEFF7"/>
            <w:tcMar>
              <w:top w:w="80" w:type="dxa"/>
              <w:left w:w="80" w:type="dxa"/>
              <w:bottom w:w="80" w:type="dxa"/>
              <w:right w:w="80" w:type="dxa"/>
            </w:tcMar>
            <w:vAlign w:val="bottom"/>
          </w:tcPr>
          <w:p>
            <w:pPr>
              <w:pBdr>
                <w:top w:val="nil"/>
                <w:left w:val="nil"/>
                <w:bottom w:val="nil"/>
                <w:right w:val="nil"/>
                <w:between w:val="nil"/>
                <w:bar w:val="nil"/>
              </w:pBdr>
              <w:tabs>
                <w:tab w:val="clear" w:pos="2835"/>
              </w:tabs>
              <w:spacing w:line="288" w:lineRule="atLeast"/>
              <w:jc w:val="center"/>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0,14%</w:t>
            </w:r>
          </w:p>
        </w:tc>
      </w:tr>
      <w:tr>
        <w:tblPrEx>
          <w:tblCellMar>
            <w:top w:w="0" w:type="dxa"/>
            <w:left w:w="0" w:type="dxa"/>
            <w:bottom w:w="0" w:type="dxa"/>
            <w:right w:w="0" w:type="dxa"/>
          </w:tblCellMar>
        </w:tblPrEx>
        <w:trPr>
          <w:trHeight w:val="260"/>
          <w:jc w:val="center"/>
        </w:trPr>
        <w:tc>
          <w:tcPr>
            <w:tcW w:w="3280" w:type="dxa"/>
            <w:tcBorders>
              <w:top w:val="single" w:sz="8" w:space="0" w:color="FFFFFF"/>
              <w:left w:val="single" w:sz="8" w:space="0" w:color="FFFFFF"/>
              <w:bottom w:val="single" w:sz="8" w:space="0" w:color="FFFFFF"/>
              <w:right w:val="single" w:sz="8" w:space="0" w:color="FFFFFF"/>
            </w:tcBorders>
            <w:shd w:val="clear" w:color="auto" w:fill="EAEFF7"/>
            <w:tcMar>
              <w:top w:w="80" w:type="dxa"/>
              <w:left w:w="80" w:type="dxa"/>
              <w:bottom w:w="80" w:type="dxa"/>
              <w:right w:w="80" w:type="dxa"/>
            </w:tcMar>
            <w:vAlign w:val="bottom"/>
          </w:tcPr>
          <w:p>
            <w:pPr>
              <w:pBdr>
                <w:top w:val="nil"/>
                <w:left w:val="nil"/>
                <w:bottom w:val="nil"/>
                <w:right w:val="nil"/>
                <w:between w:val="nil"/>
                <w:bar w:val="nil"/>
              </w:pBdr>
              <w:tabs>
                <w:tab w:val="clear" w:pos="2835"/>
              </w:tabs>
              <w:spacing w:line="288" w:lineRule="atLeast"/>
              <w:jc w:val="center"/>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En Proceso</w:t>
            </w:r>
          </w:p>
        </w:tc>
        <w:tc>
          <w:tcPr>
            <w:tcW w:w="1360" w:type="dxa"/>
            <w:tcBorders>
              <w:top w:val="single" w:sz="8" w:space="0" w:color="FFFFFF"/>
              <w:left w:val="single" w:sz="8" w:space="0" w:color="FFFFFF"/>
              <w:bottom w:val="single" w:sz="8" w:space="0" w:color="FFFFFF"/>
              <w:right w:val="single" w:sz="8" w:space="0" w:color="FFFFFF"/>
            </w:tcBorders>
            <w:shd w:val="clear" w:color="auto" w:fill="EAEFF7"/>
            <w:tcMar>
              <w:top w:w="80" w:type="dxa"/>
              <w:left w:w="80" w:type="dxa"/>
              <w:bottom w:w="80" w:type="dxa"/>
              <w:right w:w="80" w:type="dxa"/>
            </w:tcMar>
            <w:vAlign w:val="bottom"/>
          </w:tcPr>
          <w:p>
            <w:pPr>
              <w:pBdr>
                <w:top w:val="nil"/>
                <w:left w:val="nil"/>
                <w:bottom w:val="nil"/>
                <w:right w:val="nil"/>
                <w:between w:val="nil"/>
                <w:bar w:val="nil"/>
              </w:pBdr>
              <w:tabs>
                <w:tab w:val="clear" w:pos="2835"/>
              </w:tabs>
              <w:spacing w:line="288" w:lineRule="atLeast"/>
              <w:jc w:val="center"/>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81</w:t>
            </w:r>
          </w:p>
        </w:tc>
        <w:tc>
          <w:tcPr>
            <w:tcW w:w="1360" w:type="dxa"/>
            <w:tcBorders>
              <w:top w:val="single" w:sz="8" w:space="0" w:color="FFFFFF"/>
              <w:left w:val="single" w:sz="8" w:space="0" w:color="FFFFFF"/>
              <w:bottom w:val="single" w:sz="8" w:space="0" w:color="FFFFFF"/>
              <w:right w:val="single" w:sz="8" w:space="0" w:color="FFFFFF"/>
            </w:tcBorders>
            <w:shd w:val="clear" w:color="auto" w:fill="EAEFF7"/>
            <w:tcMar>
              <w:top w:w="80" w:type="dxa"/>
              <w:left w:w="80" w:type="dxa"/>
              <w:bottom w:w="80" w:type="dxa"/>
              <w:right w:w="80" w:type="dxa"/>
            </w:tcMar>
            <w:vAlign w:val="bottom"/>
          </w:tcPr>
          <w:p>
            <w:pPr>
              <w:pBdr>
                <w:top w:val="nil"/>
                <w:left w:val="nil"/>
                <w:bottom w:val="nil"/>
                <w:right w:val="nil"/>
                <w:between w:val="nil"/>
                <w:bar w:val="nil"/>
              </w:pBdr>
              <w:tabs>
                <w:tab w:val="clear" w:pos="2835"/>
              </w:tabs>
              <w:spacing w:line="288" w:lineRule="atLeast"/>
              <w:jc w:val="center"/>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10,95%</w:t>
            </w:r>
          </w:p>
        </w:tc>
      </w:tr>
      <w:tr>
        <w:tblPrEx>
          <w:tblCellMar>
            <w:top w:w="0" w:type="dxa"/>
            <w:left w:w="0" w:type="dxa"/>
            <w:bottom w:w="0" w:type="dxa"/>
            <w:right w:w="0" w:type="dxa"/>
          </w:tblCellMar>
        </w:tblPrEx>
        <w:trPr>
          <w:trHeight w:val="260"/>
          <w:jc w:val="center"/>
        </w:trPr>
        <w:tc>
          <w:tcPr>
            <w:tcW w:w="3280" w:type="dxa"/>
            <w:tcBorders>
              <w:top w:val="single" w:sz="8" w:space="0" w:color="FFFFFF"/>
              <w:left w:val="single" w:sz="8" w:space="0" w:color="FFFFFF"/>
              <w:bottom w:val="single" w:sz="8" w:space="0" w:color="FFFFFF"/>
              <w:right w:val="single" w:sz="8" w:space="0" w:color="FFFFFF"/>
            </w:tcBorders>
            <w:shd w:val="clear" w:color="auto" w:fill="EAEFF7"/>
            <w:tcMar>
              <w:top w:w="80" w:type="dxa"/>
              <w:left w:w="80" w:type="dxa"/>
              <w:bottom w:w="80" w:type="dxa"/>
              <w:right w:w="80" w:type="dxa"/>
            </w:tcMar>
            <w:vAlign w:val="bottom"/>
          </w:tcPr>
          <w:p>
            <w:pPr>
              <w:pBdr>
                <w:top w:val="nil"/>
                <w:left w:val="nil"/>
                <w:bottom w:val="nil"/>
                <w:right w:val="nil"/>
                <w:between w:val="nil"/>
                <w:bar w:val="nil"/>
              </w:pBdr>
              <w:tabs>
                <w:tab w:val="clear" w:pos="2835"/>
              </w:tabs>
              <w:spacing w:line="300" w:lineRule="atLeast"/>
              <w:jc w:val="center"/>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Ingresos</w:t>
            </w:r>
          </w:p>
        </w:tc>
        <w:tc>
          <w:tcPr>
            <w:tcW w:w="1360" w:type="dxa"/>
            <w:tcBorders>
              <w:top w:val="single" w:sz="8" w:space="0" w:color="FFFFFF"/>
              <w:left w:val="single" w:sz="8" w:space="0" w:color="FFFFFF"/>
              <w:bottom w:val="single" w:sz="8" w:space="0" w:color="FFFFFF"/>
              <w:right w:val="single" w:sz="8" w:space="0" w:color="FFFFFF"/>
            </w:tcBorders>
            <w:shd w:val="clear" w:color="auto" w:fill="EAEFF7"/>
            <w:tcMar>
              <w:top w:w="80" w:type="dxa"/>
              <w:left w:w="80" w:type="dxa"/>
              <w:bottom w:w="80" w:type="dxa"/>
              <w:right w:w="80" w:type="dxa"/>
            </w:tcMar>
            <w:vAlign w:val="bottom"/>
          </w:tcPr>
          <w:p>
            <w:pPr>
              <w:pBdr>
                <w:top w:val="nil"/>
                <w:left w:val="nil"/>
                <w:bottom w:val="nil"/>
                <w:right w:val="nil"/>
                <w:between w:val="nil"/>
                <w:bar w:val="nil"/>
              </w:pBdr>
              <w:tabs>
                <w:tab w:val="clear" w:pos="2835"/>
              </w:tabs>
              <w:spacing w:line="300" w:lineRule="atLeast"/>
              <w:jc w:val="center"/>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658</w:t>
            </w:r>
          </w:p>
        </w:tc>
        <w:tc>
          <w:tcPr>
            <w:tcW w:w="1360" w:type="dxa"/>
            <w:tcBorders>
              <w:top w:val="single" w:sz="8" w:space="0" w:color="FFFFFF"/>
              <w:left w:val="single" w:sz="8" w:space="0" w:color="FFFFFF"/>
              <w:bottom w:val="single" w:sz="8" w:space="0" w:color="FFFFFF"/>
              <w:right w:val="single" w:sz="8" w:space="0" w:color="FFFFFF"/>
            </w:tcBorders>
            <w:shd w:val="clear" w:color="auto" w:fill="EAEFF7"/>
            <w:tcMar>
              <w:top w:w="80" w:type="dxa"/>
              <w:left w:w="80" w:type="dxa"/>
              <w:bottom w:w="80" w:type="dxa"/>
              <w:right w:w="80" w:type="dxa"/>
            </w:tcMar>
            <w:vAlign w:val="bottom"/>
          </w:tcPr>
          <w:p>
            <w:pPr>
              <w:pBdr>
                <w:top w:val="nil"/>
                <w:left w:val="nil"/>
                <w:bottom w:val="nil"/>
                <w:right w:val="nil"/>
                <w:between w:val="nil"/>
                <w:bar w:val="nil"/>
              </w:pBdr>
              <w:tabs>
                <w:tab w:val="clear" w:pos="2835"/>
              </w:tabs>
              <w:spacing w:line="300" w:lineRule="atLeast"/>
              <w:jc w:val="center"/>
              <w:rPr>
                <w:rFonts w:eastAsia="Arial"/>
                <w:b w:val="0"/>
                <w:color w:val="000000"/>
                <w:sz w:val="18"/>
                <w:szCs w:val="18"/>
                <w:u w:color="000000"/>
                <w:bdr w:val="nil"/>
                <w:lang w:val="es-ES_tradnl" w:eastAsia="es-CL"/>
              </w:rPr>
            </w:pPr>
            <w:r>
              <w:rPr>
                <w:b w:val="0"/>
                <w:color w:val="000000"/>
                <w:kern w:val="24"/>
                <w:sz w:val="18"/>
                <w:szCs w:val="18"/>
                <w:u w:color="000000"/>
                <w:bdr w:val="nil"/>
                <w:lang w:val="es-ES_tradnl" w:eastAsia="es-CL"/>
              </w:rPr>
              <w:t>88,92%</w:t>
            </w:r>
          </w:p>
        </w:tc>
      </w:tr>
    </w:tbl>
    <w:p>
      <w:pPr>
        <w:widowControl w:val="0"/>
        <w:pBdr>
          <w:top w:val="nil"/>
          <w:left w:val="nil"/>
          <w:bottom w:val="nil"/>
          <w:right w:val="nil"/>
          <w:between w:val="nil"/>
          <w:bar w:val="nil"/>
        </w:pBdr>
        <w:rPr>
          <w:rFonts w:eastAsia="Arial"/>
          <w:b w:val="0"/>
          <w:color w:val="000000"/>
          <w:sz w:val="22"/>
          <w:szCs w:val="22"/>
          <w:u w:color="000000"/>
          <w:bdr w:val="nil"/>
          <w:lang w:val="es-ES_tradnl" w:eastAsia="es-CL"/>
        </w:rPr>
      </w:pPr>
    </w:p>
    <w:p>
      <w:pPr>
        <w:pBdr>
          <w:top w:val="nil"/>
          <w:left w:val="nil"/>
          <w:bottom w:val="nil"/>
          <w:right w:val="nil"/>
          <w:between w:val="nil"/>
          <w:bar w:val="nil"/>
        </w:pBdr>
        <w:rPr>
          <w:rFonts w:eastAsia="Arial"/>
          <w:bCs/>
          <w:color w:val="000000"/>
          <w:u w:color="000000"/>
          <w:bdr w:val="nil"/>
          <w:lang w:val="es-ES_tradnl" w:eastAsia="es-CL"/>
        </w:rPr>
      </w:pPr>
      <w:r>
        <w:rPr>
          <w:rFonts w:eastAsia="Arial"/>
          <w:b w:val="0"/>
          <w:color w:val="000000"/>
          <w:u w:color="000000"/>
          <w:bdr w:val="nil"/>
          <w:lang w:val="es-ES_tradnl" w:eastAsia="es-CL"/>
        </w:rPr>
        <w:tab/>
      </w:r>
      <w:r>
        <w:rPr>
          <w:rFonts w:eastAsia="Arial Unicode MS" w:cs="Arial Unicode MS"/>
          <w:bCs/>
          <w:color w:val="000000"/>
          <w:u w:color="000000"/>
          <w:bdr w:val="nil"/>
          <w:lang w:val="es-ES_tradnl" w:eastAsia="es-CL"/>
        </w:rPr>
        <w:t>Luego de la exposición antes descrita, los Honorables señores Senadores y Diputados efectuaron las siguientes observaciones y preguntas.</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w:b w:val="0"/>
          <w:color w:val="000000"/>
          <w:u w:color="000000"/>
          <w:bdr w:val="nil"/>
          <w:lang w:val="es-ES_tradnl" w:eastAsia="es-CL"/>
        </w:rPr>
        <w:tab/>
      </w:r>
      <w:r>
        <w:rPr>
          <w:rFonts w:eastAsia="Arial Unicode MS" w:cs="Arial Unicode MS"/>
          <w:bCs/>
          <w:color w:val="000000"/>
          <w:u w:color="000000"/>
          <w:bdr w:val="nil"/>
          <w:lang w:val="es-ES_tradnl" w:eastAsia="es-CL"/>
        </w:rPr>
        <w:t>El Honorable Senador señor Coloma</w:t>
      </w:r>
      <w:r>
        <w:rPr>
          <w:rFonts w:eastAsia="Arial Unicode MS" w:cs="Arial Unicode MS"/>
          <w:b w:val="0"/>
          <w:color w:val="000000"/>
          <w:u w:color="000000"/>
          <w:bdr w:val="nil"/>
          <w:lang w:val="es-ES_tradnl" w:eastAsia="es-CL"/>
        </w:rPr>
        <w:t>, solicitó el envío de un informe que describa el impacto en la Reforma Tributaria en la recaudación por concepto del Impuesto a la Renta y del IVA, de manera diferenciada.</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w:b w:val="0"/>
          <w:color w:val="000000"/>
          <w:u w:color="000000"/>
          <w:bdr w:val="nil"/>
          <w:lang w:val="es-ES_tradnl" w:eastAsia="es-CL"/>
        </w:rPr>
        <w:tab/>
      </w:r>
      <w:r>
        <w:rPr>
          <w:rFonts w:eastAsia="Arial Unicode MS" w:cs="Arial Unicode MS"/>
          <w:bCs/>
          <w:color w:val="000000"/>
          <w:u w:color="000000"/>
          <w:bdr w:val="nil"/>
          <w:lang w:val="es-ES_tradnl" w:eastAsia="es-CL"/>
        </w:rPr>
        <w:t>El Honorable Senador señor Tuma</w:t>
      </w:r>
      <w:r>
        <w:rPr>
          <w:rFonts w:eastAsia="Arial Unicode MS" w:cs="Arial Unicode MS"/>
          <w:b w:val="0"/>
          <w:color w:val="000000"/>
          <w:u w:color="000000"/>
          <w:bdr w:val="nil"/>
          <w:lang w:val="es-ES_tradnl" w:eastAsia="es-CL"/>
        </w:rPr>
        <w:t>, en relación a las declaraciones de rentas en el extranjero, consultó qué cantidad de dichos capitales efectivamente retornaron a nuestro país.</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w:b w:val="0"/>
          <w:color w:val="000000"/>
          <w:u w:color="000000"/>
          <w:bdr w:val="nil"/>
          <w:lang w:val="es-ES_tradnl" w:eastAsia="es-CL"/>
        </w:rPr>
        <w:tab/>
      </w:r>
      <w:r>
        <w:rPr>
          <w:rFonts w:eastAsia="Arial Unicode MS" w:cs="Arial Unicode MS"/>
          <w:bCs/>
          <w:color w:val="000000"/>
          <w:u w:color="000000"/>
          <w:bdr w:val="nil"/>
          <w:lang w:val="es-ES_tradnl" w:eastAsia="es-CL"/>
        </w:rPr>
        <w:t>El Director del Servicio de Impuestos Internos, señor Fernando Barraza</w:t>
      </w:r>
      <w:r>
        <w:rPr>
          <w:rFonts w:eastAsia="Arial Unicode MS" w:cs="Arial Unicode MS"/>
          <w:b w:val="0"/>
          <w:color w:val="000000"/>
          <w:u w:color="000000"/>
          <w:bdr w:val="nil"/>
          <w:lang w:val="es-ES_tradnl" w:eastAsia="es-CL"/>
        </w:rPr>
        <w:t>, señaló que, en virtud del secreto bancario, el organismo que dirige no cuenta con tal información, agregando que tales declaraciones sólo vienen a informar de rentas fuera de Chile, independientemente de si las mismas luego son ingresadas a nuestro país.</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Asimismo, indicó que producto de tales declaraciones se recaudaron aproximadamente US$1.500.000.000, los que corresponden a aproximadamente a un capital total de US$18.000.000.000, lo que fue tres o cuatro veces más de lo esperado inicialmente al momento de la promulgación de la Reforma Tributaria.</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Respecto de la segunda cifra, reiteró, el Servicio de Impuestos Internos no cuenta con la información para determinar qué monto de la misma efectivamente ingresó al país.</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w:b w:val="0"/>
          <w:color w:val="000000"/>
          <w:u w:color="000000"/>
          <w:bdr w:val="nil"/>
          <w:lang w:val="es-ES_tradnl" w:eastAsia="es-CL"/>
        </w:rPr>
        <w:tab/>
      </w:r>
      <w:r>
        <w:rPr>
          <w:rFonts w:eastAsia="Arial Unicode MS" w:cs="Arial Unicode MS"/>
          <w:bCs/>
          <w:color w:val="000000"/>
          <w:u w:color="000000"/>
          <w:bdr w:val="nil"/>
          <w:lang w:val="es-ES_tradnl" w:eastAsia="es-CL"/>
        </w:rPr>
        <w:t>El Honorable Senador señor Coloma</w:t>
      </w:r>
      <w:r>
        <w:rPr>
          <w:rFonts w:eastAsia="Arial Unicode MS" w:cs="Arial Unicode MS"/>
          <w:b w:val="0"/>
          <w:color w:val="000000"/>
          <w:u w:color="000000"/>
          <w:bdr w:val="nil"/>
          <w:lang w:val="es-ES_tradnl" w:eastAsia="es-CL"/>
        </w:rPr>
        <w:t>, señaló que a efectos de financiar el proceso constituyente, fueron reasignados desde el Servicio de Impuestos Internos aproximadamente $300.000.000.-.</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En efecto, agregó, en palabras del Ministro de Hacienda, señor Rodrigo Valdés, ello se efectuó en tanto dicho Servicio no iba a ejecutar tales recursos, ya que algunos de los procesos de concursos públicos para la provisión de cargos se encontraban retrasados.</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En virtud de lo anterior, preguntó al señor Barraza, en primer lugar, si fue consultado al momento de ejecutarse tal reasignación, y, en segundo orden, las razones por las dilaciones de los referidos concursos.</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En seguida, indicó que le parece preocupante que, el punto central del acuerdo arribado en el debate presupuestario pasado, esto es, los $2.800.000.000 con los que iba a contar el proceso constituyente, fuera inobservado, agregándose a dicha cifra aproximadamente $1.000.000.000.- más por la vía de las reasignaciones.</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Asimismo, el hecho de que una parte considerable de tal cantidad haya sido proveída por el presupuesto del Servicio de Impuestos Internos, que no tiene relación con el proceso constituyente, le parece que dota de mayor gravedad a dicha operación. Lo anterior, añadió, además pone en entredicho las necesidades presupuestarias reales del Servicio, en tanto ello haber sido un hecho resaltado por el Gobierno en la discusión presupuestaria pasada, sin perjuicio de que luego son reasignados montos desde dicho órgano sin mayor información hacia el Congreso, lo que no le parece adecuado.</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w:b w:val="0"/>
          <w:color w:val="000000"/>
          <w:u w:color="000000"/>
          <w:bdr w:val="nil"/>
          <w:lang w:val="es-ES_tradnl" w:eastAsia="es-CL"/>
        </w:rPr>
        <w:tab/>
      </w:r>
      <w:r>
        <w:rPr>
          <w:rFonts w:eastAsia="Arial Unicode MS" w:cs="Arial Unicode MS"/>
          <w:bCs/>
          <w:color w:val="000000"/>
          <w:u w:color="000000"/>
          <w:bdr w:val="nil"/>
          <w:lang w:val="es-ES_tradnl" w:eastAsia="es-CL"/>
        </w:rPr>
        <w:t>El Honorable Diputado señor Schilling</w:t>
      </w:r>
      <w:r>
        <w:rPr>
          <w:rFonts w:eastAsia="Arial Unicode MS" w:cs="Arial Unicode MS"/>
          <w:b w:val="0"/>
          <w:color w:val="000000"/>
          <w:u w:color="000000"/>
          <w:bdr w:val="nil"/>
          <w:lang w:val="es-ES_tradnl" w:eastAsia="es-CL"/>
        </w:rPr>
        <w:t>, señaló que en tanto el proceso constituyente impulsa un camino inédito para arribar a una nueva Constitución, ello necesariamente implica un margen de error sobre los sucesivos pasos que el mismo conlleva.</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Así, expresó que, en su opinión, si bien las comentadas reasignaciones pudiesen haber sido informadas de mejor forma, prefiere que existan ciertos sobresaltos presupuestarios antes que sobresaltos institucionales, que han sido el modo en que las Constituciones de nuestro país han sido concebidas.</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Por consiguiente, solicitó abordar el particular en su real magnitud, a fin de no aumentar su impacto.</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w:b w:val="0"/>
          <w:color w:val="000000"/>
          <w:u w:color="000000"/>
          <w:bdr w:val="nil"/>
          <w:lang w:val="es-ES_tradnl" w:eastAsia="es-CL"/>
        </w:rPr>
        <w:tab/>
      </w:r>
      <w:r>
        <w:rPr>
          <w:rFonts w:eastAsia="Arial Unicode MS" w:cs="Arial Unicode MS"/>
          <w:bCs/>
          <w:color w:val="000000"/>
          <w:u w:color="000000"/>
          <w:bdr w:val="nil"/>
          <w:lang w:val="es-ES_tradnl" w:eastAsia="es-CL"/>
        </w:rPr>
        <w:t>El Presidente de la Subcomisión, Honorable Diputado señor De Mussy</w:t>
      </w:r>
      <w:r>
        <w:rPr>
          <w:rFonts w:eastAsia="Arial Unicode MS" w:cs="Arial Unicode MS"/>
          <w:b w:val="0"/>
          <w:color w:val="000000"/>
          <w:u w:color="000000"/>
          <w:bdr w:val="nil"/>
          <w:lang w:val="es-ES_tradnl" w:eastAsia="es-CL"/>
        </w:rPr>
        <w:t>, señaló que, en su opinión, es del todo pertinente la consulta realizada por el Honorable Senador señor Coloma, en tanto haberse efectuado un aumento presupuestario para el proceso constituyente de alrededor de un 30%, lo que debió ser acompañado de la respectiva y oportuna información de ello al Congreso Nacional.</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Asimismo, expresó que si el actual presupuesto del Servicio de Impuestos Internos para el año 2017 se proyecta como uno de continuidad, y se considera que durante el presente año,  $300.000.000.- fueron reasignados, dicho monto debiese asumirse como algo adicional a las reales necesidades del Servicio.</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w:b w:val="0"/>
          <w:color w:val="000000"/>
          <w:u w:color="000000"/>
          <w:bdr w:val="nil"/>
          <w:lang w:val="es-ES_tradnl" w:eastAsia="es-CL"/>
        </w:rPr>
        <w:tab/>
      </w:r>
      <w:r>
        <w:rPr>
          <w:rFonts w:eastAsia="Arial Unicode MS" w:cs="Arial Unicode MS"/>
          <w:bCs/>
          <w:color w:val="000000"/>
          <w:u w:color="000000"/>
          <w:bdr w:val="nil"/>
          <w:lang w:val="es-ES_tradnl" w:eastAsia="es-CL"/>
        </w:rPr>
        <w:t>El Director del Servicio de Impuestos Internos, señor Fernando Barraza</w:t>
      </w:r>
      <w:r>
        <w:rPr>
          <w:rFonts w:eastAsia="Arial Unicode MS" w:cs="Arial Unicode MS"/>
          <w:b w:val="0"/>
          <w:color w:val="000000"/>
          <w:u w:color="000000"/>
          <w:bdr w:val="nil"/>
          <w:lang w:val="es-ES_tradnl" w:eastAsia="es-CL"/>
        </w:rPr>
        <w:t>, respondiendo las consultas efectuadas por el Honorable Senador señor Coloma indicó, en primer lugar, que él no sabía de la aludida reasignación presupuestaria, en tanto ser operaciones que se efectúan sin la autorización previa del Servicio respectivo.</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Por otra parte, respondiendo la segunda pregunta formulada por el mencionado Senador, expresó que los $302.000.000.- que fueron reasignados desde el Servicio de Impuestos Internos estaban inicialmente contemplados en el Subtítulo 21 (Gastos en Personal), como parte de los recursos considerados por la Ley de Fortalecimiento del SII para el reencasillamiento y aumento de grado de funcionarios del órgano.</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En seguida, indicó que se estimó que la ejecución de dicha cantidad comenzara a realizarse en enero del año en curso, lo que no sucedió en tanto el Decreto Supremo respectivo que autorizaba la operación fue tomado de razón por la Contraloría General de la República en abril del presente año, por lo que la operación en comento se dilató, implicando que la cifra en referencia no fuese utilizada, siendo ella reasignada por la Dirección de Presupuestos.</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Sin perjuicio de eso, resaltó, no se trata de una cantidad de recursos que el Servicio de Impuestos Internos no necesite, sino que sólo no pudo ejecutar oportunamente.</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w:b w:val="0"/>
          <w:color w:val="000000"/>
          <w:u w:color="000000"/>
          <w:bdr w:val="nil"/>
          <w:lang w:val="es-ES_tradnl" w:eastAsia="es-CL"/>
        </w:rPr>
        <w:tab/>
      </w:r>
      <w:r>
        <w:rPr>
          <w:rFonts w:eastAsia="Arial Unicode MS" w:cs="Arial Unicode MS"/>
          <w:bCs/>
          <w:color w:val="000000"/>
          <w:u w:color="000000"/>
          <w:bdr w:val="nil"/>
          <w:lang w:val="es-ES_tradnl" w:eastAsia="es-CL"/>
        </w:rPr>
        <w:t>El Presidente de la Subcomisión, Honorable Diputado señor De Mussy</w:t>
      </w:r>
      <w:r>
        <w:rPr>
          <w:rFonts w:eastAsia="Arial Unicode MS" w:cs="Arial Unicode MS"/>
          <w:b w:val="0"/>
          <w:color w:val="000000"/>
          <w:u w:color="000000"/>
          <w:bdr w:val="nil"/>
          <w:lang w:val="es-ES_tradnl" w:eastAsia="es-CL"/>
        </w:rPr>
        <w:t>, consultó acerca de las metas concretas para los años 2016 y 2017 en materia de reducción de la evasión que tiene el Servicio de Impuestos Internos.</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Posteriormente, preguntó las razones que explicaban que inmuebles similares presentaran cantidades considerablemente distintas en el pago del impuesto territorial.</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w:b w:val="0"/>
          <w:color w:val="000000"/>
          <w:u w:color="000000"/>
          <w:bdr w:val="nil"/>
          <w:lang w:val="es-ES_tradnl" w:eastAsia="es-CL"/>
        </w:rPr>
        <w:tab/>
      </w:r>
      <w:r>
        <w:rPr>
          <w:rFonts w:eastAsia="Arial Unicode MS" w:cs="Arial Unicode MS"/>
          <w:bCs/>
          <w:color w:val="000000"/>
          <w:u w:color="000000"/>
          <w:bdr w:val="nil"/>
          <w:lang w:val="es-ES_tradnl" w:eastAsia="es-CL"/>
        </w:rPr>
        <w:t>El Director del Servicio de Impuestos Internos,  señor Fernando Barraza</w:t>
      </w:r>
      <w:r>
        <w:rPr>
          <w:rFonts w:eastAsia="Arial Unicode MS" w:cs="Arial Unicode MS"/>
          <w:b w:val="0"/>
          <w:color w:val="000000"/>
          <w:u w:color="000000"/>
          <w:bdr w:val="nil"/>
          <w:lang w:val="es-ES_tradnl" w:eastAsia="es-CL"/>
        </w:rPr>
        <w:t>, indicó que legalmente las metas para dichos años son medio punto del Producto Interno Bruto (PIB).</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Sin perjuicio de eso, expresó que en los países desarrollados la evasión alcanza cifras inferiores a 10%, resaltando además que el actual 20,3% que presenta nuestro país se encuentra alejado del mejor registro histórico con el que contó Chile, que en su oportunidad alcanzó cerca del 14%. En tal sentido, añadió, las orientaciones del Servicio siempre se proyectarán para arribar a cifras similares a tales estándares, siendo ello un desafío histórico del organismo, en tanto la evasión ser una problemática que genera tanto inequidad como competencia desleal.</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w:b w:val="0"/>
          <w:color w:val="000000"/>
          <w:u w:color="000000"/>
          <w:bdr w:val="nil"/>
          <w:lang w:val="es-ES_tradnl" w:eastAsia="es-CL"/>
        </w:rPr>
        <w:tab/>
      </w:r>
      <w:r>
        <w:rPr>
          <w:rFonts w:eastAsia="Arial Unicode MS" w:cs="Arial Unicode MS"/>
          <w:bCs/>
          <w:color w:val="000000"/>
          <w:u w:color="000000"/>
          <w:bdr w:val="nil"/>
          <w:lang w:val="es-ES_tradnl" w:eastAsia="es-CL"/>
        </w:rPr>
        <w:t>El Honorable Senador señor Coloma</w:t>
      </w:r>
      <w:r>
        <w:rPr>
          <w:rFonts w:eastAsia="Arial Unicode MS" w:cs="Arial Unicode MS"/>
          <w:b w:val="0"/>
          <w:color w:val="000000"/>
          <w:u w:color="000000"/>
          <w:bdr w:val="nil"/>
          <w:lang w:val="es-ES_tradnl" w:eastAsia="es-CL"/>
        </w:rPr>
        <w:t>, preguntó en qué situación se encuentra Chile en relación a sus pares a nivel latinoamericano.</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w:b w:val="0"/>
          <w:color w:val="000000"/>
          <w:u w:color="000000"/>
          <w:bdr w:val="nil"/>
          <w:lang w:val="es-ES_tradnl" w:eastAsia="es-CL"/>
        </w:rPr>
        <w:tab/>
      </w:r>
      <w:r>
        <w:rPr>
          <w:rFonts w:eastAsia="Arial Unicode MS" w:cs="Arial Unicode MS"/>
          <w:bCs/>
          <w:color w:val="000000"/>
          <w:u w:color="000000"/>
          <w:bdr w:val="nil"/>
          <w:lang w:val="es-ES_tradnl" w:eastAsia="es-CL"/>
        </w:rPr>
        <w:t>El Director del Servicio de Impuestos Internos,  señor Fernando Barraza</w:t>
      </w:r>
      <w:r>
        <w:rPr>
          <w:rFonts w:eastAsia="Arial Unicode MS" w:cs="Arial Unicode MS"/>
          <w:b w:val="0"/>
          <w:color w:val="000000"/>
          <w:u w:color="000000"/>
          <w:bdr w:val="nil"/>
          <w:lang w:val="es-ES_tradnl" w:eastAsia="es-CL"/>
        </w:rPr>
        <w:t>, indicó que nuestro país se encuentra en muy buenas circunstancias en comparación a otros Estados de la región, algunos de los cuales ni siquiera llevan la estadística de los niveles de evasión.</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w:b w:val="0"/>
          <w:color w:val="000000"/>
          <w:u w:color="000000"/>
          <w:bdr w:val="nil"/>
          <w:lang w:val="es-ES_tradnl" w:eastAsia="es-CL"/>
        </w:rPr>
        <w:tab/>
      </w:r>
      <w:r>
        <w:rPr>
          <w:rFonts w:eastAsia="Arial Unicode MS" w:cs="Arial Unicode MS"/>
          <w:bCs/>
          <w:color w:val="000000"/>
          <w:u w:color="000000"/>
          <w:bdr w:val="nil"/>
          <w:lang w:val="es-ES_tradnl" w:eastAsia="es-CL"/>
        </w:rPr>
        <w:t>El Presidente de la Subcomisión, Honorable Diputado señor De Mussy</w:t>
      </w:r>
      <w:r>
        <w:rPr>
          <w:rFonts w:eastAsia="Arial Unicode MS" w:cs="Arial Unicode MS"/>
          <w:b w:val="0"/>
          <w:color w:val="000000"/>
          <w:u w:color="000000"/>
          <w:bdr w:val="nil"/>
          <w:lang w:val="es-ES_tradnl" w:eastAsia="es-CL"/>
        </w:rPr>
        <w:t>, por otra parte, señaló que el impuesto aplicable por la plusvalía obtenida de la venta de viviendas es un tributo de alta complejidad, por lo que preguntó de qué modo el Servicio aborda el proceso de facilitación de pago al contribuyente.</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w:b w:val="0"/>
          <w:color w:val="000000"/>
          <w:u w:color="000000"/>
          <w:bdr w:val="nil"/>
          <w:lang w:val="es-ES_tradnl" w:eastAsia="es-CL"/>
        </w:rPr>
        <w:tab/>
      </w:r>
      <w:r>
        <w:rPr>
          <w:rFonts w:eastAsia="Arial Unicode MS" w:cs="Arial Unicode MS"/>
          <w:bCs/>
          <w:color w:val="000000"/>
          <w:u w:color="000000"/>
          <w:bdr w:val="nil"/>
          <w:lang w:val="es-ES_tradnl" w:eastAsia="es-CL"/>
        </w:rPr>
        <w:t>El Director del Servicio de Impuestos Internos,  señor Fernando Barraza</w:t>
      </w:r>
      <w:r>
        <w:rPr>
          <w:rFonts w:eastAsia="Arial Unicode MS" w:cs="Arial Unicode MS"/>
          <w:b w:val="0"/>
          <w:color w:val="000000"/>
          <w:u w:color="000000"/>
          <w:bdr w:val="nil"/>
          <w:lang w:val="es-ES_tradnl" w:eastAsia="es-CL"/>
        </w:rPr>
        <w:t>, expresó que indicadores internacionales demuestran que tanto la evasión como la complejidad del impuesto son los elementos centrales que desincentivan el cumplimiento tributario.</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En esa línea, y respondiendo la consulta anteriormente formulada por el Honorable Diputado señor De Mussy, señaló que en el ámbito del impuesto territorial el Servicio tiene mucho espacio para mejorar, debiendo llevar a cabo un mejoramiento de la gestión de la Subdirección de avaluaciones a fin de que situaciones como las planteadas (inmuebles similares como diferencias considerables en el pago de sus contribuciones) no sucedan. Así, expresó que es necesario modernizar la aplicación del impuesto con la incorporación de nuevas tecnologías (ej. drones) y mejorar la coordinación con los municipios, especialmente en lo que se refiere con los procesos de recepción de obras.</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w:b w:val="0"/>
          <w:color w:val="000000"/>
          <w:u w:color="000000"/>
          <w:bdr w:val="nil"/>
          <w:lang w:val="es-ES_tradnl" w:eastAsia="es-CL"/>
        </w:rPr>
        <w:tab/>
      </w:r>
      <w:r>
        <w:rPr>
          <w:rFonts w:eastAsia="Arial Unicode MS" w:cs="Arial Unicode MS"/>
          <w:bCs/>
          <w:color w:val="000000"/>
          <w:u w:color="000000"/>
          <w:bdr w:val="nil"/>
          <w:lang w:val="es-ES_tradnl" w:eastAsia="es-CL"/>
        </w:rPr>
        <w:t>El Presidente de la Subcomisión, Honorable Diputado señor De Mussy</w:t>
      </w:r>
      <w:r>
        <w:rPr>
          <w:rFonts w:eastAsia="Arial Unicode MS" w:cs="Arial Unicode MS"/>
          <w:b w:val="0"/>
          <w:color w:val="000000"/>
          <w:u w:color="000000"/>
          <w:bdr w:val="nil"/>
          <w:lang w:val="es-ES_tradnl" w:eastAsia="es-CL"/>
        </w:rPr>
        <w:t>, consultó las razones que explican el aumento de los viáticos en, aproximadamente, un 100%.</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w:b w:val="0"/>
          <w:color w:val="000000"/>
          <w:u w:color="000000"/>
          <w:bdr w:val="nil"/>
          <w:lang w:val="es-ES_tradnl" w:eastAsia="es-CL"/>
        </w:rPr>
        <w:tab/>
      </w:r>
      <w:r>
        <w:rPr>
          <w:rFonts w:eastAsia="Arial Unicode MS" w:cs="Arial Unicode MS"/>
          <w:bCs/>
          <w:color w:val="000000"/>
          <w:u w:color="000000"/>
          <w:bdr w:val="nil"/>
          <w:lang w:val="es-ES_tradnl" w:eastAsia="es-CL"/>
        </w:rPr>
        <w:t>El Director del Servicio de Impuestos Internos,  señor Fernando Barraza</w:t>
      </w:r>
      <w:r>
        <w:rPr>
          <w:rFonts w:eastAsia="Arial Unicode MS" w:cs="Arial Unicode MS"/>
          <w:b w:val="0"/>
          <w:color w:val="000000"/>
          <w:u w:color="000000"/>
          <w:bdr w:val="nil"/>
          <w:lang w:val="es-ES_tradnl" w:eastAsia="es-CL"/>
        </w:rPr>
        <w:t>, indicó que ello se debe a que en la discusión presupuestaria anterior se recortaron en casi un 60% los gastos por tal concepto, lo que interrumpió la asistencia a grupos internacionales en materia de tributación, incluida reuniones de la OCDE, por lo que propone la vuelta al presupuesto dispuesto en este ámbito, previo a la reducción.</w:t>
      </w:r>
    </w:p>
    <w:p>
      <w:pPr>
        <w:rPr>
          <w:b w:val="0"/>
          <w:lang w:val="es-ES_tradnl"/>
        </w:rPr>
      </w:pPr>
    </w:p>
    <w:p>
      <w:pPr>
        <w:rPr>
          <w:b w:val="0"/>
          <w:lang w:val="es-ES_tradnl"/>
        </w:rPr>
      </w:pPr>
    </w:p>
    <w:p>
      <w:pPr>
        <w:rPr>
          <w:lang w:val="es-ES_tradnl"/>
        </w:rPr>
      </w:pPr>
      <w:r>
        <w:rPr>
          <w:b w:val="0"/>
        </w:rPr>
        <w:tab/>
      </w:r>
      <w:r>
        <w:rPr>
          <w:lang w:val="es-ES_tradnl"/>
        </w:rPr>
        <w:t>Sometido a votación el Capítulo 03, Programa 01, fue aprobado sin enmiendas por la unanimidad de los miembros presentes de la Subcomisión, Honorable Diputado señor De Mussy (Presidente), Honorables Senadores señores Coloma y Tuma, y Honorables Diputados señores Schilling y Silva.</w:t>
      </w:r>
    </w:p>
    <w:p>
      <w:pPr>
        <w:rPr>
          <w:b w:val="0"/>
        </w:rPr>
      </w:pPr>
    </w:p>
    <w:p>
      <w:pPr>
        <w:rPr>
          <w:rFonts w:eastAsia="Times New Roman"/>
          <w:lang w:eastAsia="es-ES"/>
        </w:rPr>
      </w:pPr>
    </w:p>
    <w:p>
      <w:pPr>
        <w:jc w:val="center"/>
        <w:rPr>
          <w:rFonts w:eastAsia="Times New Roman"/>
          <w:lang w:eastAsia="es-ES"/>
        </w:rPr>
      </w:pPr>
      <w:r>
        <w:rPr>
          <w:rFonts w:eastAsia="Times New Roman"/>
          <w:lang w:eastAsia="es-ES"/>
        </w:rPr>
        <w:t>CAPITULO 04</w:t>
      </w:r>
    </w:p>
    <w:p>
      <w:pPr>
        <w:jc w:val="center"/>
        <w:rPr>
          <w:rFonts w:eastAsia="Times New Roman"/>
          <w:lang w:eastAsia="es-ES"/>
        </w:rPr>
      </w:pPr>
    </w:p>
    <w:p>
      <w:pPr>
        <w:jc w:val="center"/>
        <w:rPr>
          <w:rFonts w:eastAsia="Times New Roman"/>
          <w:lang w:eastAsia="es-ES"/>
        </w:rPr>
      </w:pPr>
      <w:r>
        <w:rPr>
          <w:rFonts w:eastAsia="Times New Roman"/>
          <w:lang w:eastAsia="es-ES"/>
        </w:rPr>
        <w:t>Programa 01</w:t>
      </w:r>
    </w:p>
    <w:p>
      <w:pPr>
        <w:jc w:val="center"/>
        <w:rPr>
          <w:rFonts w:eastAsia="Times New Roman"/>
          <w:lang w:eastAsia="es-ES"/>
        </w:rPr>
      </w:pPr>
      <w:r>
        <w:rPr>
          <w:rFonts w:eastAsia="Times New Roman"/>
          <w:lang w:eastAsia="es-ES"/>
        </w:rPr>
        <w:t>Servicio Nacional de Aduanas</w:t>
      </w:r>
    </w:p>
    <w:p>
      <w:pPr>
        <w:jc w:val="center"/>
        <w:rPr>
          <w:rFonts w:eastAsia="Times New Roman"/>
          <w:lang w:eastAsia="es-ES"/>
        </w:rPr>
      </w:pPr>
    </w:p>
    <w:p>
      <w:pPr>
        <w:rPr>
          <w:rFonts w:eastAsia="Times New Roman"/>
          <w:b w:val="0"/>
          <w:lang w:eastAsia="es-ES"/>
        </w:rPr>
      </w:pPr>
      <w:r>
        <w:rPr>
          <w:rFonts w:eastAsia="Times New Roman"/>
          <w:lang w:eastAsia="es-ES"/>
        </w:rPr>
        <w:tab/>
      </w:r>
      <w:r>
        <w:rPr>
          <w:rFonts w:eastAsia="Times New Roman"/>
          <w:b w:val="0"/>
          <w:lang w:eastAsia="es-ES"/>
        </w:rPr>
        <w:t xml:space="preserve">Considera ingresos y gastos por </w:t>
      </w:r>
      <w:r>
        <w:rPr>
          <w:rFonts w:eastAsia="Times New Roman"/>
          <w:lang w:eastAsia="es-ES"/>
        </w:rPr>
        <w:t>$ 70.667.819 miles</w:t>
      </w:r>
      <w:r>
        <w:rPr>
          <w:rFonts w:eastAsia="Times New Roman"/>
          <w:b w:val="0"/>
          <w:lang w:eastAsia="es-ES"/>
        </w:rPr>
        <w:t>.</w:t>
      </w:r>
    </w:p>
    <w:p>
      <w:pPr>
        <w:rPr>
          <w:rFonts w:eastAsia="Times New Roman"/>
          <w:b w:val="0"/>
          <w:lang w:eastAsia="es-ES"/>
        </w:rPr>
      </w:pPr>
    </w:p>
    <w:p>
      <w:pPr>
        <w:rPr>
          <w:rFonts w:eastAsia="Times New Roman"/>
          <w:b w:val="0"/>
          <w:lang w:val="es-ES" w:eastAsia="es-ES"/>
        </w:rPr>
      </w:pPr>
      <w:r>
        <w:rPr>
          <w:rFonts w:eastAsia="Times New Roman"/>
          <w:b w:val="0"/>
          <w:lang w:val="es-ES" w:eastAsia="es-ES"/>
        </w:rPr>
        <w:tab/>
        <w:t>El monto de recursos asignados por la Ley de Presupuestos durante el presente año alcanza a $ 71.432.960 miles, lo que implica una variación de -1,1%.</w:t>
      </w:r>
    </w:p>
    <w:p>
      <w:pPr>
        <w:rPr>
          <w:rFonts w:eastAsia="Times New Roman"/>
          <w:b w:val="0"/>
          <w:lang w:val="es-ES" w:eastAsia="es-ES"/>
        </w:rPr>
      </w:pPr>
    </w:p>
    <w:p>
      <w:pPr>
        <w:rPr>
          <w:rFonts w:eastAsia="Times New Roman"/>
          <w:b w:val="0"/>
          <w:lang w:val="es-ES" w:eastAsia="es-ES"/>
        </w:rPr>
      </w:pPr>
      <w:r>
        <w:rPr>
          <w:rFonts w:eastAsia="Times New Roman"/>
          <w:b w:val="0"/>
          <w:lang w:val="es-ES" w:eastAsia="es-ES"/>
        </w:rPr>
        <w:tab/>
      </w:r>
      <w:r>
        <w:rPr>
          <w:rFonts w:eastAsia="Times New Roman"/>
          <w:lang w:val="es-ES" w:eastAsia="es-ES"/>
        </w:rPr>
        <w:t>El Director Nacional del Servicio Nacional de Aduanas, señor Juan Araya,</w:t>
      </w:r>
      <w:r>
        <w:rPr>
          <w:rFonts w:eastAsia="Times New Roman"/>
          <w:b w:val="0"/>
          <w:lang w:val="es-ES" w:eastAsia="es-ES"/>
        </w:rPr>
        <w:t xml:space="preserve"> inició su presentación señalando los lineamientos estratégicos institucionales de su Servicio, los que son:</w:t>
      </w:r>
    </w:p>
    <w:p>
      <w:pPr>
        <w:rPr>
          <w:rFonts w:eastAsia="Times New Roman"/>
          <w:b w:val="0"/>
          <w:lang w:val="es-ES" w:eastAsia="es-ES"/>
        </w:rPr>
      </w:pPr>
    </w:p>
    <w:p>
      <w:pPr>
        <w:rPr>
          <w:b w:val="0"/>
        </w:rPr>
      </w:pPr>
      <w:r>
        <w:tab/>
      </w:r>
      <w:r>
        <w:rPr>
          <w:b w:val="0"/>
        </w:rPr>
        <w:t xml:space="preserve">1.- Continuar el proceso de implementación del programa de control de exportaciones mineras: </w:t>
      </w:r>
    </w:p>
    <w:p>
      <w:pPr>
        <w:rPr>
          <w:b w:val="0"/>
        </w:rPr>
      </w:pPr>
    </w:p>
    <w:p>
      <w:pPr>
        <w:rPr>
          <w:b w:val="0"/>
        </w:rPr>
      </w:pPr>
      <w:r>
        <w:rPr>
          <w:b w:val="0"/>
        </w:rPr>
        <w:t>- Supervisión de embarques.</w:t>
      </w:r>
    </w:p>
    <w:p>
      <w:pPr>
        <w:rPr>
          <w:b w:val="0"/>
        </w:rPr>
      </w:pPr>
      <w:r>
        <w:rPr>
          <w:b w:val="0"/>
        </w:rPr>
        <w:t>- Auditoría a empresas mineras.</w:t>
      </w:r>
    </w:p>
    <w:p>
      <w:pPr>
        <w:rPr>
          <w:b w:val="0"/>
        </w:rPr>
      </w:pPr>
      <w:r>
        <w:rPr>
          <w:b w:val="0"/>
        </w:rPr>
        <w:t>- Nuevas tecnologías de análisis para el control de minerales.</w:t>
      </w:r>
    </w:p>
    <w:p>
      <w:pPr>
        <w:rPr>
          <w:b w:val="0"/>
        </w:rPr>
      </w:pPr>
      <w:r>
        <w:rPr>
          <w:b w:val="0"/>
        </w:rPr>
        <w:t>- Diseño de laboratorio especializado en la zona norte.</w:t>
      </w:r>
    </w:p>
    <w:p>
      <w:pPr>
        <w:rPr>
          <w:b w:val="0"/>
        </w:rPr>
      </w:pPr>
    </w:p>
    <w:p>
      <w:pPr>
        <w:rPr>
          <w:b w:val="0"/>
        </w:rPr>
      </w:pPr>
    </w:p>
    <w:p>
      <w:pPr>
        <w:rPr>
          <w:b w:val="0"/>
        </w:rPr>
      </w:pPr>
      <w:r>
        <w:rPr>
          <w:b w:val="0"/>
        </w:rPr>
        <w:tab/>
        <w:t xml:space="preserve">2.- Programa Fortalecimiento de Zona Franca: </w:t>
      </w:r>
    </w:p>
    <w:p>
      <w:pPr>
        <w:rPr>
          <w:b w:val="0"/>
        </w:rPr>
      </w:pPr>
    </w:p>
    <w:p>
      <w:pPr>
        <w:rPr>
          <w:b w:val="0"/>
        </w:rPr>
      </w:pPr>
      <w:r>
        <w:rPr>
          <w:b w:val="0"/>
        </w:rPr>
        <w:t>- Implementación de transmisión electrónica de documentos de ingreso y salida de Zona Franca.</w:t>
      </w:r>
    </w:p>
    <w:p>
      <w:pPr>
        <w:rPr>
          <w:b w:val="0"/>
        </w:rPr>
      </w:pPr>
      <w:r>
        <w:rPr>
          <w:b w:val="0"/>
        </w:rPr>
        <w:t>- Certificación de sistemas informáticos de Zona Franca.</w:t>
      </w:r>
    </w:p>
    <w:p>
      <w:pPr>
        <w:rPr>
          <w:b w:val="0"/>
        </w:rPr>
      </w:pPr>
    </w:p>
    <w:p>
      <w:pPr>
        <w:rPr>
          <w:b w:val="0"/>
        </w:rPr>
      </w:pPr>
    </w:p>
    <w:p>
      <w:pPr>
        <w:rPr>
          <w:b w:val="0"/>
        </w:rPr>
      </w:pPr>
      <w:r>
        <w:rPr>
          <w:b w:val="0"/>
        </w:rPr>
        <w:tab/>
        <w:t>3.- Consolidar estrategias de auditorías integrales a usuarios de comercio exterior.</w:t>
      </w:r>
    </w:p>
    <w:p>
      <w:pPr>
        <w:rPr>
          <w:b w:val="0"/>
        </w:rPr>
      </w:pPr>
    </w:p>
    <w:p>
      <w:pPr>
        <w:rPr>
          <w:b w:val="0"/>
        </w:rPr>
      </w:pPr>
    </w:p>
    <w:p>
      <w:pPr>
        <w:rPr>
          <w:b w:val="0"/>
        </w:rPr>
      </w:pPr>
      <w:r>
        <w:rPr>
          <w:b w:val="0"/>
        </w:rPr>
        <w:tab/>
        <w:t xml:space="preserve">4.- Mejoramiento de normas técnicas aplicadas a procesos: arancel armonizado 2017, postal, courier, origen, tiempos de despacho, agenda normativa, implementación AFC.  </w:t>
      </w:r>
    </w:p>
    <w:p>
      <w:pPr>
        <w:rPr>
          <w:b w:val="0"/>
        </w:rPr>
      </w:pPr>
    </w:p>
    <w:p>
      <w:pPr>
        <w:rPr>
          <w:b w:val="0"/>
        </w:rPr>
      </w:pPr>
    </w:p>
    <w:p>
      <w:pPr>
        <w:rPr>
          <w:b w:val="0"/>
        </w:rPr>
      </w:pPr>
      <w:r>
        <w:rPr>
          <w:b w:val="0"/>
        </w:rPr>
        <w:tab/>
        <w:t>5.- Continuar la ejecución del Programa de Control de Tráfico Ilícito:</w:t>
      </w:r>
    </w:p>
    <w:p>
      <w:pPr>
        <w:rPr>
          <w:b w:val="0"/>
        </w:rPr>
      </w:pPr>
    </w:p>
    <w:p>
      <w:pPr>
        <w:rPr>
          <w:b w:val="0"/>
        </w:rPr>
      </w:pPr>
      <w:r>
        <w:rPr>
          <w:b w:val="0"/>
        </w:rPr>
        <w:t>- Centro de entrenamiento canino.</w:t>
      </w:r>
    </w:p>
    <w:p>
      <w:pPr>
        <w:rPr>
          <w:b w:val="0"/>
        </w:rPr>
      </w:pPr>
      <w:r>
        <w:rPr>
          <w:b w:val="0"/>
        </w:rPr>
        <w:t>- Equipamiento para mejoras en labor de fiscalización operativa.</w:t>
      </w:r>
    </w:p>
    <w:p>
      <w:pPr>
        <w:rPr>
          <w:b w:val="0"/>
        </w:rPr>
      </w:pPr>
      <w:r>
        <w:rPr>
          <w:b w:val="0"/>
        </w:rPr>
        <w:t>- Equipamiento de revisión no invasiva.</w:t>
      </w:r>
    </w:p>
    <w:p>
      <w:pPr>
        <w:rPr>
          <w:b w:val="0"/>
        </w:rPr>
      </w:pPr>
    </w:p>
    <w:p>
      <w:pPr>
        <w:rPr>
          <w:b w:val="0"/>
        </w:rPr>
      </w:pPr>
    </w:p>
    <w:p>
      <w:pPr>
        <w:rPr>
          <w:b w:val="0"/>
        </w:rPr>
      </w:pPr>
      <w:r>
        <w:rPr>
          <w:b w:val="0"/>
        </w:rPr>
        <w:tab/>
        <w:t>6.- Implementación del Centro de Fortalecimiento de Capacidades Aduaneras.</w:t>
      </w:r>
    </w:p>
    <w:p>
      <w:pPr>
        <w:rPr>
          <w:b w:val="0"/>
        </w:rPr>
      </w:pPr>
    </w:p>
    <w:p>
      <w:pPr>
        <w:rPr>
          <w:b w:val="0"/>
        </w:rPr>
      </w:pPr>
    </w:p>
    <w:p>
      <w:pPr>
        <w:rPr>
          <w:b w:val="0"/>
        </w:rPr>
      </w:pPr>
      <w:r>
        <w:rPr>
          <w:b w:val="0"/>
        </w:rPr>
        <w:tab/>
        <w:t xml:space="preserve">7.- Revisión del modelo de sistema sancionatorio. </w:t>
      </w:r>
    </w:p>
    <w:p>
      <w:pPr>
        <w:rPr>
          <w:b w:val="0"/>
        </w:rPr>
      </w:pPr>
    </w:p>
    <w:p>
      <w:pPr>
        <w:rPr>
          <w:b w:val="0"/>
        </w:rPr>
      </w:pPr>
    </w:p>
    <w:p>
      <w:pPr>
        <w:rPr>
          <w:b w:val="0"/>
        </w:rPr>
      </w:pPr>
      <w:r>
        <w:rPr>
          <w:b w:val="0"/>
        </w:rPr>
        <w:tab/>
        <w:t>8.- Integración tecnológica: intercambio de información, SICEX, migraciones y herramientas de seguridad y calidad de TI.</w:t>
      </w:r>
    </w:p>
    <w:p>
      <w:pPr>
        <w:rPr>
          <w:b w:val="0"/>
        </w:rPr>
      </w:pPr>
    </w:p>
    <w:p>
      <w:pPr>
        <w:rPr>
          <w:b w:val="0"/>
        </w:rPr>
      </w:pPr>
    </w:p>
    <w:p>
      <w:pPr>
        <w:rPr>
          <w:b w:val="0"/>
        </w:rPr>
      </w:pPr>
      <w:r>
        <w:rPr>
          <w:b w:val="0"/>
        </w:rPr>
        <w:tab/>
        <w:t>9.- Mejorar las condiciones de infraestructura del Servicio: pasos fronterizos, complejos aduaneros, edificios institucionales.</w:t>
      </w:r>
    </w:p>
    <w:p>
      <w:pPr>
        <w:rPr>
          <w:b w:val="0"/>
        </w:rPr>
      </w:pPr>
    </w:p>
    <w:p>
      <w:pPr>
        <w:rPr>
          <w:b w:val="0"/>
        </w:rPr>
      </w:pPr>
    </w:p>
    <w:p>
      <w:pPr>
        <w:rPr>
          <w:b w:val="0"/>
        </w:rPr>
      </w:pPr>
      <w:r>
        <w:rPr>
          <w:b w:val="0"/>
        </w:rPr>
        <w:tab/>
        <w:t>Luego, e</w:t>
      </w:r>
      <w:r>
        <w:rPr>
          <w:rFonts w:eastAsia="Times New Roman"/>
          <w:lang w:val="es-ES" w:eastAsia="es-ES"/>
        </w:rPr>
        <w:t>l Director Nacional del Servicio Nacional de Aduanas, señor Juan Araya</w:t>
      </w:r>
      <w:r>
        <w:rPr>
          <w:b w:val="0"/>
        </w:rPr>
        <w:t>, analizó comparativamente el presupuesto proyectado para el año 2017 con el aprobado para el año en curso, a través del siguiente recuadro:</w:t>
      </w:r>
    </w:p>
    <w:p>
      <w:pPr>
        <w:rPr>
          <w:b w:val="0"/>
        </w:rPr>
      </w:pPr>
    </w:p>
    <w:p>
      <w:r>
        <w:tab/>
        <w:t>Presupuesto 2017 – cifras comparadas</w:t>
      </w:r>
    </w:p>
    <w:p/>
    <w:tbl>
      <w:tblPr>
        <w:tblW w:w="9350" w:type="dxa"/>
        <w:tblCellMar>
          <w:left w:w="0" w:type="dxa"/>
          <w:right w:w="0" w:type="dxa"/>
        </w:tblCellMar>
        <w:tblLook w:val="0600" w:firstRow="0" w:lastRow="0" w:firstColumn="0" w:lastColumn="0" w:noHBand="1" w:noVBand="1"/>
      </w:tblPr>
      <w:tblGrid>
        <w:gridCol w:w="4007"/>
        <w:gridCol w:w="1451"/>
        <w:gridCol w:w="1451"/>
        <w:gridCol w:w="1336"/>
        <w:gridCol w:w="1105"/>
      </w:tblGrid>
      <w:tr>
        <w:trPr>
          <w:trHeight w:val="394"/>
        </w:trPr>
        <w:tc>
          <w:tcPr>
            <w:tcW w:w="4007" w:type="dxa"/>
            <w:vMerge w:val="restart"/>
            <w:tcBorders>
              <w:top w:val="nil"/>
              <w:left w:val="nil"/>
              <w:bottom w:val="single" w:sz="8" w:space="0" w:color="FFFFFF"/>
              <w:right w:val="single" w:sz="8" w:space="0" w:color="FFFFFF"/>
            </w:tcBorders>
            <w:shd w:val="clear" w:color="auto" w:fill="B9CDE5"/>
            <w:tcMar>
              <w:top w:w="15" w:type="dxa"/>
              <w:left w:w="15" w:type="dxa"/>
              <w:bottom w:w="0" w:type="dxa"/>
              <w:right w:w="15" w:type="dxa"/>
            </w:tcMar>
            <w:hideMark/>
          </w:tcPr>
          <w:p>
            <w:pPr>
              <w:rPr>
                <w:b w:val="0"/>
                <w:sz w:val="18"/>
                <w:szCs w:val="18"/>
              </w:rPr>
            </w:pPr>
            <w:r>
              <w:rPr>
                <w:bCs/>
                <w:sz w:val="18"/>
                <w:szCs w:val="18"/>
              </w:rPr>
              <w:t>CAPÍTULO 04 - Programa 01</w:t>
            </w:r>
            <w:r>
              <w:rPr>
                <w:bCs/>
                <w:sz w:val="18"/>
                <w:szCs w:val="18"/>
              </w:rPr>
              <w:br/>
              <w:t>SERVICIO NACIONAL DE ADUANAS</w:t>
            </w:r>
          </w:p>
        </w:tc>
        <w:tc>
          <w:tcPr>
            <w:tcW w:w="2902" w:type="dxa"/>
            <w:gridSpan w:val="2"/>
            <w:tcBorders>
              <w:top w:val="single" w:sz="8" w:space="0" w:color="FFFFFF"/>
              <w:left w:val="single" w:sz="8" w:space="0" w:color="FFFFFF"/>
              <w:bottom w:val="single" w:sz="8" w:space="0" w:color="FFFFFF"/>
              <w:right w:val="single" w:sz="8" w:space="0" w:color="FFFFFF"/>
            </w:tcBorders>
            <w:shd w:val="clear" w:color="auto" w:fill="B9CDE5"/>
            <w:tcMar>
              <w:top w:w="15" w:type="dxa"/>
              <w:left w:w="15" w:type="dxa"/>
              <w:bottom w:w="0" w:type="dxa"/>
              <w:right w:w="15" w:type="dxa"/>
            </w:tcMar>
            <w:hideMark/>
          </w:tcPr>
          <w:p>
            <w:pPr>
              <w:rPr>
                <w:b w:val="0"/>
                <w:sz w:val="18"/>
                <w:szCs w:val="18"/>
              </w:rPr>
            </w:pPr>
            <w:r>
              <w:rPr>
                <w:bCs/>
                <w:sz w:val="18"/>
                <w:szCs w:val="18"/>
              </w:rPr>
              <w:t>Ley de Presupuesto</w:t>
            </w:r>
          </w:p>
        </w:tc>
        <w:tc>
          <w:tcPr>
            <w:tcW w:w="2441" w:type="dxa"/>
            <w:gridSpan w:val="2"/>
            <w:tcBorders>
              <w:top w:val="single" w:sz="8" w:space="0" w:color="FFFFFF"/>
              <w:left w:val="single" w:sz="8" w:space="0" w:color="FFFFFF"/>
              <w:bottom w:val="single" w:sz="8" w:space="0" w:color="FFFFFF"/>
              <w:right w:val="single" w:sz="8" w:space="0" w:color="FFFFFF"/>
            </w:tcBorders>
            <w:shd w:val="clear" w:color="auto" w:fill="B9CDE5"/>
            <w:tcMar>
              <w:top w:w="15" w:type="dxa"/>
              <w:left w:w="15" w:type="dxa"/>
              <w:bottom w:w="0" w:type="dxa"/>
              <w:right w:w="15" w:type="dxa"/>
            </w:tcMar>
            <w:hideMark/>
          </w:tcPr>
          <w:p>
            <w:pPr>
              <w:rPr>
                <w:b w:val="0"/>
                <w:sz w:val="18"/>
                <w:szCs w:val="18"/>
              </w:rPr>
            </w:pPr>
            <w:r>
              <w:rPr>
                <w:bCs/>
                <w:sz w:val="18"/>
                <w:szCs w:val="18"/>
              </w:rPr>
              <w:t>Variación</w:t>
            </w:r>
          </w:p>
        </w:tc>
      </w:tr>
      <w:tr>
        <w:trPr>
          <w:trHeight w:val="776"/>
        </w:trPr>
        <w:tc>
          <w:tcPr>
            <w:tcW w:w="0" w:type="auto"/>
            <w:vMerge/>
            <w:tcBorders>
              <w:top w:val="nil"/>
              <w:left w:val="nil"/>
              <w:bottom w:val="single" w:sz="8" w:space="0" w:color="FFFFFF"/>
              <w:right w:val="single" w:sz="8" w:space="0" w:color="FFFFFF"/>
            </w:tcBorders>
            <w:vAlign w:val="center"/>
            <w:hideMark/>
          </w:tcPr>
          <w:p>
            <w:pPr>
              <w:rPr>
                <w:b w:val="0"/>
                <w:sz w:val="18"/>
                <w:szCs w:val="18"/>
              </w:rPr>
            </w:pPr>
          </w:p>
        </w:tc>
        <w:tc>
          <w:tcPr>
            <w:tcW w:w="1451" w:type="dxa"/>
            <w:tcBorders>
              <w:top w:val="single" w:sz="8" w:space="0" w:color="FFFFFF"/>
              <w:left w:val="single" w:sz="8" w:space="0" w:color="FFFFFF"/>
              <w:bottom w:val="single" w:sz="8" w:space="0" w:color="FFFFFF"/>
              <w:right w:val="single" w:sz="8" w:space="0" w:color="FFFFFF"/>
            </w:tcBorders>
            <w:shd w:val="clear" w:color="auto" w:fill="B9CDE5"/>
            <w:tcMar>
              <w:top w:w="15" w:type="dxa"/>
              <w:left w:w="15" w:type="dxa"/>
              <w:bottom w:w="0" w:type="dxa"/>
              <w:right w:w="15" w:type="dxa"/>
            </w:tcMar>
            <w:hideMark/>
          </w:tcPr>
          <w:p>
            <w:pPr>
              <w:rPr>
                <w:b w:val="0"/>
                <w:sz w:val="18"/>
                <w:szCs w:val="18"/>
              </w:rPr>
            </w:pPr>
            <w:r>
              <w:rPr>
                <w:bCs/>
                <w:sz w:val="18"/>
                <w:szCs w:val="18"/>
              </w:rPr>
              <w:t>Año 2016</w:t>
            </w:r>
            <w:r>
              <w:rPr>
                <w:bCs/>
                <w:sz w:val="18"/>
                <w:szCs w:val="18"/>
              </w:rPr>
              <w:br/>
              <w:t>(M$ 2017)</w:t>
            </w:r>
          </w:p>
        </w:tc>
        <w:tc>
          <w:tcPr>
            <w:tcW w:w="1451" w:type="dxa"/>
            <w:tcBorders>
              <w:top w:val="single" w:sz="8" w:space="0" w:color="FFFFFF"/>
              <w:left w:val="single" w:sz="8" w:space="0" w:color="FFFFFF"/>
              <w:bottom w:val="single" w:sz="8" w:space="0" w:color="FFFFFF"/>
              <w:right w:val="single" w:sz="8" w:space="0" w:color="FFFFFF"/>
            </w:tcBorders>
            <w:shd w:val="clear" w:color="auto" w:fill="B9CDE5"/>
            <w:tcMar>
              <w:top w:w="15" w:type="dxa"/>
              <w:left w:w="15" w:type="dxa"/>
              <w:bottom w:w="0" w:type="dxa"/>
              <w:right w:w="15" w:type="dxa"/>
            </w:tcMar>
            <w:hideMark/>
          </w:tcPr>
          <w:p>
            <w:pPr>
              <w:rPr>
                <w:b w:val="0"/>
                <w:sz w:val="18"/>
                <w:szCs w:val="18"/>
              </w:rPr>
            </w:pPr>
            <w:r>
              <w:rPr>
                <w:bCs/>
                <w:sz w:val="18"/>
                <w:szCs w:val="18"/>
              </w:rPr>
              <w:t>Año 2017</w:t>
            </w:r>
            <w:r>
              <w:rPr>
                <w:bCs/>
                <w:sz w:val="18"/>
                <w:szCs w:val="18"/>
              </w:rPr>
              <w:br/>
              <w:t>(M$ 2017)</w:t>
            </w:r>
          </w:p>
        </w:tc>
        <w:tc>
          <w:tcPr>
            <w:tcW w:w="1336" w:type="dxa"/>
            <w:tcBorders>
              <w:top w:val="single" w:sz="8" w:space="0" w:color="FFFFFF"/>
              <w:left w:val="single" w:sz="8" w:space="0" w:color="FFFFFF"/>
              <w:bottom w:val="single" w:sz="8" w:space="0" w:color="FFFFFF"/>
              <w:right w:val="single" w:sz="8" w:space="0" w:color="FFFFFF"/>
            </w:tcBorders>
            <w:shd w:val="clear" w:color="auto" w:fill="B9CDE5"/>
            <w:tcMar>
              <w:top w:w="15" w:type="dxa"/>
              <w:left w:w="15" w:type="dxa"/>
              <w:bottom w:w="0" w:type="dxa"/>
              <w:right w:w="15" w:type="dxa"/>
            </w:tcMar>
            <w:hideMark/>
          </w:tcPr>
          <w:p>
            <w:pPr>
              <w:rPr>
                <w:b w:val="0"/>
                <w:sz w:val="18"/>
                <w:szCs w:val="18"/>
              </w:rPr>
            </w:pPr>
            <w:r>
              <w:rPr>
                <w:bCs/>
                <w:sz w:val="18"/>
                <w:szCs w:val="18"/>
              </w:rPr>
              <w:t>(M$ 2017)</w:t>
            </w:r>
          </w:p>
        </w:tc>
        <w:tc>
          <w:tcPr>
            <w:tcW w:w="1105" w:type="dxa"/>
            <w:tcBorders>
              <w:top w:val="single" w:sz="8" w:space="0" w:color="FFFFFF"/>
              <w:left w:val="single" w:sz="8" w:space="0" w:color="FFFFFF"/>
              <w:bottom w:val="single" w:sz="8" w:space="0" w:color="FFFFFF"/>
              <w:right w:val="single" w:sz="8" w:space="0" w:color="FFFFFF"/>
            </w:tcBorders>
            <w:shd w:val="clear" w:color="auto" w:fill="B9CDE5"/>
            <w:tcMar>
              <w:top w:w="15" w:type="dxa"/>
              <w:left w:w="15" w:type="dxa"/>
              <w:bottom w:w="0" w:type="dxa"/>
              <w:right w:w="15" w:type="dxa"/>
            </w:tcMar>
            <w:hideMark/>
          </w:tcPr>
          <w:p>
            <w:pPr>
              <w:rPr>
                <w:b w:val="0"/>
                <w:sz w:val="18"/>
                <w:szCs w:val="18"/>
              </w:rPr>
            </w:pPr>
            <w:r>
              <w:rPr>
                <w:bCs/>
                <w:sz w:val="18"/>
                <w:szCs w:val="18"/>
              </w:rPr>
              <w:t>(%)</w:t>
            </w:r>
          </w:p>
        </w:tc>
      </w:tr>
      <w:tr>
        <w:trPr>
          <w:trHeight w:val="394"/>
        </w:trPr>
        <w:tc>
          <w:tcPr>
            <w:tcW w:w="4007" w:type="dxa"/>
            <w:tcBorders>
              <w:top w:val="single" w:sz="8" w:space="0" w:color="FFFFFF"/>
              <w:left w:val="single" w:sz="8" w:space="0" w:color="FFFFFF"/>
              <w:bottom w:val="single" w:sz="8" w:space="0" w:color="FFFFFF"/>
              <w:right w:val="single" w:sz="8" w:space="0" w:color="FFFFFF"/>
            </w:tcBorders>
            <w:shd w:val="clear" w:color="auto" w:fill="C6D9F1"/>
            <w:tcMar>
              <w:top w:w="15" w:type="dxa"/>
              <w:left w:w="15" w:type="dxa"/>
              <w:bottom w:w="0" w:type="dxa"/>
              <w:right w:w="15" w:type="dxa"/>
            </w:tcMar>
            <w:vAlign w:val="center"/>
            <w:hideMark/>
          </w:tcPr>
          <w:p>
            <w:pPr>
              <w:rPr>
                <w:b w:val="0"/>
                <w:sz w:val="18"/>
                <w:szCs w:val="18"/>
              </w:rPr>
            </w:pPr>
            <w:r>
              <w:rPr>
                <w:bCs/>
                <w:sz w:val="18"/>
                <w:szCs w:val="18"/>
              </w:rPr>
              <w:t>TOTAL</w:t>
            </w:r>
          </w:p>
        </w:tc>
        <w:tc>
          <w:tcPr>
            <w:tcW w:w="1451" w:type="dxa"/>
            <w:tcBorders>
              <w:top w:val="single" w:sz="8" w:space="0" w:color="FFFFFF"/>
              <w:left w:val="single" w:sz="8" w:space="0" w:color="FFFFFF"/>
              <w:bottom w:val="single" w:sz="8" w:space="0" w:color="FFFFFF"/>
              <w:right w:val="single" w:sz="8" w:space="0" w:color="FFFFFF"/>
            </w:tcBorders>
            <w:shd w:val="clear" w:color="auto" w:fill="C6D9F1"/>
            <w:tcMar>
              <w:top w:w="15" w:type="dxa"/>
              <w:left w:w="15" w:type="dxa"/>
              <w:bottom w:w="0" w:type="dxa"/>
              <w:right w:w="15" w:type="dxa"/>
            </w:tcMar>
            <w:vAlign w:val="center"/>
            <w:hideMark/>
          </w:tcPr>
          <w:p>
            <w:pPr>
              <w:rPr>
                <w:b w:val="0"/>
                <w:sz w:val="18"/>
                <w:szCs w:val="18"/>
              </w:rPr>
            </w:pPr>
            <w:r>
              <w:rPr>
                <w:bCs/>
                <w:sz w:val="18"/>
                <w:szCs w:val="18"/>
              </w:rPr>
              <w:t>71.432.960</w:t>
            </w:r>
          </w:p>
        </w:tc>
        <w:tc>
          <w:tcPr>
            <w:tcW w:w="1451" w:type="dxa"/>
            <w:tcBorders>
              <w:top w:val="single" w:sz="8" w:space="0" w:color="FFFFFF"/>
              <w:left w:val="single" w:sz="8" w:space="0" w:color="FFFFFF"/>
              <w:bottom w:val="single" w:sz="8" w:space="0" w:color="FFFFFF"/>
              <w:right w:val="single" w:sz="8" w:space="0" w:color="FFFFFF"/>
            </w:tcBorders>
            <w:shd w:val="clear" w:color="auto" w:fill="C6D9F1"/>
            <w:tcMar>
              <w:top w:w="15" w:type="dxa"/>
              <w:left w:w="15" w:type="dxa"/>
              <w:bottom w:w="0" w:type="dxa"/>
              <w:right w:w="15" w:type="dxa"/>
            </w:tcMar>
            <w:vAlign w:val="center"/>
            <w:hideMark/>
          </w:tcPr>
          <w:p>
            <w:pPr>
              <w:rPr>
                <w:b w:val="0"/>
                <w:sz w:val="18"/>
                <w:szCs w:val="18"/>
              </w:rPr>
            </w:pPr>
            <w:r>
              <w:rPr>
                <w:bCs/>
                <w:sz w:val="18"/>
                <w:szCs w:val="18"/>
              </w:rPr>
              <w:t>70.667.819</w:t>
            </w:r>
          </w:p>
        </w:tc>
        <w:tc>
          <w:tcPr>
            <w:tcW w:w="1336" w:type="dxa"/>
            <w:tcBorders>
              <w:top w:val="single" w:sz="8" w:space="0" w:color="FFFFFF"/>
              <w:left w:val="single" w:sz="8" w:space="0" w:color="FFFFFF"/>
              <w:bottom w:val="single" w:sz="8" w:space="0" w:color="FFFFFF"/>
              <w:right w:val="single" w:sz="8" w:space="0" w:color="FFFFFF"/>
            </w:tcBorders>
            <w:shd w:val="clear" w:color="auto" w:fill="C6D9F1"/>
            <w:tcMar>
              <w:top w:w="15" w:type="dxa"/>
              <w:left w:w="15" w:type="dxa"/>
              <w:bottom w:w="0" w:type="dxa"/>
              <w:right w:w="15" w:type="dxa"/>
            </w:tcMar>
            <w:vAlign w:val="center"/>
            <w:hideMark/>
          </w:tcPr>
          <w:p>
            <w:pPr>
              <w:rPr>
                <w:b w:val="0"/>
                <w:sz w:val="18"/>
                <w:szCs w:val="18"/>
              </w:rPr>
            </w:pPr>
            <w:r>
              <w:rPr>
                <w:bCs/>
                <w:sz w:val="18"/>
                <w:szCs w:val="18"/>
              </w:rPr>
              <w:t>-765.141</w:t>
            </w:r>
          </w:p>
        </w:tc>
        <w:tc>
          <w:tcPr>
            <w:tcW w:w="1105" w:type="dxa"/>
            <w:tcBorders>
              <w:top w:val="single" w:sz="8" w:space="0" w:color="FFFFFF"/>
              <w:left w:val="single" w:sz="8" w:space="0" w:color="FFFFFF"/>
              <w:bottom w:val="single" w:sz="8" w:space="0" w:color="FFFFFF"/>
              <w:right w:val="single" w:sz="8" w:space="0" w:color="FFFFFF"/>
            </w:tcBorders>
            <w:shd w:val="clear" w:color="auto" w:fill="C6D9F1"/>
            <w:tcMar>
              <w:top w:w="15" w:type="dxa"/>
              <w:left w:w="15" w:type="dxa"/>
              <w:bottom w:w="0" w:type="dxa"/>
              <w:right w:w="15" w:type="dxa"/>
            </w:tcMar>
            <w:vAlign w:val="center"/>
            <w:hideMark/>
          </w:tcPr>
          <w:p>
            <w:pPr>
              <w:rPr>
                <w:b w:val="0"/>
                <w:sz w:val="18"/>
                <w:szCs w:val="18"/>
              </w:rPr>
            </w:pPr>
            <w:r>
              <w:rPr>
                <w:bCs/>
                <w:sz w:val="18"/>
                <w:szCs w:val="18"/>
              </w:rPr>
              <w:t>-1,1%</w:t>
            </w:r>
          </w:p>
        </w:tc>
      </w:tr>
      <w:tr>
        <w:trPr>
          <w:trHeight w:val="394"/>
        </w:trPr>
        <w:tc>
          <w:tcPr>
            <w:tcW w:w="400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rPr>
                <w:b w:val="0"/>
                <w:sz w:val="18"/>
                <w:szCs w:val="18"/>
              </w:rPr>
            </w:pPr>
            <w:r>
              <w:rPr>
                <w:b w:val="0"/>
                <w:sz w:val="18"/>
                <w:szCs w:val="18"/>
              </w:rPr>
              <w:t>Gasto en Personal  (</w:t>
            </w:r>
            <w:r>
              <w:rPr>
                <w:bCs/>
                <w:sz w:val="18"/>
                <w:szCs w:val="18"/>
              </w:rPr>
              <w:t>Subtítulo 21</w:t>
            </w:r>
            <w:r>
              <w:rPr>
                <w:b w:val="0"/>
                <w:sz w:val="18"/>
                <w:szCs w:val="18"/>
              </w:rPr>
              <w:t>)</w:t>
            </w:r>
          </w:p>
        </w:tc>
        <w:tc>
          <w:tcPr>
            <w:tcW w:w="145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pPr>
              <w:rPr>
                <w:b w:val="0"/>
                <w:sz w:val="18"/>
                <w:szCs w:val="18"/>
              </w:rPr>
            </w:pPr>
            <w:r>
              <w:rPr>
                <w:b w:val="0"/>
                <w:sz w:val="18"/>
                <w:szCs w:val="18"/>
              </w:rPr>
              <w:t>53.646.717</w:t>
            </w:r>
          </w:p>
        </w:tc>
        <w:tc>
          <w:tcPr>
            <w:tcW w:w="145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pPr>
              <w:rPr>
                <w:b w:val="0"/>
                <w:sz w:val="18"/>
                <w:szCs w:val="18"/>
              </w:rPr>
            </w:pPr>
            <w:r>
              <w:rPr>
                <w:b w:val="0"/>
                <w:sz w:val="18"/>
                <w:szCs w:val="18"/>
              </w:rPr>
              <w:t>54.884.804</w:t>
            </w:r>
          </w:p>
        </w:tc>
        <w:tc>
          <w:tcPr>
            <w:tcW w:w="133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pPr>
              <w:rPr>
                <w:b w:val="0"/>
                <w:sz w:val="18"/>
                <w:szCs w:val="18"/>
              </w:rPr>
            </w:pPr>
            <w:r>
              <w:rPr>
                <w:b w:val="0"/>
                <w:sz w:val="18"/>
                <w:szCs w:val="18"/>
              </w:rPr>
              <w:t>1.238.087</w:t>
            </w:r>
          </w:p>
        </w:tc>
        <w:tc>
          <w:tcPr>
            <w:tcW w:w="110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pPr>
              <w:rPr>
                <w:b w:val="0"/>
                <w:sz w:val="18"/>
                <w:szCs w:val="18"/>
              </w:rPr>
            </w:pPr>
            <w:r>
              <w:rPr>
                <w:b w:val="0"/>
                <w:sz w:val="18"/>
                <w:szCs w:val="18"/>
              </w:rPr>
              <w:t>2,3%</w:t>
            </w:r>
          </w:p>
        </w:tc>
      </w:tr>
      <w:tr>
        <w:trPr>
          <w:trHeight w:val="776"/>
        </w:trPr>
        <w:tc>
          <w:tcPr>
            <w:tcW w:w="400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rPr>
                <w:b w:val="0"/>
                <w:sz w:val="18"/>
                <w:szCs w:val="18"/>
              </w:rPr>
            </w:pPr>
            <w:r>
              <w:rPr>
                <w:b w:val="0"/>
                <w:sz w:val="18"/>
                <w:szCs w:val="18"/>
              </w:rPr>
              <w:t>Bienes y Servicios de Consumo  (</w:t>
            </w:r>
            <w:r>
              <w:rPr>
                <w:bCs/>
                <w:sz w:val="18"/>
                <w:szCs w:val="18"/>
              </w:rPr>
              <w:t>Subtítulo 22</w:t>
            </w:r>
            <w:r>
              <w:rPr>
                <w:b w:val="0"/>
                <w:sz w:val="18"/>
                <w:szCs w:val="18"/>
              </w:rPr>
              <w:t>)</w:t>
            </w:r>
          </w:p>
        </w:tc>
        <w:tc>
          <w:tcPr>
            <w:tcW w:w="145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pPr>
              <w:rPr>
                <w:b w:val="0"/>
                <w:sz w:val="18"/>
                <w:szCs w:val="18"/>
              </w:rPr>
            </w:pPr>
            <w:r>
              <w:rPr>
                <w:b w:val="0"/>
                <w:sz w:val="18"/>
                <w:szCs w:val="18"/>
              </w:rPr>
              <w:t>10.681.005</w:t>
            </w:r>
          </w:p>
        </w:tc>
        <w:tc>
          <w:tcPr>
            <w:tcW w:w="145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pPr>
              <w:rPr>
                <w:b w:val="0"/>
                <w:sz w:val="18"/>
                <w:szCs w:val="18"/>
              </w:rPr>
            </w:pPr>
            <w:r>
              <w:rPr>
                <w:b w:val="0"/>
                <w:sz w:val="18"/>
                <w:szCs w:val="18"/>
              </w:rPr>
              <w:t>10.508.084</w:t>
            </w:r>
          </w:p>
        </w:tc>
        <w:tc>
          <w:tcPr>
            <w:tcW w:w="133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pPr>
              <w:rPr>
                <w:b w:val="0"/>
                <w:sz w:val="18"/>
                <w:szCs w:val="18"/>
              </w:rPr>
            </w:pPr>
            <w:r>
              <w:rPr>
                <w:b w:val="0"/>
                <w:sz w:val="18"/>
                <w:szCs w:val="18"/>
              </w:rPr>
              <w:t>-172.921</w:t>
            </w:r>
          </w:p>
        </w:tc>
        <w:tc>
          <w:tcPr>
            <w:tcW w:w="110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pPr>
              <w:rPr>
                <w:b w:val="0"/>
                <w:sz w:val="18"/>
                <w:szCs w:val="18"/>
              </w:rPr>
            </w:pPr>
            <w:r>
              <w:rPr>
                <w:b w:val="0"/>
                <w:sz w:val="18"/>
                <w:szCs w:val="18"/>
              </w:rPr>
              <w:t>-1,6%</w:t>
            </w:r>
          </w:p>
        </w:tc>
      </w:tr>
      <w:tr>
        <w:trPr>
          <w:trHeight w:val="776"/>
        </w:trPr>
        <w:tc>
          <w:tcPr>
            <w:tcW w:w="400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rPr>
                <w:b w:val="0"/>
                <w:sz w:val="18"/>
                <w:szCs w:val="18"/>
              </w:rPr>
            </w:pPr>
            <w:r>
              <w:rPr>
                <w:b w:val="0"/>
                <w:sz w:val="18"/>
                <w:szCs w:val="18"/>
              </w:rPr>
              <w:t>Adquisición de Activos no financieros  (</w:t>
            </w:r>
            <w:r>
              <w:rPr>
                <w:bCs/>
                <w:sz w:val="18"/>
                <w:szCs w:val="18"/>
              </w:rPr>
              <w:t>Subtítulo 29</w:t>
            </w:r>
            <w:r>
              <w:rPr>
                <w:b w:val="0"/>
                <w:sz w:val="18"/>
                <w:szCs w:val="18"/>
              </w:rPr>
              <w:t>)</w:t>
            </w:r>
          </w:p>
        </w:tc>
        <w:tc>
          <w:tcPr>
            <w:tcW w:w="145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pPr>
              <w:rPr>
                <w:b w:val="0"/>
                <w:sz w:val="18"/>
                <w:szCs w:val="18"/>
              </w:rPr>
            </w:pPr>
            <w:r>
              <w:rPr>
                <w:b w:val="0"/>
                <w:sz w:val="18"/>
                <w:szCs w:val="18"/>
              </w:rPr>
              <w:t>6.846.654</w:t>
            </w:r>
          </w:p>
        </w:tc>
        <w:tc>
          <w:tcPr>
            <w:tcW w:w="145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pPr>
              <w:rPr>
                <w:b w:val="0"/>
                <w:sz w:val="18"/>
                <w:szCs w:val="18"/>
              </w:rPr>
            </w:pPr>
            <w:r>
              <w:rPr>
                <w:b w:val="0"/>
                <w:sz w:val="18"/>
                <w:szCs w:val="18"/>
              </w:rPr>
              <w:t>3.562.606</w:t>
            </w:r>
          </w:p>
        </w:tc>
        <w:tc>
          <w:tcPr>
            <w:tcW w:w="133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pPr>
              <w:rPr>
                <w:b w:val="0"/>
                <w:sz w:val="18"/>
                <w:szCs w:val="18"/>
              </w:rPr>
            </w:pPr>
            <w:r>
              <w:rPr>
                <w:b w:val="0"/>
                <w:sz w:val="18"/>
                <w:szCs w:val="18"/>
              </w:rPr>
              <w:t>-3.284.048</w:t>
            </w:r>
          </w:p>
        </w:tc>
        <w:tc>
          <w:tcPr>
            <w:tcW w:w="110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pPr>
              <w:rPr>
                <w:b w:val="0"/>
                <w:sz w:val="18"/>
                <w:szCs w:val="18"/>
              </w:rPr>
            </w:pPr>
            <w:r>
              <w:rPr>
                <w:b w:val="0"/>
                <w:sz w:val="18"/>
                <w:szCs w:val="18"/>
              </w:rPr>
              <w:t>-48,0%</w:t>
            </w:r>
          </w:p>
        </w:tc>
      </w:tr>
      <w:tr>
        <w:trPr>
          <w:trHeight w:val="394"/>
        </w:trPr>
        <w:tc>
          <w:tcPr>
            <w:tcW w:w="400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rPr>
                <w:b w:val="0"/>
                <w:sz w:val="18"/>
                <w:szCs w:val="18"/>
              </w:rPr>
            </w:pPr>
            <w:r>
              <w:rPr>
                <w:b w:val="0"/>
                <w:sz w:val="18"/>
                <w:szCs w:val="18"/>
              </w:rPr>
              <w:t>Iniciativas de Inversión  (</w:t>
            </w:r>
            <w:r>
              <w:rPr>
                <w:bCs/>
                <w:sz w:val="18"/>
                <w:szCs w:val="18"/>
              </w:rPr>
              <w:t>Subtítulo 31</w:t>
            </w:r>
            <w:r>
              <w:rPr>
                <w:b w:val="0"/>
                <w:sz w:val="18"/>
                <w:szCs w:val="18"/>
              </w:rPr>
              <w:t>)</w:t>
            </w:r>
          </w:p>
        </w:tc>
        <w:tc>
          <w:tcPr>
            <w:tcW w:w="145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pPr>
              <w:rPr>
                <w:b w:val="0"/>
                <w:sz w:val="18"/>
                <w:szCs w:val="18"/>
              </w:rPr>
            </w:pPr>
            <w:r>
              <w:rPr>
                <w:b w:val="0"/>
                <w:sz w:val="18"/>
                <w:szCs w:val="18"/>
              </w:rPr>
              <w:t>258.574</w:t>
            </w:r>
          </w:p>
        </w:tc>
        <w:tc>
          <w:tcPr>
            <w:tcW w:w="145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pPr>
              <w:rPr>
                <w:b w:val="0"/>
                <w:sz w:val="18"/>
                <w:szCs w:val="18"/>
              </w:rPr>
            </w:pPr>
            <w:r>
              <w:rPr>
                <w:b w:val="0"/>
                <w:sz w:val="18"/>
                <w:szCs w:val="18"/>
              </w:rPr>
              <w:t>1.712.325</w:t>
            </w:r>
          </w:p>
        </w:tc>
        <w:tc>
          <w:tcPr>
            <w:tcW w:w="133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pPr>
              <w:rPr>
                <w:b w:val="0"/>
                <w:sz w:val="18"/>
                <w:szCs w:val="18"/>
              </w:rPr>
            </w:pPr>
            <w:r>
              <w:rPr>
                <w:b w:val="0"/>
                <w:sz w:val="18"/>
                <w:szCs w:val="18"/>
              </w:rPr>
              <w:t>1.453.751</w:t>
            </w:r>
          </w:p>
        </w:tc>
        <w:tc>
          <w:tcPr>
            <w:tcW w:w="110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pPr>
              <w:rPr>
                <w:b w:val="0"/>
                <w:sz w:val="18"/>
                <w:szCs w:val="18"/>
              </w:rPr>
            </w:pPr>
            <w:r>
              <w:rPr>
                <w:b w:val="0"/>
                <w:sz w:val="18"/>
                <w:szCs w:val="18"/>
              </w:rPr>
              <w:t>562,2%</w:t>
            </w:r>
          </w:p>
        </w:tc>
      </w:tr>
      <w:tr>
        <w:trPr>
          <w:trHeight w:val="394"/>
        </w:trPr>
        <w:tc>
          <w:tcPr>
            <w:tcW w:w="400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rPr>
                <w:b w:val="0"/>
                <w:sz w:val="18"/>
                <w:szCs w:val="18"/>
              </w:rPr>
            </w:pPr>
            <w:r>
              <w:rPr>
                <w:b w:val="0"/>
                <w:sz w:val="18"/>
                <w:szCs w:val="18"/>
              </w:rPr>
              <w:t>Servicio de la Deuda  (</w:t>
            </w:r>
            <w:r>
              <w:rPr>
                <w:bCs/>
                <w:sz w:val="18"/>
                <w:szCs w:val="18"/>
              </w:rPr>
              <w:t>Subtítulo 34</w:t>
            </w:r>
            <w:r>
              <w:rPr>
                <w:b w:val="0"/>
                <w:sz w:val="18"/>
                <w:szCs w:val="18"/>
              </w:rPr>
              <w:t>)</w:t>
            </w:r>
          </w:p>
        </w:tc>
        <w:tc>
          <w:tcPr>
            <w:tcW w:w="145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rPr>
                <w:b w:val="0"/>
                <w:sz w:val="18"/>
                <w:szCs w:val="18"/>
              </w:rPr>
            </w:pPr>
            <w:r>
              <w:rPr>
                <w:b w:val="0"/>
                <w:sz w:val="18"/>
                <w:szCs w:val="18"/>
              </w:rPr>
              <w:t>10</w:t>
            </w:r>
          </w:p>
        </w:tc>
        <w:tc>
          <w:tcPr>
            <w:tcW w:w="145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rPr>
                <w:b w:val="0"/>
                <w:sz w:val="18"/>
                <w:szCs w:val="18"/>
              </w:rPr>
            </w:pPr>
            <w:r>
              <w:rPr>
                <w:b w:val="0"/>
                <w:sz w:val="18"/>
                <w:szCs w:val="18"/>
              </w:rPr>
              <w:t>0</w:t>
            </w:r>
          </w:p>
        </w:tc>
        <w:tc>
          <w:tcPr>
            <w:tcW w:w="133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rPr>
                <w:b w:val="0"/>
                <w:sz w:val="18"/>
                <w:szCs w:val="18"/>
              </w:rPr>
            </w:pPr>
            <w:r>
              <w:rPr>
                <w:b w:val="0"/>
                <w:sz w:val="18"/>
                <w:szCs w:val="18"/>
              </w:rPr>
              <w:t>-10</w:t>
            </w:r>
          </w:p>
        </w:tc>
        <w:tc>
          <w:tcPr>
            <w:tcW w:w="110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rPr>
                <w:b w:val="0"/>
                <w:sz w:val="18"/>
                <w:szCs w:val="18"/>
              </w:rPr>
            </w:pPr>
            <w:r>
              <w:rPr>
                <w:b w:val="0"/>
                <w:sz w:val="18"/>
                <w:szCs w:val="18"/>
              </w:rPr>
              <w:t>-100%</w:t>
            </w:r>
          </w:p>
        </w:tc>
      </w:tr>
      <w:tr>
        <w:trPr>
          <w:trHeight w:val="394"/>
        </w:trPr>
        <w:tc>
          <w:tcPr>
            <w:tcW w:w="4007" w:type="dxa"/>
            <w:tcBorders>
              <w:top w:val="single" w:sz="8" w:space="0" w:color="FFFFFF"/>
              <w:left w:val="single" w:sz="8" w:space="0" w:color="FFFFFF"/>
              <w:bottom w:val="single" w:sz="8" w:space="0" w:color="FFFFFF"/>
              <w:right w:val="single" w:sz="8" w:space="0" w:color="FFFFFF"/>
            </w:tcBorders>
            <w:shd w:val="clear" w:color="auto" w:fill="B9CDE5"/>
            <w:tcMar>
              <w:top w:w="15" w:type="dxa"/>
              <w:left w:w="15" w:type="dxa"/>
              <w:bottom w:w="0" w:type="dxa"/>
              <w:right w:w="15" w:type="dxa"/>
            </w:tcMar>
            <w:vAlign w:val="center"/>
            <w:hideMark/>
          </w:tcPr>
          <w:p>
            <w:pPr>
              <w:rPr>
                <w:b w:val="0"/>
                <w:sz w:val="18"/>
                <w:szCs w:val="18"/>
              </w:rPr>
            </w:pPr>
            <w:r>
              <w:rPr>
                <w:bCs/>
                <w:sz w:val="18"/>
                <w:szCs w:val="18"/>
              </w:rPr>
              <w:t xml:space="preserve">Gasto neto </w:t>
            </w:r>
            <w:r>
              <w:rPr>
                <w:b w:val="0"/>
                <w:sz w:val="18"/>
                <w:szCs w:val="18"/>
              </w:rPr>
              <w:t>(*)</w:t>
            </w:r>
          </w:p>
        </w:tc>
        <w:tc>
          <w:tcPr>
            <w:tcW w:w="1451" w:type="dxa"/>
            <w:tcBorders>
              <w:top w:val="single" w:sz="8" w:space="0" w:color="FFFFFF"/>
              <w:left w:val="single" w:sz="8" w:space="0" w:color="FFFFFF"/>
              <w:bottom w:val="single" w:sz="8" w:space="0" w:color="FFFFFF"/>
              <w:right w:val="single" w:sz="8" w:space="0" w:color="FFFFFF"/>
            </w:tcBorders>
            <w:shd w:val="clear" w:color="auto" w:fill="B9CDE5"/>
            <w:tcMar>
              <w:top w:w="15" w:type="dxa"/>
              <w:left w:w="15" w:type="dxa"/>
              <w:bottom w:w="0" w:type="dxa"/>
              <w:right w:w="15" w:type="dxa"/>
            </w:tcMar>
            <w:vAlign w:val="center"/>
            <w:hideMark/>
          </w:tcPr>
          <w:p>
            <w:pPr>
              <w:rPr>
                <w:b w:val="0"/>
                <w:sz w:val="18"/>
                <w:szCs w:val="18"/>
              </w:rPr>
            </w:pPr>
            <w:r>
              <w:rPr>
                <w:bCs/>
                <w:sz w:val="18"/>
                <w:szCs w:val="18"/>
              </w:rPr>
              <w:t>71.432.950</w:t>
            </w:r>
          </w:p>
        </w:tc>
        <w:tc>
          <w:tcPr>
            <w:tcW w:w="1451" w:type="dxa"/>
            <w:tcBorders>
              <w:top w:val="single" w:sz="8" w:space="0" w:color="FFFFFF"/>
              <w:left w:val="single" w:sz="8" w:space="0" w:color="FFFFFF"/>
              <w:bottom w:val="single" w:sz="8" w:space="0" w:color="FFFFFF"/>
              <w:right w:val="single" w:sz="8" w:space="0" w:color="FFFFFF"/>
            </w:tcBorders>
            <w:shd w:val="clear" w:color="auto" w:fill="B9CDE5"/>
            <w:tcMar>
              <w:top w:w="15" w:type="dxa"/>
              <w:left w:w="15" w:type="dxa"/>
              <w:bottom w:w="0" w:type="dxa"/>
              <w:right w:w="15" w:type="dxa"/>
            </w:tcMar>
            <w:vAlign w:val="center"/>
            <w:hideMark/>
          </w:tcPr>
          <w:p>
            <w:pPr>
              <w:rPr>
                <w:b w:val="0"/>
                <w:sz w:val="18"/>
                <w:szCs w:val="18"/>
              </w:rPr>
            </w:pPr>
            <w:r>
              <w:rPr>
                <w:bCs/>
                <w:sz w:val="18"/>
                <w:szCs w:val="18"/>
              </w:rPr>
              <w:t>70.667.819</w:t>
            </w:r>
          </w:p>
        </w:tc>
        <w:tc>
          <w:tcPr>
            <w:tcW w:w="1336" w:type="dxa"/>
            <w:tcBorders>
              <w:top w:val="single" w:sz="8" w:space="0" w:color="FFFFFF"/>
              <w:left w:val="single" w:sz="8" w:space="0" w:color="FFFFFF"/>
              <w:bottom w:val="single" w:sz="8" w:space="0" w:color="FFFFFF"/>
              <w:right w:val="single" w:sz="8" w:space="0" w:color="FFFFFF"/>
            </w:tcBorders>
            <w:shd w:val="clear" w:color="auto" w:fill="B9CDE5"/>
            <w:tcMar>
              <w:top w:w="15" w:type="dxa"/>
              <w:left w:w="15" w:type="dxa"/>
              <w:bottom w:w="0" w:type="dxa"/>
              <w:right w:w="15" w:type="dxa"/>
            </w:tcMar>
            <w:vAlign w:val="center"/>
            <w:hideMark/>
          </w:tcPr>
          <w:p>
            <w:pPr>
              <w:rPr>
                <w:b w:val="0"/>
                <w:sz w:val="18"/>
                <w:szCs w:val="18"/>
              </w:rPr>
            </w:pPr>
            <w:r>
              <w:rPr>
                <w:bCs/>
                <w:sz w:val="18"/>
                <w:szCs w:val="18"/>
              </w:rPr>
              <w:t>-765.131</w:t>
            </w:r>
          </w:p>
        </w:tc>
        <w:tc>
          <w:tcPr>
            <w:tcW w:w="1105" w:type="dxa"/>
            <w:tcBorders>
              <w:top w:val="single" w:sz="8" w:space="0" w:color="FFFFFF"/>
              <w:left w:val="single" w:sz="8" w:space="0" w:color="FFFFFF"/>
              <w:bottom w:val="single" w:sz="8" w:space="0" w:color="FFFFFF"/>
              <w:right w:val="single" w:sz="8" w:space="0" w:color="FFFFFF"/>
            </w:tcBorders>
            <w:shd w:val="clear" w:color="auto" w:fill="B9CDE5"/>
            <w:tcMar>
              <w:top w:w="15" w:type="dxa"/>
              <w:left w:w="15" w:type="dxa"/>
              <w:bottom w:w="0" w:type="dxa"/>
              <w:right w:w="15" w:type="dxa"/>
            </w:tcMar>
            <w:vAlign w:val="center"/>
            <w:hideMark/>
          </w:tcPr>
          <w:p>
            <w:pPr>
              <w:rPr>
                <w:b w:val="0"/>
                <w:sz w:val="18"/>
                <w:szCs w:val="18"/>
              </w:rPr>
            </w:pPr>
            <w:r>
              <w:rPr>
                <w:bCs/>
                <w:sz w:val="18"/>
                <w:szCs w:val="18"/>
              </w:rPr>
              <w:t>-1,1%</w:t>
            </w:r>
          </w:p>
        </w:tc>
      </w:tr>
    </w:tbl>
    <w:p>
      <w:r>
        <w:t>(*) Gasto de Estado de Operaciones = GASTOS-(Subt.25+30+32+34+35) + Ítem25.01+Intereses y Otros Gastos Financieros de Deuda</w:t>
      </w:r>
    </w:p>
    <w:p>
      <w:pPr>
        <w:rPr>
          <w:b w:val="0"/>
        </w:rPr>
      </w:pPr>
    </w:p>
    <w:p>
      <w:pPr>
        <w:rPr>
          <w:b w:val="0"/>
        </w:rPr>
      </w:pPr>
      <w:r>
        <w:rPr>
          <w:b w:val="0"/>
        </w:rPr>
        <w:tab/>
        <w:t>Respecto del presupuesto del año 2016, aprobado el año pasado, señaló que la cifra es de 73.510 millones y no de 71.432, lo que se debe a algunos ajustes que se realizaron y también como resultado del ajuste presupuestario que se hizo en marzo de este año.</w:t>
      </w:r>
    </w:p>
    <w:p>
      <w:pPr>
        <w:rPr>
          <w:b w:val="0"/>
        </w:rPr>
      </w:pPr>
    </w:p>
    <w:p>
      <w:pPr>
        <w:rPr>
          <w:b w:val="0"/>
        </w:rPr>
      </w:pPr>
      <w:r>
        <w:rPr>
          <w:b w:val="0"/>
        </w:rPr>
        <w:tab/>
        <w:t xml:space="preserve">En seguida, explicó la variación presupuestaria de un -1,1%, mediante el examen de los respectivos Subtítulos: </w:t>
      </w:r>
    </w:p>
    <w:p>
      <w:pPr>
        <w:rPr>
          <w:b w:val="0"/>
        </w:rPr>
      </w:pPr>
    </w:p>
    <w:p>
      <w:r>
        <w:t>- Subtitulo 21: Gasto en Personal</w:t>
      </w:r>
    </w:p>
    <w:p/>
    <w:p>
      <w:pPr>
        <w:rPr>
          <w:b w:val="0"/>
        </w:rPr>
      </w:pPr>
      <w:r>
        <w:rPr>
          <w:b w:val="0"/>
        </w:rPr>
        <w:tab/>
        <w:t>Registra un incremento de 2,3% por el aumento de 90 funcionarios asociados a la Reforma Tributaria (40) y a la Cuarta etapa del Programa de Tráfico Ilícito (50).</w:t>
      </w:r>
    </w:p>
    <w:p>
      <w:pPr>
        <w:rPr>
          <w:b w:val="0"/>
        </w:rPr>
      </w:pPr>
    </w:p>
    <w:p>
      <w:pPr>
        <w:rPr>
          <w:b w:val="0"/>
        </w:rPr>
      </w:pPr>
      <w:r>
        <w:rPr>
          <w:b w:val="0"/>
        </w:rPr>
        <w:tab/>
        <w:t>Agregó que lo relevante es que el Programa de la Reforma Tributaria tenía un presupuesto total de 6.771 millones de pesos y en materia de funcionarios eran 210 cupos en el período 2015-2016 y 40 para el 2017, es decir, son 250 cupos en total y en el caso del Programa de Control de Tráfico Ilícito el número de funcionarios considerados en este Programa es de 193 funcionarios en 4 años, con 143 cupos en el período 2015-2016 más los 50 cupos que se estarían sumando en el año 2017.</w:t>
      </w:r>
    </w:p>
    <w:p>
      <w:pPr>
        <w:rPr>
          <w:b w:val="0"/>
        </w:rPr>
      </w:pPr>
    </w:p>
    <w:p>
      <w:r>
        <w:t>- Subtitulo 22: Bienes y Servicios de Consumo</w:t>
      </w:r>
    </w:p>
    <w:p/>
    <w:p>
      <w:pPr>
        <w:rPr>
          <w:b w:val="0"/>
        </w:rPr>
      </w:pPr>
      <w:r>
        <w:rPr>
          <w:b w:val="0"/>
        </w:rPr>
        <w:tab/>
        <w:t xml:space="preserve">Registra una disminución de 1,6% por menores gastos proyectados en la implementación de la Reforma Tributaria. Ya hay varias inversiones concluidas como en materia de mejora en control de zonas francas, en control minero, en renovación tecnológica y en el Programa de Control de Tráfico Ilícito,  lo cual implica una caída de los recursos requeridos pero a la vez también este Subtítulo da cuenta de un aumento de $537 millones para Mejoras en Infraestructura Aduanera en los pasos fronterizos. </w:t>
      </w:r>
    </w:p>
    <w:p>
      <w:pPr>
        <w:rPr>
          <w:b w:val="0"/>
        </w:rPr>
      </w:pPr>
    </w:p>
    <w:p>
      <w:r>
        <w:t>- Subtitulo 29: Adquisición de activos no financieros</w:t>
      </w:r>
    </w:p>
    <w:p/>
    <w:p>
      <w:pPr>
        <w:rPr>
          <w:b w:val="0"/>
        </w:rPr>
      </w:pPr>
      <w:r>
        <w:rPr>
          <w:b w:val="0"/>
        </w:rPr>
        <w:tab/>
        <w:t>Registra una disminución de 48,0% por la postergación de la compra de un Camión Escáner de Rayos X para el año 2018 y por las menores compras proyectadas en Renovación Tecnológica de la Reforma Tributaria.</w:t>
      </w:r>
    </w:p>
    <w:p>
      <w:pPr>
        <w:rPr>
          <w:b w:val="0"/>
        </w:rPr>
      </w:pPr>
    </w:p>
    <w:p>
      <w:r>
        <w:t>- Subtitulo 31: Inversión</w:t>
      </w:r>
    </w:p>
    <w:p/>
    <w:p>
      <w:pPr>
        <w:rPr>
          <w:b w:val="0"/>
        </w:rPr>
      </w:pPr>
      <w:r>
        <w:rPr>
          <w:b w:val="0"/>
        </w:rPr>
        <w:tab/>
        <w:t>Registra un aumento de 562,2% respecto del presupuesto 2016, ya que en el año 2017 se ejecutarán aproximadamente el 90% de las Obras Civiles de la ampliación en edificio Esmeralda ubicado en la Dirección Nacional en Valparaíso.</w:t>
      </w:r>
    </w:p>
    <w:p>
      <w:pPr>
        <w:rPr>
          <w:b w:val="0"/>
        </w:rPr>
      </w:pPr>
    </w:p>
    <w:p>
      <w:pPr>
        <w:rPr>
          <w:b w:val="0"/>
        </w:rPr>
      </w:pPr>
      <w:r>
        <w:rPr>
          <w:b w:val="0"/>
        </w:rPr>
        <w:tab/>
        <w:t>Finalmente informó respecto de los gastos en estudio y publicidad, que este año tienen 76 millones de pesos asignados para publicidad pura ya que lo otro es folletería y papelería que se requieren muchas veces en los distintos puntos fronterizos. Tienen asignados 29 millones para publicidad y va dirigido a gastos en publicaciones en el Diario Oficial. Este año hay que publicar el nuevo arancel aduanero. El anterior se publicó el año 2014 y tuvo un costo de alrededor de 60 millones de pesos. Se publica completo y contiene cerca de 600 páginas.</w:t>
      </w:r>
    </w:p>
    <w:p>
      <w:pPr>
        <w:rPr>
          <w:b w:val="0"/>
        </w:rPr>
      </w:pPr>
    </w:p>
    <w:p>
      <w:pPr>
        <w:rPr>
          <w:b w:val="0"/>
        </w:rPr>
      </w:pPr>
      <w:r>
        <w:rPr>
          <w:b w:val="0"/>
        </w:rPr>
        <w:tab/>
        <w:t>En el caso de estudios, los recursos asignados alcanzan a 258 millones de pesos de los cuales un gran porcentaje tiene que ver con la certificación de la calidad de éstos en que ha venido trabajando el Servicio dividido en 153 millones asociados a la Reforma Tributaria, principalmente a estudios, en el tema minero.</w:t>
      </w:r>
    </w:p>
    <w:p>
      <w:pPr>
        <w:rPr>
          <w:b w:val="0"/>
        </w:rPr>
      </w:pPr>
    </w:p>
    <w:p>
      <w:pPr>
        <w:rPr>
          <w:b w:val="0"/>
        </w:rPr>
      </w:pPr>
    </w:p>
    <w:p>
      <w:pPr>
        <w:rPr>
          <w:b w:val="0"/>
        </w:rPr>
      </w:pPr>
      <w:r>
        <w:rPr>
          <w:b w:val="0"/>
        </w:rPr>
        <w:tab/>
        <w:t xml:space="preserve">En seguida, </w:t>
      </w:r>
      <w:r>
        <w:rPr>
          <w:rFonts w:eastAsia="Times New Roman"/>
          <w:lang w:val="es-ES" w:eastAsia="es-ES"/>
        </w:rPr>
        <w:t>el Director Nacional del Servicio Nacional de Aduanas, señor Juan Araya se refirió a la ejecución presupuestaria de esta entidad hasta la fecha:</w:t>
      </w:r>
    </w:p>
    <w:p>
      <w:pPr>
        <w:rPr>
          <w:b w:val="0"/>
        </w:rPr>
      </w:pPr>
    </w:p>
    <w:p>
      <w:pPr>
        <w:rPr>
          <w:b w:val="0"/>
        </w:rPr>
      </w:pPr>
    </w:p>
    <w:tbl>
      <w:tblPr>
        <w:tblW w:w="9151" w:type="dxa"/>
        <w:tblCellMar>
          <w:left w:w="0" w:type="dxa"/>
          <w:right w:w="0" w:type="dxa"/>
        </w:tblCellMar>
        <w:tblLook w:val="0420" w:firstRow="1" w:lastRow="0" w:firstColumn="0" w:lastColumn="0" w:noHBand="0" w:noVBand="1"/>
      </w:tblPr>
      <w:tblGrid>
        <w:gridCol w:w="810"/>
        <w:gridCol w:w="1909"/>
        <w:gridCol w:w="1062"/>
        <w:gridCol w:w="1379"/>
        <w:gridCol w:w="1589"/>
        <w:gridCol w:w="1023"/>
        <w:gridCol w:w="1379"/>
      </w:tblGrid>
      <w:tr>
        <w:trPr>
          <w:trHeight w:val="725"/>
        </w:trPr>
        <w:tc>
          <w:tcPr>
            <w:tcW w:w="791" w:type="dxa"/>
            <w:vMerge w:val="restart"/>
            <w:tcBorders>
              <w:top w:val="single" w:sz="8" w:space="0" w:color="FFFFFF"/>
              <w:left w:val="single" w:sz="8" w:space="0" w:color="FFFFFF"/>
              <w:bottom w:val="single" w:sz="24" w:space="0" w:color="FFFFFF"/>
              <w:right w:val="single" w:sz="8" w:space="0" w:color="FFFFFF"/>
            </w:tcBorders>
            <w:shd w:val="clear" w:color="auto" w:fill="376092"/>
            <w:tcMar>
              <w:top w:w="15" w:type="dxa"/>
              <w:left w:w="15" w:type="dxa"/>
              <w:bottom w:w="0" w:type="dxa"/>
              <w:right w:w="15" w:type="dxa"/>
            </w:tcMar>
            <w:vAlign w:val="center"/>
            <w:hideMark/>
          </w:tcPr>
          <w:p>
            <w:pPr>
              <w:tabs>
                <w:tab w:val="clear" w:pos="2835"/>
              </w:tabs>
              <w:jc w:val="center"/>
              <w:textAlignment w:val="center"/>
              <w:rPr>
                <w:rFonts w:eastAsia="Times New Roman"/>
                <w:b w:val="0"/>
                <w:sz w:val="18"/>
                <w:szCs w:val="18"/>
                <w:lang w:eastAsia="es-CL"/>
              </w:rPr>
            </w:pPr>
            <w:r>
              <w:rPr>
                <w:rFonts w:eastAsia="Times New Roman"/>
                <w:bCs/>
                <w:color w:val="FFFFFF"/>
                <w:kern w:val="24"/>
                <w:sz w:val="18"/>
                <w:szCs w:val="18"/>
                <w:lang w:eastAsia="es-CL"/>
              </w:rPr>
              <w:t xml:space="preserve">Subtítulo </w:t>
            </w:r>
          </w:p>
        </w:tc>
        <w:tc>
          <w:tcPr>
            <w:tcW w:w="2032" w:type="dxa"/>
            <w:vMerge w:val="restart"/>
            <w:tcBorders>
              <w:top w:val="single" w:sz="8" w:space="0" w:color="FFFFFF"/>
              <w:left w:val="single" w:sz="8" w:space="0" w:color="FFFFFF"/>
              <w:bottom w:val="single" w:sz="24" w:space="0" w:color="FFFFFF"/>
              <w:right w:val="single" w:sz="8" w:space="0" w:color="FFFFFF"/>
            </w:tcBorders>
            <w:shd w:val="clear" w:color="auto" w:fill="376092"/>
            <w:tcMar>
              <w:top w:w="15" w:type="dxa"/>
              <w:left w:w="15" w:type="dxa"/>
              <w:bottom w:w="0" w:type="dxa"/>
              <w:right w:w="15" w:type="dxa"/>
            </w:tcMar>
            <w:vAlign w:val="center"/>
            <w:hideMark/>
          </w:tcPr>
          <w:p>
            <w:pPr>
              <w:tabs>
                <w:tab w:val="clear" w:pos="2835"/>
              </w:tabs>
              <w:jc w:val="center"/>
              <w:textAlignment w:val="center"/>
              <w:rPr>
                <w:rFonts w:eastAsia="Times New Roman"/>
                <w:b w:val="0"/>
                <w:sz w:val="18"/>
                <w:szCs w:val="18"/>
                <w:lang w:eastAsia="es-CL"/>
              </w:rPr>
            </w:pPr>
            <w:r>
              <w:rPr>
                <w:rFonts w:eastAsia="Times New Roman"/>
                <w:bCs/>
                <w:color w:val="FFFFFF"/>
                <w:kern w:val="24"/>
                <w:sz w:val="18"/>
                <w:szCs w:val="18"/>
                <w:lang w:eastAsia="es-CL"/>
              </w:rPr>
              <w:t>Clasificación Presupuestaria</w:t>
            </w:r>
          </w:p>
        </w:tc>
        <w:tc>
          <w:tcPr>
            <w:tcW w:w="3964" w:type="dxa"/>
            <w:gridSpan w:val="3"/>
            <w:tcBorders>
              <w:top w:val="single" w:sz="8" w:space="0" w:color="FFFFFF"/>
              <w:left w:val="single" w:sz="8" w:space="0" w:color="FFFFFF"/>
              <w:bottom w:val="single" w:sz="24" w:space="0" w:color="FFFFFF"/>
              <w:right w:val="single" w:sz="8" w:space="0" w:color="FFFFFF"/>
            </w:tcBorders>
            <w:shd w:val="clear" w:color="auto" w:fill="376092"/>
            <w:tcMar>
              <w:top w:w="72" w:type="dxa"/>
              <w:left w:w="144" w:type="dxa"/>
              <w:bottom w:w="72" w:type="dxa"/>
              <w:right w:w="144" w:type="dxa"/>
            </w:tcMar>
            <w:vAlign w:val="center"/>
            <w:hideMark/>
          </w:tcPr>
          <w:p>
            <w:pPr>
              <w:tabs>
                <w:tab w:val="clear" w:pos="2835"/>
              </w:tabs>
              <w:jc w:val="center"/>
              <w:rPr>
                <w:rFonts w:eastAsia="Times New Roman"/>
                <w:b w:val="0"/>
                <w:sz w:val="18"/>
                <w:szCs w:val="18"/>
                <w:lang w:eastAsia="es-CL"/>
              </w:rPr>
            </w:pPr>
            <w:r>
              <w:rPr>
                <w:rFonts w:eastAsia="Times New Roman"/>
                <w:bCs/>
                <w:color w:val="FFFFFF"/>
                <w:kern w:val="24"/>
                <w:sz w:val="18"/>
                <w:szCs w:val="18"/>
                <w:lang w:eastAsia="es-CL"/>
              </w:rPr>
              <w:t>Presupuesto año 2016</w:t>
            </w:r>
          </w:p>
        </w:tc>
        <w:tc>
          <w:tcPr>
            <w:tcW w:w="2364" w:type="dxa"/>
            <w:gridSpan w:val="2"/>
            <w:tcBorders>
              <w:top w:val="single" w:sz="8" w:space="0" w:color="FFFFFF"/>
              <w:left w:val="single" w:sz="8" w:space="0" w:color="FFFFFF"/>
              <w:bottom w:val="single" w:sz="24" w:space="0" w:color="FFFFFF"/>
              <w:right w:val="single" w:sz="8" w:space="0" w:color="FFFFFF"/>
            </w:tcBorders>
            <w:shd w:val="clear" w:color="auto" w:fill="376092"/>
            <w:tcMar>
              <w:top w:w="72" w:type="dxa"/>
              <w:left w:w="144" w:type="dxa"/>
              <w:bottom w:w="72" w:type="dxa"/>
              <w:right w:w="144" w:type="dxa"/>
            </w:tcMar>
            <w:vAlign w:val="center"/>
            <w:hideMark/>
          </w:tcPr>
          <w:p>
            <w:pPr>
              <w:tabs>
                <w:tab w:val="clear" w:pos="2835"/>
              </w:tabs>
              <w:jc w:val="center"/>
              <w:rPr>
                <w:rFonts w:eastAsia="Times New Roman"/>
                <w:b w:val="0"/>
                <w:sz w:val="18"/>
                <w:szCs w:val="18"/>
                <w:lang w:eastAsia="es-CL"/>
              </w:rPr>
            </w:pPr>
            <w:r>
              <w:rPr>
                <w:rFonts w:eastAsia="Times New Roman"/>
                <w:bCs/>
                <w:color w:val="FFFFFF"/>
                <w:kern w:val="24"/>
                <w:sz w:val="18"/>
                <w:szCs w:val="18"/>
                <w:lang w:eastAsia="es-CL"/>
              </w:rPr>
              <w:t>Avance Ejecución Presupuestaria a agosto 2016</w:t>
            </w:r>
          </w:p>
        </w:tc>
      </w:tr>
      <w:tr>
        <w:trPr>
          <w:trHeight w:val="1009"/>
        </w:trPr>
        <w:tc>
          <w:tcPr>
            <w:tcW w:w="0" w:type="auto"/>
            <w:vMerge/>
            <w:tcBorders>
              <w:top w:val="single" w:sz="8" w:space="0" w:color="FFFFFF"/>
              <w:left w:val="single" w:sz="8" w:space="0" w:color="FFFFFF"/>
              <w:bottom w:val="single" w:sz="24" w:space="0" w:color="FFFFFF"/>
              <w:right w:val="single" w:sz="8" w:space="0" w:color="FFFFFF"/>
            </w:tcBorders>
            <w:vAlign w:val="center"/>
            <w:hideMark/>
          </w:tcPr>
          <w:p>
            <w:pPr>
              <w:tabs>
                <w:tab w:val="clear" w:pos="2835"/>
              </w:tabs>
              <w:jc w:val="left"/>
              <w:rPr>
                <w:rFonts w:eastAsia="Times New Roman"/>
                <w:b w:val="0"/>
                <w:sz w:val="18"/>
                <w:szCs w:val="18"/>
                <w:lang w:eastAsia="es-CL"/>
              </w:rPr>
            </w:pPr>
          </w:p>
        </w:tc>
        <w:tc>
          <w:tcPr>
            <w:tcW w:w="0" w:type="auto"/>
            <w:vMerge/>
            <w:tcBorders>
              <w:top w:val="single" w:sz="8" w:space="0" w:color="FFFFFF"/>
              <w:left w:val="single" w:sz="8" w:space="0" w:color="FFFFFF"/>
              <w:bottom w:val="single" w:sz="24" w:space="0" w:color="FFFFFF"/>
              <w:right w:val="single" w:sz="8" w:space="0" w:color="FFFFFF"/>
            </w:tcBorders>
            <w:vAlign w:val="center"/>
            <w:hideMark/>
          </w:tcPr>
          <w:p>
            <w:pPr>
              <w:tabs>
                <w:tab w:val="clear" w:pos="2835"/>
              </w:tabs>
              <w:jc w:val="left"/>
              <w:rPr>
                <w:rFonts w:eastAsia="Times New Roman"/>
                <w:b w:val="0"/>
                <w:sz w:val="18"/>
                <w:szCs w:val="18"/>
                <w:lang w:eastAsia="es-CL"/>
              </w:rPr>
            </w:pPr>
          </w:p>
        </w:tc>
        <w:tc>
          <w:tcPr>
            <w:tcW w:w="1096" w:type="dxa"/>
            <w:vMerge w:val="restart"/>
            <w:tcBorders>
              <w:top w:val="single" w:sz="24" w:space="0" w:color="FFFFFF"/>
              <w:left w:val="single" w:sz="24" w:space="0" w:color="FFFFFF"/>
              <w:bottom w:val="single" w:sz="8" w:space="0" w:color="FFFFFF"/>
              <w:right w:val="single" w:sz="8" w:space="0" w:color="FFFFFF"/>
            </w:tcBorders>
            <w:shd w:val="clear" w:color="auto" w:fill="376092"/>
            <w:tcMar>
              <w:top w:w="72" w:type="dxa"/>
              <w:left w:w="144" w:type="dxa"/>
              <w:bottom w:w="72" w:type="dxa"/>
              <w:right w:w="144" w:type="dxa"/>
            </w:tcMar>
            <w:vAlign w:val="center"/>
            <w:hideMark/>
          </w:tcPr>
          <w:p>
            <w:pPr>
              <w:tabs>
                <w:tab w:val="clear" w:pos="2835"/>
              </w:tabs>
              <w:jc w:val="center"/>
              <w:textAlignment w:val="center"/>
              <w:rPr>
                <w:rFonts w:eastAsia="Times New Roman"/>
                <w:b w:val="0"/>
                <w:sz w:val="18"/>
                <w:szCs w:val="18"/>
                <w:lang w:eastAsia="es-CL"/>
              </w:rPr>
            </w:pPr>
            <w:r>
              <w:rPr>
                <w:rFonts w:eastAsia="Times New Roman"/>
                <w:bCs/>
                <w:color w:val="FFFFFF"/>
                <w:kern w:val="24"/>
                <w:sz w:val="18"/>
                <w:szCs w:val="18"/>
                <w:lang w:eastAsia="es-CL"/>
              </w:rPr>
              <w:t>Ley Inicial año 2016 (1)</w:t>
            </w:r>
          </w:p>
        </w:tc>
        <w:tc>
          <w:tcPr>
            <w:tcW w:w="1332" w:type="dxa"/>
            <w:vMerge w:val="restart"/>
            <w:tcBorders>
              <w:top w:val="single" w:sz="24" w:space="0" w:color="FFFFFF"/>
              <w:left w:val="single" w:sz="8" w:space="0" w:color="FFFFFF"/>
              <w:bottom w:val="single" w:sz="8" w:space="0" w:color="FFFFFF"/>
              <w:right w:val="single" w:sz="8" w:space="0" w:color="FFFFFF"/>
            </w:tcBorders>
            <w:shd w:val="clear" w:color="auto" w:fill="376092"/>
            <w:tcMar>
              <w:top w:w="72" w:type="dxa"/>
              <w:left w:w="144" w:type="dxa"/>
              <w:bottom w:w="72" w:type="dxa"/>
              <w:right w:w="144" w:type="dxa"/>
            </w:tcMar>
            <w:vAlign w:val="center"/>
            <w:hideMark/>
          </w:tcPr>
          <w:p>
            <w:pPr>
              <w:tabs>
                <w:tab w:val="clear" w:pos="2835"/>
              </w:tabs>
              <w:jc w:val="center"/>
              <w:textAlignment w:val="center"/>
              <w:rPr>
                <w:rFonts w:eastAsia="Times New Roman"/>
                <w:b w:val="0"/>
                <w:sz w:val="18"/>
                <w:szCs w:val="18"/>
                <w:lang w:eastAsia="es-CL"/>
              </w:rPr>
            </w:pPr>
            <w:r>
              <w:rPr>
                <w:rFonts w:eastAsia="Times New Roman"/>
                <w:bCs/>
                <w:color w:val="FFFFFF"/>
                <w:kern w:val="24"/>
                <w:sz w:val="18"/>
                <w:szCs w:val="18"/>
                <w:lang w:eastAsia="es-CL"/>
              </w:rPr>
              <w:t>Presupuesto Vigente a agosto 2016 (2)</w:t>
            </w:r>
          </w:p>
        </w:tc>
        <w:tc>
          <w:tcPr>
            <w:tcW w:w="1536" w:type="dxa"/>
            <w:vMerge w:val="restart"/>
            <w:tcBorders>
              <w:top w:val="single" w:sz="24" w:space="0" w:color="FFFFFF"/>
              <w:left w:val="single" w:sz="8" w:space="0" w:color="FFFFFF"/>
              <w:bottom w:val="single" w:sz="8" w:space="0" w:color="FFFFFF"/>
              <w:right w:val="single" w:sz="8" w:space="0" w:color="FFFFFF"/>
            </w:tcBorders>
            <w:shd w:val="clear" w:color="auto" w:fill="376092"/>
            <w:tcMar>
              <w:top w:w="72" w:type="dxa"/>
              <w:left w:w="144" w:type="dxa"/>
              <w:bottom w:w="72" w:type="dxa"/>
              <w:right w:w="144" w:type="dxa"/>
            </w:tcMar>
            <w:vAlign w:val="center"/>
            <w:hideMark/>
          </w:tcPr>
          <w:p>
            <w:pPr>
              <w:tabs>
                <w:tab w:val="clear" w:pos="2835"/>
              </w:tabs>
              <w:jc w:val="center"/>
              <w:textAlignment w:val="center"/>
              <w:rPr>
                <w:rFonts w:eastAsia="Times New Roman"/>
                <w:b w:val="0"/>
                <w:sz w:val="18"/>
                <w:szCs w:val="18"/>
                <w:lang w:eastAsia="es-CL"/>
              </w:rPr>
            </w:pPr>
            <w:r>
              <w:rPr>
                <w:rFonts w:eastAsia="Times New Roman"/>
                <w:bCs/>
                <w:color w:val="FFFFFF"/>
                <w:kern w:val="24"/>
                <w:sz w:val="18"/>
                <w:szCs w:val="18"/>
                <w:lang w:eastAsia="es-CL"/>
              </w:rPr>
              <w:t>Ejecución Presupuestaria a agosto 2016</w:t>
            </w:r>
          </w:p>
          <w:p>
            <w:pPr>
              <w:tabs>
                <w:tab w:val="clear" w:pos="2835"/>
              </w:tabs>
              <w:jc w:val="center"/>
              <w:textAlignment w:val="center"/>
              <w:rPr>
                <w:rFonts w:eastAsia="Times New Roman"/>
                <w:b w:val="0"/>
                <w:sz w:val="18"/>
                <w:szCs w:val="18"/>
                <w:lang w:eastAsia="es-CL"/>
              </w:rPr>
            </w:pPr>
            <w:r>
              <w:rPr>
                <w:rFonts w:eastAsia="Times New Roman"/>
                <w:bCs/>
                <w:color w:val="FFFFFF"/>
                <w:kern w:val="24"/>
                <w:sz w:val="18"/>
                <w:szCs w:val="18"/>
                <w:lang w:eastAsia="es-CL"/>
              </w:rPr>
              <w:t xml:space="preserve"> (3)</w:t>
            </w:r>
          </w:p>
        </w:tc>
        <w:tc>
          <w:tcPr>
            <w:tcW w:w="1032" w:type="dxa"/>
            <w:tcBorders>
              <w:top w:val="single" w:sz="24" w:space="0" w:color="FFFFFF"/>
              <w:left w:val="single" w:sz="8" w:space="0" w:color="FFFFFF"/>
              <w:bottom w:val="single" w:sz="8" w:space="0" w:color="FFFFFF"/>
              <w:right w:val="single" w:sz="8" w:space="0" w:color="FFFFFF"/>
            </w:tcBorders>
            <w:shd w:val="clear" w:color="auto" w:fill="376092"/>
            <w:tcMar>
              <w:top w:w="72" w:type="dxa"/>
              <w:left w:w="144" w:type="dxa"/>
              <w:bottom w:w="72" w:type="dxa"/>
              <w:right w:w="144" w:type="dxa"/>
            </w:tcMar>
            <w:vAlign w:val="center"/>
            <w:hideMark/>
          </w:tcPr>
          <w:p>
            <w:pPr>
              <w:tabs>
                <w:tab w:val="clear" w:pos="2835"/>
              </w:tabs>
              <w:jc w:val="center"/>
              <w:textAlignment w:val="center"/>
              <w:rPr>
                <w:rFonts w:eastAsia="Times New Roman"/>
                <w:b w:val="0"/>
                <w:sz w:val="18"/>
                <w:szCs w:val="18"/>
                <w:lang w:eastAsia="es-CL"/>
              </w:rPr>
            </w:pPr>
            <w:r>
              <w:rPr>
                <w:rFonts w:eastAsia="Times New Roman"/>
                <w:bCs/>
                <w:color w:val="FFFFFF"/>
                <w:kern w:val="24"/>
                <w:sz w:val="18"/>
                <w:szCs w:val="18"/>
                <w:lang w:eastAsia="es-CL"/>
              </w:rPr>
              <w:t>En relación con Ley Inicial</w:t>
            </w:r>
          </w:p>
        </w:tc>
        <w:tc>
          <w:tcPr>
            <w:tcW w:w="1332" w:type="dxa"/>
            <w:tcBorders>
              <w:top w:val="single" w:sz="24" w:space="0" w:color="FFFFFF"/>
              <w:left w:val="single" w:sz="8" w:space="0" w:color="FFFFFF"/>
              <w:bottom w:val="single" w:sz="8" w:space="0" w:color="FFFFFF"/>
              <w:right w:val="single" w:sz="8" w:space="0" w:color="FFFFFF"/>
            </w:tcBorders>
            <w:shd w:val="clear" w:color="auto" w:fill="376092"/>
            <w:tcMar>
              <w:top w:w="72" w:type="dxa"/>
              <w:left w:w="144" w:type="dxa"/>
              <w:bottom w:w="72" w:type="dxa"/>
              <w:right w:w="144" w:type="dxa"/>
            </w:tcMar>
            <w:vAlign w:val="center"/>
            <w:hideMark/>
          </w:tcPr>
          <w:p>
            <w:pPr>
              <w:tabs>
                <w:tab w:val="clear" w:pos="2835"/>
              </w:tabs>
              <w:jc w:val="center"/>
              <w:textAlignment w:val="center"/>
              <w:rPr>
                <w:rFonts w:eastAsia="Times New Roman"/>
                <w:b w:val="0"/>
                <w:sz w:val="18"/>
                <w:szCs w:val="18"/>
                <w:lang w:eastAsia="es-CL"/>
              </w:rPr>
            </w:pPr>
            <w:r>
              <w:rPr>
                <w:rFonts w:eastAsia="Times New Roman"/>
                <w:bCs/>
                <w:color w:val="FFFFFF"/>
                <w:kern w:val="24"/>
                <w:sz w:val="18"/>
                <w:szCs w:val="18"/>
                <w:lang w:eastAsia="es-CL"/>
              </w:rPr>
              <w:t>En relación con Presupuesto Vigente</w:t>
            </w:r>
          </w:p>
        </w:tc>
      </w:tr>
      <w:tr>
        <w:trPr>
          <w:trHeight w:val="630"/>
        </w:trPr>
        <w:tc>
          <w:tcPr>
            <w:tcW w:w="0" w:type="auto"/>
            <w:vMerge/>
            <w:tcBorders>
              <w:top w:val="single" w:sz="8" w:space="0" w:color="FFFFFF"/>
              <w:left w:val="single" w:sz="8" w:space="0" w:color="FFFFFF"/>
              <w:bottom w:val="single" w:sz="24" w:space="0" w:color="FFFFFF"/>
              <w:right w:val="single" w:sz="8" w:space="0" w:color="FFFFFF"/>
            </w:tcBorders>
            <w:vAlign w:val="center"/>
            <w:hideMark/>
          </w:tcPr>
          <w:p>
            <w:pPr>
              <w:tabs>
                <w:tab w:val="clear" w:pos="2835"/>
              </w:tabs>
              <w:jc w:val="left"/>
              <w:rPr>
                <w:rFonts w:eastAsia="Times New Roman"/>
                <w:b w:val="0"/>
                <w:sz w:val="18"/>
                <w:szCs w:val="18"/>
                <w:lang w:eastAsia="es-CL"/>
              </w:rPr>
            </w:pPr>
          </w:p>
        </w:tc>
        <w:tc>
          <w:tcPr>
            <w:tcW w:w="0" w:type="auto"/>
            <w:vMerge/>
            <w:tcBorders>
              <w:top w:val="single" w:sz="8" w:space="0" w:color="FFFFFF"/>
              <w:left w:val="single" w:sz="8" w:space="0" w:color="FFFFFF"/>
              <w:bottom w:val="single" w:sz="24" w:space="0" w:color="FFFFFF"/>
              <w:right w:val="single" w:sz="8" w:space="0" w:color="FFFFFF"/>
            </w:tcBorders>
            <w:vAlign w:val="center"/>
            <w:hideMark/>
          </w:tcPr>
          <w:p>
            <w:pPr>
              <w:tabs>
                <w:tab w:val="clear" w:pos="2835"/>
              </w:tabs>
              <w:jc w:val="left"/>
              <w:rPr>
                <w:rFonts w:eastAsia="Times New Roman"/>
                <w:b w:val="0"/>
                <w:sz w:val="18"/>
                <w:szCs w:val="18"/>
                <w:lang w:eastAsia="es-CL"/>
              </w:rPr>
            </w:pPr>
          </w:p>
        </w:tc>
        <w:tc>
          <w:tcPr>
            <w:tcW w:w="0" w:type="auto"/>
            <w:vMerge/>
            <w:tcBorders>
              <w:top w:val="single" w:sz="24" w:space="0" w:color="FFFFFF"/>
              <w:left w:val="single" w:sz="24" w:space="0" w:color="FFFFFF"/>
              <w:bottom w:val="single" w:sz="8" w:space="0" w:color="FFFFFF"/>
              <w:right w:val="single" w:sz="8" w:space="0" w:color="FFFFFF"/>
            </w:tcBorders>
            <w:vAlign w:val="center"/>
            <w:hideMark/>
          </w:tcPr>
          <w:p>
            <w:pPr>
              <w:tabs>
                <w:tab w:val="clear" w:pos="2835"/>
              </w:tabs>
              <w:jc w:val="left"/>
              <w:rPr>
                <w:rFonts w:eastAsia="Times New Roman"/>
                <w:b w:val="0"/>
                <w:sz w:val="18"/>
                <w:szCs w:val="18"/>
                <w:lang w:eastAsia="es-CL"/>
              </w:rPr>
            </w:pPr>
          </w:p>
        </w:tc>
        <w:tc>
          <w:tcPr>
            <w:tcW w:w="0" w:type="auto"/>
            <w:vMerge/>
            <w:tcBorders>
              <w:top w:val="single" w:sz="24" w:space="0" w:color="FFFFFF"/>
              <w:left w:val="single" w:sz="8" w:space="0" w:color="FFFFFF"/>
              <w:bottom w:val="single" w:sz="8" w:space="0" w:color="FFFFFF"/>
              <w:right w:val="single" w:sz="8" w:space="0" w:color="FFFFFF"/>
            </w:tcBorders>
            <w:vAlign w:val="center"/>
            <w:hideMark/>
          </w:tcPr>
          <w:p>
            <w:pPr>
              <w:tabs>
                <w:tab w:val="clear" w:pos="2835"/>
              </w:tabs>
              <w:jc w:val="left"/>
              <w:rPr>
                <w:rFonts w:eastAsia="Times New Roman"/>
                <w:b w:val="0"/>
                <w:sz w:val="18"/>
                <w:szCs w:val="18"/>
                <w:lang w:eastAsia="es-CL"/>
              </w:rPr>
            </w:pPr>
          </w:p>
        </w:tc>
        <w:tc>
          <w:tcPr>
            <w:tcW w:w="0" w:type="auto"/>
            <w:vMerge/>
            <w:tcBorders>
              <w:top w:val="single" w:sz="24" w:space="0" w:color="FFFFFF"/>
              <w:left w:val="single" w:sz="8" w:space="0" w:color="FFFFFF"/>
              <w:bottom w:val="single" w:sz="8" w:space="0" w:color="FFFFFF"/>
              <w:right w:val="single" w:sz="8" w:space="0" w:color="FFFFFF"/>
            </w:tcBorders>
            <w:vAlign w:val="center"/>
            <w:hideMark/>
          </w:tcPr>
          <w:p>
            <w:pPr>
              <w:tabs>
                <w:tab w:val="clear" w:pos="2835"/>
              </w:tabs>
              <w:jc w:val="left"/>
              <w:rPr>
                <w:rFonts w:eastAsia="Times New Roman"/>
                <w:b w:val="0"/>
                <w:sz w:val="18"/>
                <w:szCs w:val="18"/>
                <w:lang w:eastAsia="es-CL"/>
              </w:rPr>
            </w:pPr>
          </w:p>
        </w:tc>
        <w:tc>
          <w:tcPr>
            <w:tcW w:w="1032" w:type="dxa"/>
            <w:tcBorders>
              <w:top w:val="single" w:sz="8" w:space="0" w:color="FFFFFF"/>
              <w:left w:val="single" w:sz="8" w:space="0" w:color="FFFFFF"/>
              <w:bottom w:val="single" w:sz="8" w:space="0" w:color="FFFFFF"/>
              <w:right w:val="single" w:sz="8" w:space="0" w:color="FFFFFF"/>
            </w:tcBorders>
            <w:shd w:val="clear" w:color="auto" w:fill="376092"/>
            <w:tcMar>
              <w:top w:w="72" w:type="dxa"/>
              <w:left w:w="144" w:type="dxa"/>
              <w:bottom w:w="72" w:type="dxa"/>
              <w:right w:w="144" w:type="dxa"/>
            </w:tcMar>
            <w:vAlign w:val="center"/>
            <w:hideMark/>
          </w:tcPr>
          <w:p>
            <w:pPr>
              <w:tabs>
                <w:tab w:val="clear" w:pos="2835"/>
              </w:tabs>
              <w:jc w:val="center"/>
              <w:textAlignment w:val="center"/>
              <w:rPr>
                <w:rFonts w:eastAsia="Times New Roman"/>
                <w:b w:val="0"/>
                <w:sz w:val="18"/>
                <w:szCs w:val="18"/>
                <w:lang w:eastAsia="es-CL"/>
              </w:rPr>
            </w:pPr>
            <w:r>
              <w:rPr>
                <w:rFonts w:eastAsia="Times New Roman"/>
                <w:bCs/>
                <w:color w:val="FFFFFF"/>
                <w:kern w:val="24"/>
                <w:sz w:val="18"/>
                <w:szCs w:val="18"/>
                <w:lang w:eastAsia="es-CL"/>
              </w:rPr>
              <w:t>% (3)/(1)</w:t>
            </w:r>
          </w:p>
        </w:tc>
        <w:tc>
          <w:tcPr>
            <w:tcW w:w="1332" w:type="dxa"/>
            <w:tcBorders>
              <w:top w:val="single" w:sz="8" w:space="0" w:color="FFFFFF"/>
              <w:left w:val="single" w:sz="8" w:space="0" w:color="FFFFFF"/>
              <w:bottom w:val="single" w:sz="8" w:space="0" w:color="FFFFFF"/>
              <w:right w:val="single" w:sz="8" w:space="0" w:color="FFFFFF"/>
            </w:tcBorders>
            <w:shd w:val="clear" w:color="auto" w:fill="376092"/>
            <w:tcMar>
              <w:top w:w="72" w:type="dxa"/>
              <w:left w:w="144" w:type="dxa"/>
              <w:bottom w:w="72" w:type="dxa"/>
              <w:right w:w="144" w:type="dxa"/>
            </w:tcMar>
            <w:vAlign w:val="center"/>
            <w:hideMark/>
          </w:tcPr>
          <w:p>
            <w:pPr>
              <w:tabs>
                <w:tab w:val="clear" w:pos="2835"/>
              </w:tabs>
              <w:jc w:val="center"/>
              <w:textAlignment w:val="center"/>
              <w:rPr>
                <w:rFonts w:eastAsia="Times New Roman"/>
                <w:b w:val="0"/>
                <w:sz w:val="18"/>
                <w:szCs w:val="18"/>
                <w:lang w:eastAsia="es-CL"/>
              </w:rPr>
            </w:pPr>
            <w:r>
              <w:rPr>
                <w:rFonts w:eastAsia="Times New Roman"/>
                <w:bCs/>
                <w:color w:val="FFFFFF"/>
                <w:kern w:val="24"/>
                <w:sz w:val="18"/>
                <w:szCs w:val="18"/>
                <w:lang w:eastAsia="es-CL"/>
              </w:rPr>
              <w:t>% (3)/(2)</w:t>
            </w:r>
          </w:p>
        </w:tc>
      </w:tr>
      <w:tr>
        <w:trPr>
          <w:trHeight w:val="630"/>
        </w:trPr>
        <w:tc>
          <w:tcPr>
            <w:tcW w:w="791"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pPr>
              <w:tabs>
                <w:tab w:val="clear" w:pos="2835"/>
              </w:tabs>
              <w:jc w:val="left"/>
              <w:rPr>
                <w:rFonts w:eastAsia="Times New Roman"/>
                <w:b w:val="0"/>
                <w:sz w:val="18"/>
                <w:szCs w:val="18"/>
                <w:lang w:eastAsia="es-CL"/>
              </w:rPr>
            </w:pPr>
          </w:p>
        </w:tc>
        <w:tc>
          <w:tcPr>
            <w:tcW w:w="2032"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pPr>
              <w:tabs>
                <w:tab w:val="clear" w:pos="2835"/>
              </w:tabs>
              <w:jc w:val="left"/>
              <w:textAlignment w:val="bottom"/>
              <w:rPr>
                <w:rFonts w:eastAsia="Times New Roman"/>
                <w:b w:val="0"/>
                <w:sz w:val="18"/>
                <w:szCs w:val="18"/>
                <w:lang w:eastAsia="es-CL"/>
              </w:rPr>
            </w:pPr>
            <w:r>
              <w:rPr>
                <w:rFonts w:eastAsia="Times New Roman"/>
                <w:bCs/>
                <w:color w:val="000000"/>
                <w:kern w:val="24"/>
                <w:sz w:val="18"/>
                <w:szCs w:val="18"/>
                <w:lang w:eastAsia="es-CL"/>
              </w:rPr>
              <w:t>GASTOS</w:t>
            </w:r>
          </w:p>
        </w:tc>
        <w:tc>
          <w:tcPr>
            <w:tcW w:w="1096"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pPr>
              <w:tabs>
                <w:tab w:val="clear" w:pos="2835"/>
              </w:tabs>
              <w:jc w:val="right"/>
              <w:textAlignment w:val="bottom"/>
              <w:rPr>
                <w:rFonts w:eastAsia="Times New Roman"/>
                <w:b w:val="0"/>
                <w:sz w:val="18"/>
                <w:szCs w:val="18"/>
                <w:lang w:eastAsia="es-CL"/>
              </w:rPr>
            </w:pPr>
            <w:r>
              <w:rPr>
                <w:rFonts w:eastAsia="Times New Roman"/>
                <w:bCs/>
                <w:color w:val="000000"/>
                <w:kern w:val="24"/>
                <w:sz w:val="18"/>
                <w:szCs w:val="18"/>
                <w:lang w:eastAsia="es-CL"/>
              </w:rPr>
              <w:t xml:space="preserve">       72.802.715 </w:t>
            </w:r>
          </w:p>
        </w:tc>
        <w:tc>
          <w:tcPr>
            <w:tcW w:w="1332"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pPr>
              <w:tabs>
                <w:tab w:val="clear" w:pos="2835"/>
              </w:tabs>
              <w:jc w:val="right"/>
              <w:textAlignment w:val="bottom"/>
              <w:rPr>
                <w:rFonts w:eastAsia="Times New Roman"/>
                <w:b w:val="0"/>
                <w:sz w:val="18"/>
                <w:szCs w:val="18"/>
                <w:lang w:eastAsia="es-CL"/>
              </w:rPr>
            </w:pPr>
            <w:r>
              <w:rPr>
                <w:rFonts w:eastAsia="Times New Roman"/>
                <w:bCs/>
                <w:color w:val="000000"/>
                <w:kern w:val="24"/>
                <w:sz w:val="18"/>
                <w:szCs w:val="18"/>
                <w:lang w:eastAsia="es-CL"/>
              </w:rPr>
              <w:t xml:space="preserve">        73.510.006 </w:t>
            </w:r>
          </w:p>
        </w:tc>
        <w:tc>
          <w:tcPr>
            <w:tcW w:w="1536"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pPr>
              <w:tabs>
                <w:tab w:val="clear" w:pos="2835"/>
              </w:tabs>
              <w:jc w:val="right"/>
              <w:textAlignment w:val="bottom"/>
              <w:rPr>
                <w:rFonts w:eastAsia="Times New Roman"/>
                <w:b w:val="0"/>
                <w:sz w:val="18"/>
                <w:szCs w:val="18"/>
                <w:lang w:eastAsia="es-CL"/>
              </w:rPr>
            </w:pPr>
            <w:r>
              <w:rPr>
                <w:rFonts w:eastAsia="Times New Roman"/>
                <w:bCs/>
                <w:color w:val="000000"/>
                <w:kern w:val="24"/>
                <w:sz w:val="18"/>
                <w:szCs w:val="18"/>
                <w:lang w:eastAsia="es-CL"/>
              </w:rPr>
              <w:t xml:space="preserve">          44.768.369 </w:t>
            </w:r>
          </w:p>
        </w:tc>
        <w:tc>
          <w:tcPr>
            <w:tcW w:w="1032"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pPr>
              <w:tabs>
                <w:tab w:val="clear" w:pos="2835"/>
              </w:tabs>
              <w:jc w:val="right"/>
              <w:textAlignment w:val="bottom"/>
              <w:rPr>
                <w:rFonts w:eastAsia="Times New Roman"/>
                <w:b w:val="0"/>
                <w:sz w:val="18"/>
                <w:szCs w:val="18"/>
                <w:lang w:eastAsia="es-CL"/>
              </w:rPr>
            </w:pPr>
            <w:r>
              <w:rPr>
                <w:rFonts w:eastAsia="Times New Roman"/>
                <w:bCs/>
                <w:color w:val="000000"/>
                <w:kern w:val="24"/>
                <w:sz w:val="18"/>
                <w:szCs w:val="18"/>
                <w:lang w:eastAsia="es-CL"/>
              </w:rPr>
              <w:t>61,5%</w:t>
            </w:r>
          </w:p>
        </w:tc>
        <w:tc>
          <w:tcPr>
            <w:tcW w:w="1332"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pPr>
              <w:tabs>
                <w:tab w:val="clear" w:pos="2835"/>
              </w:tabs>
              <w:jc w:val="right"/>
              <w:textAlignment w:val="bottom"/>
              <w:rPr>
                <w:rFonts w:eastAsia="Times New Roman"/>
                <w:b w:val="0"/>
                <w:sz w:val="18"/>
                <w:szCs w:val="18"/>
                <w:lang w:eastAsia="es-CL"/>
              </w:rPr>
            </w:pPr>
            <w:r>
              <w:rPr>
                <w:rFonts w:eastAsia="Times New Roman"/>
                <w:bCs/>
                <w:color w:val="000000"/>
                <w:kern w:val="24"/>
                <w:sz w:val="18"/>
                <w:szCs w:val="18"/>
                <w:lang w:eastAsia="es-CL"/>
              </w:rPr>
              <w:t>60,9%</w:t>
            </w:r>
          </w:p>
        </w:tc>
      </w:tr>
      <w:tr>
        <w:trPr>
          <w:trHeight w:val="630"/>
        </w:trPr>
        <w:tc>
          <w:tcPr>
            <w:tcW w:w="79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center"/>
              <w:textAlignment w:val="bottom"/>
              <w:rPr>
                <w:rFonts w:eastAsia="Times New Roman"/>
                <w:b w:val="0"/>
                <w:sz w:val="18"/>
                <w:szCs w:val="18"/>
                <w:lang w:eastAsia="es-CL"/>
              </w:rPr>
            </w:pPr>
            <w:r>
              <w:rPr>
                <w:rFonts w:eastAsia="Times New Roman"/>
                <w:b w:val="0"/>
                <w:color w:val="000000"/>
                <w:kern w:val="24"/>
                <w:sz w:val="18"/>
                <w:szCs w:val="18"/>
                <w:lang w:eastAsia="es-CL"/>
              </w:rPr>
              <w:t>21</w:t>
            </w:r>
          </w:p>
        </w:tc>
        <w:tc>
          <w:tcPr>
            <w:tcW w:w="203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left"/>
              <w:textAlignment w:val="bottom"/>
              <w:rPr>
                <w:rFonts w:eastAsia="Times New Roman"/>
                <w:b w:val="0"/>
                <w:sz w:val="18"/>
                <w:szCs w:val="18"/>
                <w:lang w:eastAsia="es-CL"/>
              </w:rPr>
            </w:pPr>
            <w:r>
              <w:rPr>
                <w:rFonts w:eastAsia="Times New Roman"/>
                <w:b w:val="0"/>
                <w:color w:val="000000"/>
                <w:kern w:val="24"/>
                <w:sz w:val="18"/>
                <w:szCs w:val="18"/>
                <w:lang w:eastAsia="es-CL"/>
              </w:rPr>
              <w:t>GASTOS EN PERSONAL</w:t>
            </w:r>
          </w:p>
        </w:tc>
        <w:tc>
          <w:tcPr>
            <w:tcW w:w="109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right"/>
              <w:textAlignment w:val="bottom"/>
              <w:rPr>
                <w:rFonts w:eastAsia="Times New Roman"/>
                <w:b w:val="0"/>
                <w:sz w:val="18"/>
                <w:szCs w:val="18"/>
                <w:lang w:eastAsia="es-CL"/>
              </w:rPr>
            </w:pPr>
            <w:r>
              <w:rPr>
                <w:rFonts w:eastAsia="Times New Roman"/>
                <w:b w:val="0"/>
                <w:color w:val="000000"/>
                <w:kern w:val="24"/>
                <w:sz w:val="18"/>
                <w:szCs w:val="18"/>
                <w:lang w:eastAsia="es-CL"/>
              </w:rPr>
              <w:t xml:space="preserve">       53.334.196 </w:t>
            </w:r>
          </w:p>
        </w:tc>
        <w:tc>
          <w:tcPr>
            <w:tcW w:w="133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right"/>
              <w:textAlignment w:val="bottom"/>
              <w:rPr>
                <w:rFonts w:eastAsia="Times New Roman"/>
                <w:b w:val="0"/>
                <w:sz w:val="18"/>
                <w:szCs w:val="18"/>
                <w:lang w:eastAsia="es-CL"/>
              </w:rPr>
            </w:pPr>
            <w:r>
              <w:rPr>
                <w:rFonts w:eastAsia="Times New Roman"/>
                <w:b w:val="0"/>
                <w:color w:val="000000"/>
                <w:kern w:val="24"/>
                <w:sz w:val="18"/>
                <w:szCs w:val="18"/>
                <w:lang w:eastAsia="es-CL"/>
              </w:rPr>
              <w:t xml:space="preserve">        52.299.933 </w:t>
            </w:r>
          </w:p>
        </w:tc>
        <w:tc>
          <w:tcPr>
            <w:tcW w:w="153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right"/>
              <w:textAlignment w:val="bottom"/>
              <w:rPr>
                <w:rFonts w:eastAsia="Times New Roman"/>
                <w:b w:val="0"/>
                <w:sz w:val="18"/>
                <w:szCs w:val="18"/>
                <w:lang w:eastAsia="es-CL"/>
              </w:rPr>
            </w:pPr>
            <w:r>
              <w:rPr>
                <w:rFonts w:eastAsia="Times New Roman"/>
                <w:b w:val="0"/>
                <w:color w:val="000000"/>
                <w:kern w:val="24"/>
                <w:sz w:val="18"/>
                <w:szCs w:val="18"/>
                <w:lang w:eastAsia="es-CL"/>
              </w:rPr>
              <w:t xml:space="preserve">          35.834.296 </w:t>
            </w:r>
          </w:p>
        </w:tc>
        <w:tc>
          <w:tcPr>
            <w:tcW w:w="103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right"/>
              <w:textAlignment w:val="bottom"/>
              <w:rPr>
                <w:rFonts w:eastAsia="Times New Roman"/>
                <w:b w:val="0"/>
                <w:sz w:val="18"/>
                <w:szCs w:val="18"/>
                <w:lang w:eastAsia="es-CL"/>
              </w:rPr>
            </w:pPr>
            <w:r>
              <w:rPr>
                <w:rFonts w:eastAsia="Times New Roman"/>
                <w:b w:val="0"/>
                <w:color w:val="000000"/>
                <w:kern w:val="24"/>
                <w:sz w:val="18"/>
                <w:szCs w:val="18"/>
                <w:lang w:eastAsia="es-CL"/>
              </w:rPr>
              <w:t>67,2%</w:t>
            </w:r>
          </w:p>
        </w:tc>
        <w:tc>
          <w:tcPr>
            <w:tcW w:w="133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right"/>
              <w:textAlignment w:val="bottom"/>
              <w:rPr>
                <w:rFonts w:eastAsia="Times New Roman"/>
                <w:b w:val="0"/>
                <w:sz w:val="18"/>
                <w:szCs w:val="18"/>
                <w:lang w:eastAsia="es-CL"/>
              </w:rPr>
            </w:pPr>
            <w:r>
              <w:rPr>
                <w:rFonts w:eastAsia="Times New Roman"/>
                <w:b w:val="0"/>
                <w:color w:val="000000"/>
                <w:kern w:val="24"/>
                <w:sz w:val="18"/>
                <w:szCs w:val="18"/>
                <w:lang w:eastAsia="es-CL"/>
              </w:rPr>
              <w:t>68,5%</w:t>
            </w:r>
          </w:p>
        </w:tc>
      </w:tr>
      <w:tr>
        <w:trPr>
          <w:trHeight w:val="630"/>
        </w:trPr>
        <w:tc>
          <w:tcPr>
            <w:tcW w:w="79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pPr>
              <w:tabs>
                <w:tab w:val="clear" w:pos="2835"/>
              </w:tabs>
              <w:jc w:val="center"/>
              <w:textAlignment w:val="bottom"/>
              <w:rPr>
                <w:rFonts w:eastAsia="Times New Roman"/>
                <w:b w:val="0"/>
                <w:sz w:val="18"/>
                <w:szCs w:val="18"/>
                <w:lang w:eastAsia="es-CL"/>
              </w:rPr>
            </w:pPr>
            <w:r>
              <w:rPr>
                <w:rFonts w:eastAsia="Times New Roman"/>
                <w:b w:val="0"/>
                <w:color w:val="000000"/>
                <w:kern w:val="24"/>
                <w:sz w:val="18"/>
                <w:szCs w:val="18"/>
                <w:lang w:eastAsia="es-CL"/>
              </w:rPr>
              <w:t>22</w:t>
            </w:r>
          </w:p>
        </w:tc>
        <w:tc>
          <w:tcPr>
            <w:tcW w:w="2032"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pPr>
              <w:tabs>
                <w:tab w:val="clear" w:pos="2835"/>
              </w:tabs>
              <w:jc w:val="left"/>
              <w:textAlignment w:val="bottom"/>
              <w:rPr>
                <w:rFonts w:eastAsia="Times New Roman"/>
                <w:b w:val="0"/>
                <w:sz w:val="18"/>
                <w:szCs w:val="18"/>
                <w:lang w:eastAsia="es-CL"/>
              </w:rPr>
            </w:pPr>
            <w:r>
              <w:rPr>
                <w:rFonts w:eastAsia="Times New Roman"/>
                <w:b w:val="0"/>
                <w:color w:val="000000"/>
                <w:kern w:val="24"/>
                <w:sz w:val="18"/>
                <w:szCs w:val="18"/>
                <w:lang w:eastAsia="es-CL"/>
              </w:rPr>
              <w:t>BIENES Y SERVICIOS DE CONSUMO</w:t>
            </w:r>
          </w:p>
        </w:tc>
        <w:tc>
          <w:tcPr>
            <w:tcW w:w="1096"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pPr>
              <w:tabs>
                <w:tab w:val="clear" w:pos="2835"/>
              </w:tabs>
              <w:jc w:val="right"/>
              <w:textAlignment w:val="bottom"/>
              <w:rPr>
                <w:rFonts w:eastAsia="Times New Roman"/>
                <w:b w:val="0"/>
                <w:sz w:val="18"/>
                <w:szCs w:val="18"/>
                <w:lang w:eastAsia="es-CL"/>
              </w:rPr>
            </w:pPr>
            <w:r>
              <w:rPr>
                <w:rFonts w:eastAsia="Times New Roman"/>
                <w:b w:val="0"/>
                <w:color w:val="000000"/>
                <w:kern w:val="24"/>
                <w:sz w:val="18"/>
                <w:szCs w:val="18"/>
                <w:lang w:eastAsia="es-CL"/>
              </w:rPr>
              <w:t xml:space="preserve">       10.547.254 </w:t>
            </w:r>
          </w:p>
        </w:tc>
        <w:tc>
          <w:tcPr>
            <w:tcW w:w="1332"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pPr>
              <w:tabs>
                <w:tab w:val="clear" w:pos="2835"/>
              </w:tabs>
              <w:jc w:val="right"/>
              <w:textAlignment w:val="bottom"/>
              <w:rPr>
                <w:rFonts w:eastAsia="Times New Roman"/>
                <w:b w:val="0"/>
                <w:sz w:val="18"/>
                <w:szCs w:val="18"/>
                <w:lang w:eastAsia="es-CL"/>
              </w:rPr>
            </w:pPr>
            <w:r>
              <w:rPr>
                <w:rFonts w:eastAsia="Times New Roman"/>
                <w:b w:val="0"/>
                <w:color w:val="000000"/>
                <w:kern w:val="24"/>
                <w:sz w:val="18"/>
                <w:szCs w:val="18"/>
                <w:lang w:eastAsia="es-CL"/>
              </w:rPr>
              <w:t xml:space="preserve">        10.369.908 </w:t>
            </w:r>
          </w:p>
        </w:tc>
        <w:tc>
          <w:tcPr>
            <w:tcW w:w="1536"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pPr>
              <w:tabs>
                <w:tab w:val="clear" w:pos="2835"/>
              </w:tabs>
              <w:jc w:val="right"/>
              <w:textAlignment w:val="bottom"/>
              <w:rPr>
                <w:rFonts w:eastAsia="Times New Roman"/>
                <w:b w:val="0"/>
                <w:sz w:val="18"/>
                <w:szCs w:val="18"/>
                <w:lang w:eastAsia="es-CL"/>
              </w:rPr>
            </w:pPr>
            <w:r>
              <w:rPr>
                <w:rFonts w:eastAsia="Times New Roman"/>
                <w:b w:val="0"/>
                <w:color w:val="000000"/>
                <w:kern w:val="24"/>
                <w:sz w:val="18"/>
                <w:szCs w:val="18"/>
                <w:lang w:eastAsia="es-CL"/>
              </w:rPr>
              <w:t xml:space="preserve">            3.927.908 </w:t>
            </w:r>
          </w:p>
        </w:tc>
        <w:tc>
          <w:tcPr>
            <w:tcW w:w="1032"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pPr>
              <w:tabs>
                <w:tab w:val="clear" w:pos="2835"/>
              </w:tabs>
              <w:jc w:val="right"/>
              <w:textAlignment w:val="bottom"/>
              <w:rPr>
                <w:rFonts w:eastAsia="Times New Roman"/>
                <w:b w:val="0"/>
                <w:sz w:val="18"/>
                <w:szCs w:val="18"/>
                <w:lang w:eastAsia="es-CL"/>
              </w:rPr>
            </w:pPr>
            <w:r>
              <w:rPr>
                <w:rFonts w:eastAsia="Times New Roman"/>
                <w:b w:val="0"/>
                <w:color w:val="000000"/>
                <w:kern w:val="24"/>
                <w:sz w:val="18"/>
                <w:szCs w:val="18"/>
                <w:lang w:eastAsia="es-CL"/>
              </w:rPr>
              <w:t>37,2%</w:t>
            </w:r>
          </w:p>
        </w:tc>
        <w:tc>
          <w:tcPr>
            <w:tcW w:w="1332"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pPr>
              <w:tabs>
                <w:tab w:val="clear" w:pos="2835"/>
              </w:tabs>
              <w:jc w:val="right"/>
              <w:textAlignment w:val="bottom"/>
              <w:rPr>
                <w:rFonts w:eastAsia="Times New Roman"/>
                <w:b w:val="0"/>
                <w:sz w:val="18"/>
                <w:szCs w:val="18"/>
                <w:lang w:eastAsia="es-CL"/>
              </w:rPr>
            </w:pPr>
            <w:r>
              <w:rPr>
                <w:rFonts w:eastAsia="Times New Roman"/>
                <w:b w:val="0"/>
                <w:color w:val="000000"/>
                <w:kern w:val="24"/>
                <w:sz w:val="18"/>
                <w:szCs w:val="18"/>
                <w:lang w:eastAsia="es-CL"/>
              </w:rPr>
              <w:t>37,9%</w:t>
            </w:r>
          </w:p>
        </w:tc>
      </w:tr>
      <w:tr>
        <w:trPr>
          <w:trHeight w:val="630"/>
        </w:trPr>
        <w:tc>
          <w:tcPr>
            <w:tcW w:w="79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center"/>
              <w:textAlignment w:val="bottom"/>
              <w:rPr>
                <w:rFonts w:eastAsia="Times New Roman"/>
                <w:b w:val="0"/>
                <w:sz w:val="18"/>
                <w:szCs w:val="18"/>
                <w:lang w:eastAsia="es-CL"/>
              </w:rPr>
            </w:pPr>
            <w:r>
              <w:rPr>
                <w:rFonts w:eastAsia="Times New Roman"/>
                <w:b w:val="0"/>
                <w:color w:val="000000"/>
                <w:kern w:val="24"/>
                <w:sz w:val="18"/>
                <w:szCs w:val="18"/>
                <w:lang w:eastAsia="es-CL"/>
              </w:rPr>
              <w:t>23</w:t>
            </w:r>
          </w:p>
        </w:tc>
        <w:tc>
          <w:tcPr>
            <w:tcW w:w="203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left"/>
              <w:textAlignment w:val="bottom"/>
              <w:rPr>
                <w:rFonts w:eastAsia="Times New Roman"/>
                <w:b w:val="0"/>
                <w:sz w:val="18"/>
                <w:szCs w:val="18"/>
                <w:lang w:eastAsia="es-CL"/>
              </w:rPr>
            </w:pPr>
            <w:r>
              <w:rPr>
                <w:rFonts w:eastAsia="Times New Roman"/>
                <w:b w:val="0"/>
                <w:color w:val="000000"/>
                <w:kern w:val="24"/>
                <w:sz w:val="18"/>
                <w:szCs w:val="18"/>
                <w:lang w:eastAsia="es-CL"/>
              </w:rPr>
              <w:t>PRESTACIONES DE SEGURIDAD SOCIAL</w:t>
            </w:r>
          </w:p>
        </w:tc>
        <w:tc>
          <w:tcPr>
            <w:tcW w:w="109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right"/>
              <w:textAlignment w:val="bottom"/>
              <w:rPr>
                <w:rFonts w:eastAsia="Times New Roman"/>
                <w:b w:val="0"/>
                <w:sz w:val="18"/>
                <w:szCs w:val="18"/>
                <w:lang w:eastAsia="es-CL"/>
              </w:rPr>
            </w:pPr>
            <w:r>
              <w:rPr>
                <w:rFonts w:eastAsia="Times New Roman"/>
                <w:b w:val="0"/>
                <w:color w:val="000000"/>
                <w:kern w:val="24"/>
                <w:sz w:val="18"/>
                <w:szCs w:val="18"/>
                <w:lang w:eastAsia="es-CL"/>
              </w:rPr>
              <w:t xml:space="preserve">                         -   </w:t>
            </w:r>
          </w:p>
        </w:tc>
        <w:tc>
          <w:tcPr>
            <w:tcW w:w="133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right"/>
              <w:textAlignment w:val="bottom"/>
              <w:rPr>
                <w:rFonts w:eastAsia="Times New Roman"/>
                <w:b w:val="0"/>
                <w:sz w:val="18"/>
                <w:szCs w:val="18"/>
                <w:lang w:eastAsia="es-CL"/>
              </w:rPr>
            </w:pPr>
            <w:r>
              <w:rPr>
                <w:rFonts w:eastAsia="Times New Roman"/>
                <w:b w:val="0"/>
                <w:color w:val="000000"/>
                <w:kern w:val="24"/>
                <w:sz w:val="18"/>
                <w:szCs w:val="18"/>
                <w:lang w:eastAsia="es-CL"/>
              </w:rPr>
              <w:t xml:space="preserve">              108.749 </w:t>
            </w:r>
          </w:p>
        </w:tc>
        <w:tc>
          <w:tcPr>
            <w:tcW w:w="153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right"/>
              <w:textAlignment w:val="bottom"/>
              <w:rPr>
                <w:rFonts w:eastAsia="Times New Roman"/>
                <w:b w:val="0"/>
                <w:sz w:val="18"/>
                <w:szCs w:val="18"/>
                <w:lang w:eastAsia="es-CL"/>
              </w:rPr>
            </w:pPr>
            <w:r>
              <w:rPr>
                <w:rFonts w:eastAsia="Times New Roman"/>
                <w:b w:val="0"/>
                <w:color w:val="000000"/>
                <w:kern w:val="24"/>
                <w:sz w:val="18"/>
                <w:szCs w:val="18"/>
                <w:lang w:eastAsia="es-CL"/>
              </w:rPr>
              <w:t xml:space="preserve">               108.749 </w:t>
            </w:r>
          </w:p>
        </w:tc>
        <w:tc>
          <w:tcPr>
            <w:tcW w:w="103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right"/>
              <w:textAlignment w:val="bottom"/>
              <w:rPr>
                <w:rFonts w:eastAsia="Times New Roman"/>
                <w:b w:val="0"/>
                <w:sz w:val="18"/>
                <w:szCs w:val="18"/>
                <w:lang w:eastAsia="es-CL"/>
              </w:rPr>
            </w:pPr>
            <w:r>
              <w:rPr>
                <w:rFonts w:eastAsia="Times New Roman"/>
                <w:b w:val="0"/>
                <w:color w:val="000000"/>
                <w:kern w:val="24"/>
                <w:sz w:val="18"/>
                <w:szCs w:val="18"/>
                <w:lang w:eastAsia="es-CL"/>
              </w:rPr>
              <w:t> </w:t>
            </w:r>
          </w:p>
        </w:tc>
        <w:tc>
          <w:tcPr>
            <w:tcW w:w="133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right"/>
              <w:textAlignment w:val="bottom"/>
              <w:rPr>
                <w:rFonts w:eastAsia="Times New Roman"/>
                <w:b w:val="0"/>
                <w:sz w:val="18"/>
                <w:szCs w:val="18"/>
                <w:lang w:eastAsia="es-CL"/>
              </w:rPr>
            </w:pPr>
            <w:r>
              <w:rPr>
                <w:rFonts w:eastAsia="Times New Roman"/>
                <w:b w:val="0"/>
                <w:color w:val="000000"/>
                <w:kern w:val="24"/>
                <w:sz w:val="18"/>
                <w:szCs w:val="18"/>
                <w:lang w:eastAsia="es-CL"/>
              </w:rPr>
              <w:t>100,0%</w:t>
            </w:r>
          </w:p>
        </w:tc>
      </w:tr>
      <w:tr>
        <w:trPr>
          <w:trHeight w:val="630"/>
        </w:trPr>
        <w:tc>
          <w:tcPr>
            <w:tcW w:w="79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pPr>
              <w:tabs>
                <w:tab w:val="clear" w:pos="2835"/>
              </w:tabs>
              <w:jc w:val="center"/>
              <w:textAlignment w:val="bottom"/>
              <w:rPr>
                <w:rFonts w:eastAsia="Times New Roman"/>
                <w:b w:val="0"/>
                <w:sz w:val="18"/>
                <w:szCs w:val="18"/>
                <w:lang w:eastAsia="es-CL"/>
              </w:rPr>
            </w:pPr>
            <w:r>
              <w:rPr>
                <w:rFonts w:eastAsia="Times New Roman"/>
                <w:b w:val="0"/>
                <w:color w:val="000000"/>
                <w:kern w:val="24"/>
                <w:sz w:val="18"/>
                <w:szCs w:val="18"/>
                <w:lang w:eastAsia="es-CL"/>
              </w:rPr>
              <w:t>29</w:t>
            </w:r>
          </w:p>
        </w:tc>
        <w:tc>
          <w:tcPr>
            <w:tcW w:w="2032"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pPr>
              <w:tabs>
                <w:tab w:val="clear" w:pos="2835"/>
              </w:tabs>
              <w:jc w:val="left"/>
              <w:textAlignment w:val="bottom"/>
              <w:rPr>
                <w:rFonts w:eastAsia="Times New Roman"/>
                <w:b w:val="0"/>
                <w:sz w:val="18"/>
                <w:szCs w:val="18"/>
                <w:lang w:eastAsia="es-CL"/>
              </w:rPr>
            </w:pPr>
            <w:r>
              <w:rPr>
                <w:rFonts w:eastAsia="Times New Roman"/>
                <w:b w:val="0"/>
                <w:color w:val="000000"/>
                <w:kern w:val="24"/>
                <w:sz w:val="18"/>
                <w:szCs w:val="18"/>
                <w:lang w:eastAsia="es-CL"/>
              </w:rPr>
              <w:t>ADQUISICIÓN DE ACTIVOS NO FINANCIEROS</w:t>
            </w:r>
          </w:p>
        </w:tc>
        <w:tc>
          <w:tcPr>
            <w:tcW w:w="1096"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pPr>
              <w:tabs>
                <w:tab w:val="clear" w:pos="2835"/>
              </w:tabs>
              <w:jc w:val="right"/>
              <w:textAlignment w:val="bottom"/>
              <w:rPr>
                <w:rFonts w:eastAsia="Times New Roman"/>
                <w:b w:val="0"/>
                <w:sz w:val="18"/>
                <w:szCs w:val="18"/>
                <w:lang w:eastAsia="es-CL"/>
              </w:rPr>
            </w:pPr>
            <w:r>
              <w:rPr>
                <w:rFonts w:eastAsia="Times New Roman"/>
                <w:b w:val="0"/>
                <w:color w:val="000000"/>
                <w:kern w:val="24"/>
                <w:sz w:val="18"/>
                <w:szCs w:val="18"/>
                <w:lang w:eastAsia="es-CL"/>
              </w:rPr>
              <w:t xml:space="preserve">         8.670.212 </w:t>
            </w:r>
          </w:p>
        </w:tc>
        <w:tc>
          <w:tcPr>
            <w:tcW w:w="1332"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pPr>
              <w:tabs>
                <w:tab w:val="clear" w:pos="2835"/>
              </w:tabs>
              <w:jc w:val="right"/>
              <w:textAlignment w:val="bottom"/>
              <w:rPr>
                <w:rFonts w:eastAsia="Times New Roman"/>
                <w:b w:val="0"/>
                <w:sz w:val="18"/>
                <w:szCs w:val="18"/>
                <w:lang w:eastAsia="es-CL"/>
              </w:rPr>
            </w:pPr>
            <w:r>
              <w:rPr>
                <w:rFonts w:eastAsia="Times New Roman"/>
                <w:b w:val="0"/>
                <w:color w:val="000000"/>
                <w:kern w:val="24"/>
                <w:sz w:val="18"/>
                <w:szCs w:val="18"/>
                <w:lang w:eastAsia="es-CL"/>
              </w:rPr>
              <w:t xml:space="preserve">          6.538.391 </w:t>
            </w:r>
          </w:p>
        </w:tc>
        <w:tc>
          <w:tcPr>
            <w:tcW w:w="1536"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pPr>
              <w:tabs>
                <w:tab w:val="clear" w:pos="2835"/>
              </w:tabs>
              <w:jc w:val="right"/>
              <w:textAlignment w:val="bottom"/>
              <w:rPr>
                <w:rFonts w:eastAsia="Times New Roman"/>
                <w:b w:val="0"/>
                <w:sz w:val="18"/>
                <w:szCs w:val="18"/>
                <w:lang w:eastAsia="es-CL"/>
              </w:rPr>
            </w:pPr>
            <w:r>
              <w:rPr>
                <w:rFonts w:eastAsia="Times New Roman"/>
                <w:b w:val="0"/>
                <w:color w:val="000000"/>
                <w:kern w:val="24"/>
                <w:sz w:val="18"/>
                <w:szCs w:val="18"/>
                <w:lang w:eastAsia="es-CL"/>
              </w:rPr>
              <w:t xml:space="preserve">               957.794 </w:t>
            </w:r>
          </w:p>
        </w:tc>
        <w:tc>
          <w:tcPr>
            <w:tcW w:w="1032"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pPr>
              <w:tabs>
                <w:tab w:val="clear" w:pos="2835"/>
              </w:tabs>
              <w:jc w:val="right"/>
              <w:textAlignment w:val="bottom"/>
              <w:rPr>
                <w:rFonts w:eastAsia="Times New Roman"/>
                <w:b w:val="0"/>
                <w:sz w:val="18"/>
                <w:szCs w:val="18"/>
                <w:lang w:eastAsia="es-CL"/>
              </w:rPr>
            </w:pPr>
            <w:r>
              <w:rPr>
                <w:rFonts w:eastAsia="Times New Roman"/>
                <w:b w:val="0"/>
                <w:color w:val="000000"/>
                <w:kern w:val="24"/>
                <w:sz w:val="18"/>
                <w:szCs w:val="18"/>
                <w:lang w:eastAsia="es-CL"/>
              </w:rPr>
              <w:t>11,0%</w:t>
            </w:r>
          </w:p>
        </w:tc>
        <w:tc>
          <w:tcPr>
            <w:tcW w:w="1332"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pPr>
              <w:tabs>
                <w:tab w:val="clear" w:pos="2835"/>
              </w:tabs>
              <w:jc w:val="right"/>
              <w:textAlignment w:val="bottom"/>
              <w:rPr>
                <w:rFonts w:eastAsia="Times New Roman"/>
                <w:b w:val="0"/>
                <w:sz w:val="18"/>
                <w:szCs w:val="18"/>
                <w:lang w:eastAsia="es-CL"/>
              </w:rPr>
            </w:pPr>
            <w:r>
              <w:rPr>
                <w:rFonts w:eastAsia="Times New Roman"/>
                <w:b w:val="0"/>
                <w:color w:val="000000"/>
                <w:kern w:val="24"/>
                <w:sz w:val="18"/>
                <w:szCs w:val="18"/>
                <w:lang w:eastAsia="es-CL"/>
              </w:rPr>
              <w:t>14,6%</w:t>
            </w:r>
          </w:p>
        </w:tc>
      </w:tr>
      <w:tr>
        <w:trPr>
          <w:trHeight w:val="630"/>
        </w:trPr>
        <w:tc>
          <w:tcPr>
            <w:tcW w:w="79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center"/>
              <w:textAlignment w:val="bottom"/>
              <w:rPr>
                <w:rFonts w:eastAsia="Times New Roman"/>
                <w:b w:val="0"/>
                <w:sz w:val="18"/>
                <w:szCs w:val="18"/>
                <w:lang w:eastAsia="es-CL"/>
              </w:rPr>
            </w:pPr>
            <w:r>
              <w:rPr>
                <w:rFonts w:eastAsia="Times New Roman"/>
                <w:b w:val="0"/>
                <w:color w:val="000000"/>
                <w:kern w:val="24"/>
                <w:sz w:val="18"/>
                <w:szCs w:val="18"/>
                <w:lang w:eastAsia="es-CL"/>
              </w:rPr>
              <w:t>31</w:t>
            </w:r>
          </w:p>
        </w:tc>
        <w:tc>
          <w:tcPr>
            <w:tcW w:w="203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left"/>
              <w:textAlignment w:val="bottom"/>
              <w:rPr>
                <w:rFonts w:eastAsia="Times New Roman"/>
                <w:b w:val="0"/>
                <w:sz w:val="18"/>
                <w:szCs w:val="18"/>
                <w:lang w:eastAsia="es-CL"/>
              </w:rPr>
            </w:pPr>
            <w:r>
              <w:rPr>
                <w:rFonts w:eastAsia="Times New Roman"/>
                <w:b w:val="0"/>
                <w:color w:val="000000"/>
                <w:kern w:val="24"/>
                <w:sz w:val="18"/>
                <w:szCs w:val="18"/>
                <w:lang w:eastAsia="es-CL"/>
              </w:rPr>
              <w:t>INICIATIVAS DE INVERSIÓN</w:t>
            </w:r>
          </w:p>
        </w:tc>
        <w:tc>
          <w:tcPr>
            <w:tcW w:w="109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right"/>
              <w:textAlignment w:val="bottom"/>
              <w:rPr>
                <w:rFonts w:eastAsia="Times New Roman"/>
                <w:b w:val="0"/>
                <w:sz w:val="18"/>
                <w:szCs w:val="18"/>
                <w:lang w:eastAsia="es-CL"/>
              </w:rPr>
            </w:pPr>
            <w:r>
              <w:rPr>
                <w:rFonts w:eastAsia="Times New Roman"/>
                <w:b w:val="0"/>
                <w:color w:val="000000"/>
                <w:kern w:val="24"/>
                <w:sz w:val="18"/>
                <w:szCs w:val="18"/>
                <w:lang w:eastAsia="es-CL"/>
              </w:rPr>
              <w:t xml:space="preserve">             251.043 </w:t>
            </w:r>
          </w:p>
        </w:tc>
        <w:tc>
          <w:tcPr>
            <w:tcW w:w="133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right"/>
              <w:textAlignment w:val="bottom"/>
              <w:rPr>
                <w:rFonts w:eastAsia="Times New Roman"/>
                <w:b w:val="0"/>
                <w:sz w:val="18"/>
                <w:szCs w:val="18"/>
                <w:lang w:eastAsia="es-CL"/>
              </w:rPr>
            </w:pPr>
            <w:r>
              <w:rPr>
                <w:rFonts w:eastAsia="Times New Roman"/>
                <w:b w:val="0"/>
                <w:color w:val="000000"/>
                <w:kern w:val="24"/>
                <w:sz w:val="18"/>
                <w:szCs w:val="18"/>
                <w:lang w:eastAsia="es-CL"/>
              </w:rPr>
              <w:t xml:space="preserve">              359.889 </w:t>
            </w:r>
          </w:p>
        </w:tc>
        <w:tc>
          <w:tcPr>
            <w:tcW w:w="153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right"/>
              <w:textAlignment w:val="bottom"/>
              <w:rPr>
                <w:rFonts w:eastAsia="Times New Roman"/>
                <w:b w:val="0"/>
                <w:sz w:val="18"/>
                <w:szCs w:val="18"/>
                <w:lang w:eastAsia="es-CL"/>
              </w:rPr>
            </w:pPr>
            <w:r>
              <w:rPr>
                <w:rFonts w:eastAsia="Times New Roman"/>
                <w:b w:val="0"/>
                <w:color w:val="000000"/>
                <w:kern w:val="24"/>
                <w:sz w:val="18"/>
                <w:szCs w:val="18"/>
                <w:lang w:eastAsia="es-CL"/>
              </w:rPr>
              <w:t xml:space="preserve">               108.846 </w:t>
            </w:r>
          </w:p>
        </w:tc>
        <w:tc>
          <w:tcPr>
            <w:tcW w:w="103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right"/>
              <w:textAlignment w:val="bottom"/>
              <w:rPr>
                <w:rFonts w:eastAsia="Times New Roman"/>
                <w:b w:val="0"/>
                <w:sz w:val="18"/>
                <w:szCs w:val="18"/>
                <w:lang w:eastAsia="es-CL"/>
              </w:rPr>
            </w:pPr>
            <w:r>
              <w:rPr>
                <w:rFonts w:eastAsia="Times New Roman"/>
                <w:b w:val="0"/>
                <w:color w:val="000000"/>
                <w:kern w:val="24"/>
                <w:sz w:val="18"/>
                <w:szCs w:val="18"/>
                <w:lang w:eastAsia="es-CL"/>
              </w:rPr>
              <w:t>43,4%</w:t>
            </w:r>
          </w:p>
        </w:tc>
        <w:tc>
          <w:tcPr>
            <w:tcW w:w="133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right"/>
              <w:textAlignment w:val="bottom"/>
              <w:rPr>
                <w:rFonts w:eastAsia="Times New Roman"/>
                <w:b w:val="0"/>
                <w:sz w:val="18"/>
                <w:szCs w:val="18"/>
                <w:lang w:eastAsia="es-CL"/>
              </w:rPr>
            </w:pPr>
            <w:r>
              <w:rPr>
                <w:rFonts w:eastAsia="Times New Roman"/>
                <w:b w:val="0"/>
                <w:color w:val="000000"/>
                <w:kern w:val="24"/>
                <w:sz w:val="18"/>
                <w:szCs w:val="18"/>
                <w:lang w:eastAsia="es-CL"/>
              </w:rPr>
              <w:t>30,2%</w:t>
            </w:r>
          </w:p>
        </w:tc>
      </w:tr>
      <w:tr>
        <w:trPr>
          <w:trHeight w:val="630"/>
        </w:trPr>
        <w:tc>
          <w:tcPr>
            <w:tcW w:w="79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pPr>
              <w:tabs>
                <w:tab w:val="clear" w:pos="2835"/>
              </w:tabs>
              <w:jc w:val="center"/>
              <w:textAlignment w:val="bottom"/>
              <w:rPr>
                <w:rFonts w:eastAsia="Times New Roman"/>
                <w:b w:val="0"/>
                <w:sz w:val="18"/>
                <w:szCs w:val="18"/>
                <w:lang w:eastAsia="es-CL"/>
              </w:rPr>
            </w:pPr>
            <w:r>
              <w:rPr>
                <w:rFonts w:eastAsia="Times New Roman"/>
                <w:b w:val="0"/>
                <w:color w:val="000000"/>
                <w:kern w:val="24"/>
                <w:sz w:val="18"/>
                <w:szCs w:val="18"/>
                <w:lang w:eastAsia="es-CL"/>
              </w:rPr>
              <w:t>34</w:t>
            </w:r>
          </w:p>
        </w:tc>
        <w:tc>
          <w:tcPr>
            <w:tcW w:w="2032"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pPr>
              <w:tabs>
                <w:tab w:val="clear" w:pos="2835"/>
              </w:tabs>
              <w:jc w:val="left"/>
              <w:textAlignment w:val="bottom"/>
              <w:rPr>
                <w:rFonts w:eastAsia="Times New Roman"/>
                <w:b w:val="0"/>
                <w:sz w:val="18"/>
                <w:szCs w:val="18"/>
                <w:lang w:eastAsia="es-CL"/>
              </w:rPr>
            </w:pPr>
            <w:r>
              <w:rPr>
                <w:rFonts w:eastAsia="Times New Roman"/>
                <w:b w:val="0"/>
                <w:color w:val="000000"/>
                <w:kern w:val="24"/>
                <w:sz w:val="18"/>
                <w:szCs w:val="18"/>
                <w:lang w:eastAsia="es-CL"/>
              </w:rPr>
              <w:t>SERVICIO DE LA DEUDA</w:t>
            </w:r>
          </w:p>
        </w:tc>
        <w:tc>
          <w:tcPr>
            <w:tcW w:w="1096"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pPr>
              <w:tabs>
                <w:tab w:val="clear" w:pos="2835"/>
              </w:tabs>
              <w:jc w:val="right"/>
              <w:textAlignment w:val="bottom"/>
              <w:rPr>
                <w:rFonts w:eastAsia="Times New Roman"/>
                <w:b w:val="0"/>
                <w:sz w:val="18"/>
                <w:szCs w:val="18"/>
                <w:lang w:eastAsia="es-CL"/>
              </w:rPr>
            </w:pPr>
            <w:r>
              <w:rPr>
                <w:rFonts w:eastAsia="Times New Roman"/>
                <w:b w:val="0"/>
                <w:color w:val="000000"/>
                <w:kern w:val="24"/>
                <w:sz w:val="18"/>
                <w:szCs w:val="18"/>
                <w:lang w:eastAsia="es-CL"/>
              </w:rPr>
              <w:t xml:space="preserve">                        10 </w:t>
            </w:r>
          </w:p>
        </w:tc>
        <w:tc>
          <w:tcPr>
            <w:tcW w:w="1332"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pPr>
              <w:tabs>
                <w:tab w:val="clear" w:pos="2835"/>
              </w:tabs>
              <w:jc w:val="right"/>
              <w:textAlignment w:val="bottom"/>
              <w:rPr>
                <w:rFonts w:eastAsia="Times New Roman"/>
                <w:b w:val="0"/>
                <w:sz w:val="18"/>
                <w:szCs w:val="18"/>
                <w:lang w:eastAsia="es-CL"/>
              </w:rPr>
            </w:pPr>
            <w:r>
              <w:rPr>
                <w:rFonts w:eastAsia="Times New Roman"/>
                <w:b w:val="0"/>
                <w:color w:val="000000"/>
                <w:kern w:val="24"/>
                <w:sz w:val="18"/>
                <w:szCs w:val="18"/>
                <w:lang w:eastAsia="es-CL"/>
              </w:rPr>
              <w:t xml:space="preserve">          3.833.136 </w:t>
            </w:r>
          </w:p>
        </w:tc>
        <w:tc>
          <w:tcPr>
            <w:tcW w:w="1536"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pPr>
              <w:tabs>
                <w:tab w:val="clear" w:pos="2835"/>
              </w:tabs>
              <w:jc w:val="right"/>
              <w:textAlignment w:val="bottom"/>
              <w:rPr>
                <w:rFonts w:eastAsia="Times New Roman"/>
                <w:b w:val="0"/>
                <w:sz w:val="18"/>
                <w:szCs w:val="18"/>
                <w:lang w:eastAsia="es-CL"/>
              </w:rPr>
            </w:pPr>
            <w:r>
              <w:rPr>
                <w:rFonts w:eastAsia="Times New Roman"/>
                <w:b w:val="0"/>
                <w:color w:val="000000"/>
                <w:kern w:val="24"/>
                <w:sz w:val="18"/>
                <w:szCs w:val="18"/>
                <w:lang w:eastAsia="es-CL"/>
              </w:rPr>
              <w:t xml:space="preserve">            3.830.776 </w:t>
            </w:r>
          </w:p>
        </w:tc>
        <w:tc>
          <w:tcPr>
            <w:tcW w:w="1032"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pPr>
              <w:tabs>
                <w:tab w:val="clear" w:pos="2835"/>
              </w:tabs>
              <w:jc w:val="right"/>
              <w:textAlignment w:val="bottom"/>
              <w:rPr>
                <w:rFonts w:eastAsia="Times New Roman"/>
                <w:b w:val="0"/>
                <w:sz w:val="18"/>
                <w:szCs w:val="18"/>
                <w:lang w:eastAsia="es-CL"/>
              </w:rPr>
            </w:pPr>
            <w:r>
              <w:rPr>
                <w:rFonts w:eastAsia="Times New Roman"/>
                <w:b w:val="0"/>
                <w:color w:val="000000"/>
                <w:kern w:val="24"/>
                <w:sz w:val="18"/>
                <w:szCs w:val="18"/>
                <w:lang w:eastAsia="es-CL"/>
              </w:rPr>
              <w:t>38307760%</w:t>
            </w:r>
          </w:p>
        </w:tc>
        <w:tc>
          <w:tcPr>
            <w:tcW w:w="1332"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pPr>
              <w:tabs>
                <w:tab w:val="clear" w:pos="2835"/>
              </w:tabs>
              <w:jc w:val="right"/>
              <w:textAlignment w:val="bottom"/>
              <w:rPr>
                <w:rFonts w:eastAsia="Times New Roman"/>
                <w:b w:val="0"/>
                <w:sz w:val="18"/>
                <w:szCs w:val="18"/>
                <w:lang w:eastAsia="es-CL"/>
              </w:rPr>
            </w:pPr>
            <w:r>
              <w:rPr>
                <w:rFonts w:eastAsia="Times New Roman"/>
                <w:b w:val="0"/>
                <w:color w:val="000000"/>
                <w:kern w:val="24"/>
                <w:sz w:val="18"/>
                <w:szCs w:val="18"/>
                <w:lang w:eastAsia="es-CL"/>
              </w:rPr>
              <w:t>100%</w:t>
            </w:r>
          </w:p>
        </w:tc>
      </w:tr>
    </w:tbl>
    <w:p>
      <w:pPr>
        <w:rPr>
          <w:b w:val="0"/>
          <w:sz w:val="20"/>
          <w:szCs w:val="20"/>
        </w:rPr>
      </w:pPr>
    </w:p>
    <w:p>
      <w:pPr>
        <w:rPr>
          <w:b w:val="0"/>
        </w:rPr>
      </w:pPr>
      <w:r>
        <w:rPr>
          <w:b w:val="0"/>
        </w:rPr>
        <w:tab/>
        <w:t xml:space="preserve">Sobre la ejecución presupuestaria a la fecha, señaló que uno de los temas más relevantes está en el </w:t>
      </w:r>
      <w:r>
        <w:t>Subtítulo 22</w:t>
      </w:r>
      <w:r>
        <w:rPr>
          <w:b w:val="0"/>
        </w:rPr>
        <w:t xml:space="preserve"> que aparece con una ejecución, en relación al presupuesto vigente, del 37,9%, sin embargo, cuando se ve todo lo que está comprometido ya están en el rango del 70% y el diferencial se refiere a enlaces de comunicaciones que están en proceso de entrega y también al tema de mantenimiento y reparaciones.</w:t>
      </w:r>
    </w:p>
    <w:p>
      <w:pPr>
        <w:rPr>
          <w:b w:val="0"/>
        </w:rPr>
      </w:pPr>
    </w:p>
    <w:p>
      <w:pPr>
        <w:rPr>
          <w:b w:val="0"/>
        </w:rPr>
      </w:pPr>
      <w:r>
        <w:rPr>
          <w:b w:val="0"/>
        </w:rPr>
        <w:tab/>
        <w:t>Respecto de lo que es la ejecución para el resto del año, señaló que están alineados.</w:t>
      </w:r>
    </w:p>
    <w:p>
      <w:pPr>
        <w:rPr>
          <w:b w:val="0"/>
        </w:rPr>
      </w:pPr>
    </w:p>
    <w:p>
      <w:pPr>
        <w:rPr>
          <w:b w:val="0"/>
        </w:rPr>
      </w:pPr>
      <w:r>
        <w:rPr>
          <w:b w:val="0"/>
        </w:rPr>
        <w:tab/>
        <w:t xml:space="preserve">En el caso del </w:t>
      </w:r>
      <w:r>
        <w:t xml:space="preserve">Subtítulo 29, </w:t>
      </w:r>
      <w:r>
        <w:rPr>
          <w:b w:val="0"/>
        </w:rPr>
        <w:t>adquisición de activos no financieros, donde hay una ejecución del 14,6% lo comprometido a la fecha alcanza a un 45% y el diferencial está dado por la compra de un camión escáner que debería realizarse dentro de este año. También el diferencial en este subtítulo se debe al pago de licencias. El atraso se debe a que la empresa que se adjudicó la venta del camión no estuvo en condiciones de hacer la entrega y tuvieron que realizar nuevamente todo el proceso.</w:t>
      </w:r>
    </w:p>
    <w:p>
      <w:pPr>
        <w:rPr>
          <w:b w:val="0"/>
        </w:rPr>
      </w:pPr>
    </w:p>
    <w:p>
      <w:pPr>
        <w:rPr>
          <w:b w:val="0"/>
        </w:rPr>
      </w:pPr>
      <w:r>
        <w:rPr>
          <w:b w:val="0"/>
        </w:rPr>
        <w:tab/>
        <w:t xml:space="preserve">En el caso del </w:t>
      </w:r>
      <w:r>
        <w:t>Subtítulo 31</w:t>
      </w:r>
      <w:r>
        <w:rPr>
          <w:b w:val="0"/>
        </w:rPr>
        <w:t>, iniciativas de inversión, van de acuerdo al programa de trabajo que se está desarrollando con el MOP para el año 2016-2017.</w:t>
      </w:r>
    </w:p>
    <w:p>
      <w:pPr>
        <w:rPr>
          <w:b w:val="0"/>
          <w:sz w:val="20"/>
          <w:szCs w:val="20"/>
        </w:rPr>
      </w:pPr>
    </w:p>
    <w:p>
      <w:r>
        <w:tab/>
      </w:r>
      <w:r>
        <w:tab/>
        <w:t xml:space="preserve">Finalmente </w:t>
      </w:r>
      <w:r>
        <w:rPr>
          <w:rFonts w:eastAsia="Times New Roman"/>
          <w:lang w:val="es-ES" w:eastAsia="es-ES"/>
        </w:rPr>
        <w:t>el Director Nacional del Servicio Nacional de Aduanas, señor Juan Araya expuso las metas estratégicas para el año 2017 de su institución:</w:t>
      </w:r>
    </w:p>
    <w:p>
      <w:pPr>
        <w:rPr>
          <w:b w:val="0"/>
        </w:rPr>
      </w:pPr>
    </w:p>
    <w:p>
      <w:r>
        <w:tab/>
        <w:t>Efectividad de la Fiscalización</w:t>
      </w:r>
    </w:p>
    <w:p/>
    <w:p>
      <w:pPr>
        <w:rPr>
          <w:b w:val="0"/>
        </w:rPr>
      </w:pPr>
      <w:r>
        <w:rPr>
          <w:b w:val="0"/>
        </w:rPr>
        <w:tab/>
        <w:t>- Aumento en la eficacia de Aduana en el control del contrabando de un 52% respecto de la eficacia en el año base 2011.</w:t>
      </w:r>
    </w:p>
    <w:p>
      <w:pPr>
        <w:rPr>
          <w:b w:val="0"/>
        </w:rPr>
      </w:pPr>
    </w:p>
    <w:p>
      <w:pPr>
        <w:rPr>
          <w:b w:val="0"/>
        </w:rPr>
      </w:pPr>
      <w:r>
        <w:rPr>
          <w:b w:val="0"/>
        </w:rPr>
        <w:tab/>
        <w:t>- Aumento de la Eficacia en el Control de Propiedad Intelectual de un 10% respecto de la eficacia en el año base 2012.</w:t>
      </w:r>
    </w:p>
    <w:p>
      <w:pPr>
        <w:rPr>
          <w:b w:val="0"/>
        </w:rPr>
      </w:pPr>
    </w:p>
    <w:p>
      <w:pPr>
        <w:rPr>
          <w:b w:val="0"/>
        </w:rPr>
      </w:pPr>
      <w:r>
        <w:rPr>
          <w:b w:val="0"/>
        </w:rPr>
        <w:tab/>
        <w:t>- Cumplimiento del 100% del programa de fiscalización de grandes operadores.</w:t>
      </w:r>
    </w:p>
    <w:p>
      <w:pPr>
        <w:rPr>
          <w:b w:val="0"/>
        </w:rPr>
      </w:pPr>
    </w:p>
    <w:p>
      <w:pPr>
        <w:rPr>
          <w:b w:val="0"/>
        </w:rPr>
      </w:pPr>
      <w:r>
        <w:rPr>
          <w:b w:val="0"/>
        </w:rPr>
        <w:tab/>
        <w:t>- Mejorar la calidad de servicio de la mesa de ayuda, llegando a un 93% de las llamadas atendidas.</w:t>
      </w:r>
    </w:p>
    <w:p>
      <w:pPr>
        <w:rPr>
          <w:b w:val="0"/>
        </w:rPr>
      </w:pPr>
    </w:p>
    <w:p>
      <w:pPr>
        <w:rPr>
          <w:b w:val="0"/>
        </w:rPr>
      </w:pPr>
      <w:r>
        <w:rPr>
          <w:b w:val="0"/>
        </w:rPr>
        <w:tab/>
        <w:t>- Cumplimiento de la agenda normativa 2017 en un 92%.</w:t>
      </w:r>
    </w:p>
    <w:p>
      <w:pPr>
        <w:rPr>
          <w:b w:val="0"/>
        </w:rPr>
      </w:pPr>
    </w:p>
    <w:p>
      <w:pPr>
        <w:rPr>
          <w:b w:val="0"/>
        </w:rPr>
      </w:pPr>
      <w:r>
        <w:rPr>
          <w:b w:val="0"/>
        </w:rPr>
        <w:tab/>
        <w:t>- Responder las consultas de comercio exterior en un tiempo no superior a 15 días corridos, en un 85%.</w:t>
      </w:r>
    </w:p>
    <w:p>
      <w:pPr>
        <w:rPr>
          <w:b w:val="0"/>
        </w:rPr>
      </w:pPr>
    </w:p>
    <w:p>
      <w:r>
        <w:rPr>
          <w:b w:val="0"/>
        </w:rPr>
        <w:tab/>
      </w:r>
      <w:r>
        <w:t>Luego de terminada la exposición los señores Parlamentarios formularon las siguientes consultas:</w:t>
      </w:r>
    </w:p>
    <w:p/>
    <w:p>
      <w:pPr>
        <w:rPr>
          <w:b w:val="0"/>
        </w:rPr>
      </w:pPr>
      <w:r>
        <w:tab/>
        <w:t xml:space="preserve">El Honorable Diputado señor Silva </w:t>
      </w:r>
      <w:r>
        <w:rPr>
          <w:b w:val="0"/>
        </w:rPr>
        <w:t>señaló que la dotación efectiva del Servicio Nacional de Aduanas es de 1831 personas y la dotación máxima para el año 2016 era de 2092 funcionarios, entonces, porqué habiendo una dotación efectiva bajo el máximo permitido, se solicitan 90 funcionarios adicionales, los que sumados a lo anterior llegarían a 2182 cargos?</w:t>
      </w:r>
    </w:p>
    <w:p>
      <w:pPr>
        <w:rPr>
          <w:b w:val="0"/>
        </w:rPr>
      </w:pPr>
    </w:p>
    <w:p>
      <w:pPr>
        <w:rPr>
          <w:rFonts w:eastAsia="Times New Roman"/>
          <w:b w:val="0"/>
          <w:lang w:val="es-ES" w:eastAsia="es-ES"/>
        </w:rPr>
      </w:pPr>
      <w:r>
        <w:rPr>
          <w:b w:val="0"/>
        </w:rPr>
        <w:tab/>
      </w:r>
      <w:r>
        <w:rPr>
          <w:rFonts w:eastAsia="Times New Roman"/>
          <w:lang w:eastAsia="es-ES"/>
        </w:rPr>
        <w:t>E</w:t>
      </w:r>
      <w:r>
        <w:rPr>
          <w:rFonts w:eastAsia="Times New Roman"/>
          <w:lang w:val="es-ES" w:eastAsia="es-ES"/>
        </w:rPr>
        <w:t xml:space="preserve">l Director Nacional del Servicio Nacional de Aduanas, señor Juan Araya </w:t>
      </w:r>
      <w:r>
        <w:rPr>
          <w:rFonts w:eastAsia="Times New Roman"/>
          <w:b w:val="0"/>
          <w:lang w:val="es-ES" w:eastAsia="es-ES"/>
        </w:rPr>
        <w:t xml:space="preserve">explicó que a agosto de este año habían 1875 funcionarios. </w:t>
      </w:r>
    </w:p>
    <w:p>
      <w:pPr>
        <w:rPr>
          <w:rFonts w:eastAsia="Times New Roman"/>
          <w:b w:val="0"/>
          <w:lang w:val="es-ES" w:eastAsia="es-ES"/>
        </w:rPr>
      </w:pPr>
    </w:p>
    <w:p>
      <w:pPr>
        <w:rPr>
          <w:rFonts w:eastAsia="Times New Roman"/>
          <w:b w:val="0"/>
          <w:lang w:val="es-ES" w:eastAsia="es-ES"/>
        </w:rPr>
      </w:pPr>
      <w:r>
        <w:rPr>
          <w:rFonts w:eastAsia="Times New Roman"/>
          <w:b w:val="0"/>
          <w:lang w:val="es-ES" w:eastAsia="es-ES"/>
        </w:rPr>
        <w:tab/>
        <w:t>Informó que para llegar a los 2092 que tienen este año, se contemplan 42 cargos que están en proceso de concurso.</w:t>
      </w:r>
    </w:p>
    <w:p>
      <w:pPr>
        <w:rPr>
          <w:rFonts w:eastAsia="Times New Roman"/>
          <w:b w:val="0"/>
          <w:lang w:val="es-ES" w:eastAsia="es-ES"/>
        </w:rPr>
      </w:pPr>
    </w:p>
    <w:p>
      <w:pPr>
        <w:rPr>
          <w:rFonts w:eastAsia="Times New Roman"/>
          <w:b w:val="0"/>
          <w:lang w:val="es-ES" w:eastAsia="es-ES"/>
        </w:rPr>
      </w:pPr>
      <w:r>
        <w:rPr>
          <w:rFonts w:eastAsia="Times New Roman"/>
          <w:b w:val="0"/>
          <w:lang w:val="es-ES" w:eastAsia="es-ES"/>
        </w:rPr>
        <w:tab/>
        <w:t>También hay 143 cargos pendientes pero calendarizados, para lo que queda del resto del año. Se encuentran calendarizados porque se está haciendo una inversión muy fuerte en todo lo que son las nuevas instalaciones para las empresas Courier en Santiago, lo que requiere alrededor de 25 nuevos funcionarios. Estas iban a empezar a funcionar en agosto pero se atrasó su funcionamiento hasta el mes de  noviembre de este año. Añadió que estos funcionarios no son necesarios hasta que no tengan habilitadas las nuevas dependencias, por lo tanto, retardaron su contratación.</w:t>
      </w:r>
    </w:p>
    <w:p>
      <w:pPr>
        <w:rPr>
          <w:rFonts w:eastAsia="Times New Roman"/>
          <w:b w:val="0"/>
          <w:lang w:val="es-ES" w:eastAsia="es-ES"/>
        </w:rPr>
      </w:pPr>
    </w:p>
    <w:p>
      <w:pPr>
        <w:rPr>
          <w:rFonts w:eastAsia="Times New Roman"/>
          <w:b w:val="0"/>
          <w:lang w:val="es-ES" w:eastAsia="es-ES"/>
        </w:rPr>
      </w:pPr>
      <w:r>
        <w:rPr>
          <w:rFonts w:eastAsia="Times New Roman"/>
          <w:b w:val="0"/>
          <w:lang w:val="es-ES" w:eastAsia="es-ES"/>
        </w:rPr>
        <w:tab/>
      </w:r>
      <w:r>
        <w:rPr>
          <w:rFonts w:eastAsia="Times New Roman"/>
          <w:b w:val="0"/>
          <w:lang w:val="es-ES" w:eastAsia="es-ES"/>
        </w:rPr>
        <w:tab/>
        <w:t>Por último, reiteró que para llegar a los 2092 funcionarios es prácticamente imposible tener la dotación completa, es como un pleno empleo, siempre va a haber alguien que se retira, otro que renunció, o que está fuera del Servicio o que ha sido promovido y, por lo tanto, es necesario rellenar la dotación. Esas son las estimaciones. No hay funcionarios nuevos sino que están todos destinados a los dos programas grandes que tiene hoy día el Servicio que son el de Control de Tráfico Ilícito y el de terminar de Implementar la Reforma Tributaria.</w:t>
      </w:r>
    </w:p>
    <w:p>
      <w:pPr>
        <w:rPr>
          <w:rFonts w:eastAsia="Times New Roman"/>
          <w:b w:val="0"/>
          <w:lang w:val="es-ES" w:eastAsia="es-ES"/>
        </w:rPr>
      </w:pPr>
    </w:p>
    <w:p>
      <w:pPr>
        <w:rPr>
          <w:rFonts w:eastAsia="Times New Roman"/>
          <w:b w:val="0"/>
          <w:lang w:val="es-ES" w:eastAsia="es-ES"/>
        </w:rPr>
      </w:pPr>
      <w:r>
        <w:rPr>
          <w:rFonts w:eastAsia="Times New Roman"/>
          <w:b w:val="0"/>
          <w:lang w:val="es-ES" w:eastAsia="es-ES"/>
        </w:rPr>
        <w:tab/>
      </w:r>
      <w:r>
        <w:rPr>
          <w:rFonts w:eastAsia="Times New Roman"/>
          <w:lang w:val="es-ES" w:eastAsia="es-ES"/>
        </w:rPr>
        <w:t>El Presidente de la Subcomisión Honorable Diputado señor De Mussy</w:t>
      </w:r>
      <w:r>
        <w:rPr>
          <w:rFonts w:eastAsia="Times New Roman"/>
          <w:b w:val="0"/>
          <w:lang w:val="es-ES" w:eastAsia="es-ES"/>
        </w:rPr>
        <w:t xml:space="preserve"> señaló que un 20% de rotación de 2092 personas da una cifra de 400 personas, porcentaje no menor. Entiende que se están implementando las modificaciones al Servicio pero constituye un número bastante alto.</w:t>
      </w:r>
    </w:p>
    <w:p>
      <w:pPr>
        <w:rPr>
          <w:rFonts w:eastAsia="Times New Roman"/>
          <w:b w:val="0"/>
          <w:lang w:val="es-ES" w:eastAsia="es-ES"/>
        </w:rPr>
      </w:pPr>
    </w:p>
    <w:p>
      <w:pPr>
        <w:rPr>
          <w:rFonts w:eastAsia="Times New Roman"/>
          <w:b w:val="0"/>
          <w:lang w:val="es-ES" w:eastAsia="es-ES"/>
        </w:rPr>
      </w:pPr>
      <w:r>
        <w:rPr>
          <w:rFonts w:eastAsia="Times New Roman"/>
          <w:b w:val="0"/>
          <w:lang w:val="es-ES" w:eastAsia="es-ES"/>
        </w:rPr>
        <w:tab/>
        <w:t>Agregó que la experiencia indica que nunca se está en el tope pero para qué pedir el aumento si nunca se va a cumplir y en la misma línea si se atrasa de agosto a noviembre esos recursos se van a reasignar. Consulta si se hace la reasignación en forma interna o se devuelve a la Dipres.</w:t>
      </w:r>
    </w:p>
    <w:p>
      <w:pPr>
        <w:rPr>
          <w:rFonts w:eastAsia="Times New Roman"/>
          <w:b w:val="0"/>
          <w:lang w:val="es-ES" w:eastAsia="es-ES"/>
        </w:rPr>
      </w:pPr>
    </w:p>
    <w:p>
      <w:pPr>
        <w:rPr>
          <w:rFonts w:eastAsia="Times New Roman"/>
          <w:b w:val="0"/>
          <w:lang w:val="es-ES" w:eastAsia="es-ES"/>
        </w:rPr>
      </w:pPr>
      <w:r>
        <w:rPr>
          <w:rFonts w:eastAsia="Times New Roman"/>
          <w:b w:val="0"/>
          <w:lang w:val="es-ES" w:eastAsia="es-ES"/>
        </w:rPr>
        <w:tab/>
      </w:r>
      <w:r>
        <w:rPr>
          <w:rFonts w:eastAsia="Times New Roman"/>
          <w:lang w:val="es-ES" w:eastAsia="es-ES"/>
        </w:rPr>
        <w:t xml:space="preserve">El Director Nacional del Servicio Nacional de Aduanas, señor Juan Araya </w:t>
      </w:r>
      <w:r>
        <w:rPr>
          <w:rFonts w:eastAsia="Times New Roman"/>
          <w:b w:val="0"/>
          <w:lang w:val="es-ES" w:eastAsia="es-ES"/>
        </w:rPr>
        <w:t xml:space="preserve">respondió que se pide más porque si tuvieran mil funcionarios pasaría exactamente lo mismo. O sea, uno necesita los mil funcionarios pero podría tener 960. Se piden más porque se pide en relación de lo que realmente se necesita. El ideal es contar con los funcionarios proyectados y el compromiso es llegar a fines del 2017 con alrededor de 2250 funcionarios que es la dotación aproximada que debería tener el Servicio para cumplir adecuadamente con los desafíos que tiene a futuro. </w:t>
      </w:r>
    </w:p>
    <w:p>
      <w:pPr>
        <w:rPr>
          <w:rFonts w:eastAsia="Times New Roman"/>
          <w:b w:val="0"/>
          <w:lang w:val="es-ES" w:eastAsia="es-ES"/>
        </w:rPr>
      </w:pPr>
    </w:p>
    <w:p>
      <w:pPr>
        <w:rPr>
          <w:rFonts w:eastAsia="Times New Roman"/>
          <w:b w:val="0"/>
          <w:lang w:val="es-ES" w:eastAsia="es-ES"/>
        </w:rPr>
      </w:pPr>
      <w:r>
        <w:rPr>
          <w:rFonts w:eastAsia="Times New Roman"/>
          <w:b w:val="0"/>
          <w:lang w:val="es-ES" w:eastAsia="es-ES"/>
        </w:rPr>
        <w:tab/>
        <w:t>Después de esto ve difícil que puedan tener mejoras sustantivas en el número de funcionarios como sí se ha dado en los últimos dos o tres años, en que ha habido un aumento en más del 20% de los funcionarios.</w:t>
      </w:r>
    </w:p>
    <w:p>
      <w:pPr>
        <w:rPr>
          <w:rFonts w:eastAsia="Times New Roman"/>
          <w:b w:val="0"/>
          <w:lang w:val="es-ES" w:eastAsia="es-ES"/>
        </w:rPr>
      </w:pPr>
    </w:p>
    <w:p>
      <w:pPr>
        <w:rPr>
          <w:rFonts w:eastAsia="Times New Roman"/>
          <w:b w:val="0"/>
          <w:lang w:val="es-ES" w:eastAsia="es-ES"/>
        </w:rPr>
      </w:pPr>
      <w:r>
        <w:rPr>
          <w:rFonts w:eastAsia="Times New Roman"/>
          <w:b w:val="0"/>
          <w:lang w:val="es-ES" w:eastAsia="es-ES"/>
        </w:rPr>
        <w:tab/>
        <w:t>Otro tema relevante a tener en consideración es que en el Servicio Nacional de Aduanas normalmente se habla de 20 cupos o 30 cupos pero son 40 o 50 concursos, hay promociones internas, o sea, se lo ganan funcionarios del Servicio y hay que concursar el cargo del funcionario que se movió y van cayendo hasta el último grado del escalafón en donde realmente ingresa un funcionario nuevo. Entonces cada vez que se concursa un grado mejor que el peor del escalafón se llena con 2 o 3 funcionarios. Tienen una subdirección de recursos humanos que tiene una capacidad limitada de generar concursos y tienen que ir adaptándose a esa realidad.</w:t>
      </w:r>
    </w:p>
    <w:p>
      <w:pPr>
        <w:rPr>
          <w:rFonts w:eastAsia="Times New Roman"/>
          <w:b w:val="0"/>
          <w:lang w:val="es-ES" w:eastAsia="es-ES"/>
        </w:rPr>
      </w:pPr>
    </w:p>
    <w:p>
      <w:pPr>
        <w:rPr>
          <w:rFonts w:eastAsia="Times New Roman"/>
          <w:b w:val="0"/>
          <w:lang w:val="es-ES" w:eastAsia="es-ES"/>
        </w:rPr>
      </w:pPr>
      <w:r>
        <w:rPr>
          <w:rFonts w:eastAsia="Times New Roman"/>
          <w:b w:val="0"/>
          <w:lang w:val="es-ES" w:eastAsia="es-ES"/>
        </w:rPr>
        <w:tab/>
      </w:r>
      <w:r>
        <w:rPr>
          <w:rFonts w:eastAsia="Times New Roman"/>
          <w:lang w:val="es-ES" w:eastAsia="es-ES"/>
        </w:rPr>
        <w:t xml:space="preserve">El Presidente de la Subcomisión, Honorable Diputado señor De Mussy </w:t>
      </w:r>
      <w:r>
        <w:rPr>
          <w:rFonts w:eastAsia="Times New Roman"/>
          <w:b w:val="0"/>
          <w:lang w:val="es-ES" w:eastAsia="es-ES"/>
        </w:rPr>
        <w:t>comentó que si asume la tasa de constantes concursos de un 5% y el presupuesto estima que están todos contratados por los sueldos estimados significa que todos los años hay un porcentaje del presupuesto que sobra por este porcentaje ya sea el 5, el 7 o el 10% lo que implica que todos los años habría una reasignación de esos recursos que sobrarían al final de año internamente. Consulta si esto es algo común que se hace en los Servicios.</w:t>
      </w:r>
    </w:p>
    <w:p>
      <w:pPr>
        <w:rPr>
          <w:rFonts w:eastAsia="Times New Roman"/>
          <w:b w:val="0"/>
          <w:lang w:val="es-ES" w:eastAsia="es-ES"/>
        </w:rPr>
      </w:pPr>
    </w:p>
    <w:p>
      <w:pPr>
        <w:rPr>
          <w:rFonts w:eastAsia="Times New Roman"/>
          <w:b w:val="0"/>
          <w:lang w:val="es-ES" w:eastAsia="es-ES"/>
        </w:rPr>
      </w:pPr>
      <w:r>
        <w:rPr>
          <w:rFonts w:eastAsia="Times New Roman"/>
          <w:b w:val="0"/>
          <w:lang w:val="es-ES" w:eastAsia="es-ES"/>
        </w:rPr>
        <w:tab/>
      </w:r>
      <w:r>
        <w:rPr>
          <w:rFonts w:eastAsia="Times New Roman"/>
          <w:lang w:val="es-ES" w:eastAsia="es-ES"/>
        </w:rPr>
        <w:t xml:space="preserve">El Director Nacional del Servicio Nacional de Aduanas, señor Juan Araya </w:t>
      </w:r>
      <w:r>
        <w:rPr>
          <w:rFonts w:eastAsia="Times New Roman"/>
          <w:b w:val="0"/>
          <w:lang w:val="es-ES" w:eastAsia="es-ES"/>
        </w:rPr>
        <w:t>señaló que en el caso de Aduanas todo lo que no gastan del Subtítulo 21 cuando terminan con la proyección lo ponen a disposición de Dipres. No pueden utilizar estos recursos en otros fines.</w:t>
      </w:r>
    </w:p>
    <w:p>
      <w:pPr>
        <w:rPr>
          <w:rFonts w:eastAsia="Times New Roman"/>
          <w:b w:val="0"/>
          <w:lang w:val="es-ES" w:eastAsia="es-ES"/>
        </w:rPr>
      </w:pPr>
    </w:p>
    <w:p>
      <w:pPr>
        <w:rPr>
          <w:rFonts w:eastAsia="Times New Roman"/>
          <w:b w:val="0"/>
          <w:lang w:val="es-ES" w:eastAsia="es-ES"/>
        </w:rPr>
      </w:pPr>
      <w:r>
        <w:rPr>
          <w:rFonts w:eastAsia="Times New Roman"/>
          <w:b w:val="0"/>
          <w:lang w:val="es-ES" w:eastAsia="es-ES"/>
        </w:rPr>
        <w:tab/>
      </w:r>
      <w:r>
        <w:rPr>
          <w:rFonts w:eastAsia="Times New Roman"/>
          <w:lang w:val="es-ES" w:eastAsia="es-ES"/>
        </w:rPr>
        <w:t xml:space="preserve">El  Subsecretario de Hacienda, señor Alejandro Micco </w:t>
      </w:r>
      <w:r>
        <w:rPr>
          <w:rFonts w:eastAsia="Times New Roman"/>
          <w:b w:val="0"/>
          <w:lang w:val="es-ES" w:eastAsia="es-ES"/>
        </w:rPr>
        <w:t xml:space="preserve">aclaró que el Servicio Nacional de Aduanas es un Servicio especial que ha tenido un aumento significativo de las personas en el año 2016. Añadió que como señaló el Director, efectivamente, hay 42 cargos que están en proceso de concursos. Hay 143 cargos que están programados o calendarizados y en la rotación interna hay que considerar 32 funcionarios al día de hoy. El resto es por la modificación al Servicio. </w:t>
      </w:r>
    </w:p>
    <w:p>
      <w:pPr>
        <w:rPr>
          <w:rFonts w:eastAsia="Times New Roman"/>
          <w:b w:val="0"/>
          <w:lang w:val="es-ES" w:eastAsia="es-ES"/>
        </w:rPr>
      </w:pPr>
    </w:p>
    <w:p>
      <w:pPr>
        <w:rPr>
          <w:rFonts w:eastAsia="Times New Roman"/>
          <w:b w:val="0"/>
          <w:lang w:val="es-ES" w:eastAsia="es-ES"/>
        </w:rPr>
      </w:pPr>
      <w:r>
        <w:rPr>
          <w:rFonts w:eastAsia="Times New Roman"/>
          <w:b w:val="0"/>
          <w:lang w:val="es-ES" w:eastAsia="es-ES"/>
        </w:rPr>
        <w:tab/>
        <w:t>Informó que de hecho los funcionarios contratados tienen fechas distintas de entrada, lo cual hace que los presupuestos también sean distintos así están establecidos en las leyes de presupuestos y así son estimados los costos en el Subtítulo 21.</w:t>
      </w:r>
    </w:p>
    <w:p>
      <w:pPr>
        <w:rPr>
          <w:rFonts w:eastAsia="Times New Roman"/>
          <w:b w:val="0"/>
          <w:lang w:val="es-ES" w:eastAsia="es-ES"/>
        </w:rPr>
      </w:pPr>
    </w:p>
    <w:p>
      <w:pPr>
        <w:rPr>
          <w:rFonts w:eastAsia="Times New Roman"/>
          <w:b w:val="0"/>
          <w:lang w:val="es-ES" w:eastAsia="es-ES"/>
        </w:rPr>
      </w:pPr>
      <w:r>
        <w:rPr>
          <w:rFonts w:eastAsia="Times New Roman"/>
          <w:lang w:val="es-ES" w:eastAsia="es-ES"/>
        </w:rPr>
        <w:tab/>
        <w:t xml:space="preserve">El Director Nacional del Servicio Nacional de Aduanas, señor Juan Araya </w:t>
      </w:r>
      <w:r>
        <w:rPr>
          <w:rFonts w:eastAsia="Times New Roman"/>
          <w:b w:val="0"/>
          <w:lang w:val="es-ES" w:eastAsia="es-ES"/>
        </w:rPr>
        <w:t>informó que de hecho los 90 nuevos funcionarios para el próximo año no están contemplados por los 12 meses, ahí hay una distribución a lo largo del año en función de las necesidades.</w:t>
      </w:r>
    </w:p>
    <w:p>
      <w:pPr>
        <w:rPr>
          <w:rFonts w:eastAsia="Times New Roman"/>
          <w:b w:val="0"/>
          <w:lang w:val="es-ES" w:eastAsia="es-ES"/>
        </w:rPr>
      </w:pPr>
    </w:p>
    <w:p>
      <w:pPr>
        <w:rPr>
          <w:rFonts w:eastAsia="Times New Roman"/>
          <w:b w:val="0"/>
          <w:lang w:val="es-ES" w:eastAsia="es-ES"/>
        </w:rPr>
      </w:pPr>
      <w:r>
        <w:rPr>
          <w:rFonts w:eastAsia="Times New Roman"/>
          <w:b w:val="0"/>
          <w:lang w:val="es-ES" w:eastAsia="es-ES"/>
        </w:rPr>
        <w:tab/>
      </w:r>
      <w:r>
        <w:rPr>
          <w:rFonts w:eastAsia="Times New Roman"/>
          <w:lang w:val="es-ES" w:eastAsia="es-ES"/>
        </w:rPr>
        <w:t>El Presidente de la Subcomisión, Honorable Diputado señor De Mussy</w:t>
      </w:r>
      <w:r>
        <w:rPr>
          <w:rFonts w:eastAsia="Times New Roman"/>
          <w:b w:val="0"/>
          <w:lang w:val="es-ES" w:eastAsia="es-ES"/>
        </w:rPr>
        <w:t xml:space="preserve"> consultó respecto de los Convenios con Personas Naturales los cuales aumentan en un 100%, o sea, en 85 millones más y la autorización máxima para gastos de asignación por turno aumentan en 500 millones. Solicita una explicación al respecto.</w:t>
      </w:r>
    </w:p>
    <w:p>
      <w:pPr>
        <w:rPr>
          <w:rFonts w:eastAsia="Times New Roman"/>
          <w:b w:val="0"/>
          <w:lang w:val="es-ES" w:eastAsia="es-ES"/>
        </w:rPr>
      </w:pPr>
    </w:p>
    <w:p>
      <w:pPr>
        <w:rPr>
          <w:rFonts w:eastAsia="Times New Roman"/>
          <w:b w:val="0"/>
          <w:lang w:val="es-ES" w:eastAsia="es-ES"/>
        </w:rPr>
      </w:pPr>
      <w:r>
        <w:rPr>
          <w:rFonts w:eastAsia="Times New Roman"/>
          <w:b w:val="0"/>
          <w:lang w:val="es-ES" w:eastAsia="es-ES"/>
        </w:rPr>
        <w:tab/>
      </w:r>
      <w:r>
        <w:rPr>
          <w:rFonts w:eastAsia="Times New Roman"/>
          <w:lang w:val="es-ES" w:eastAsia="es-ES"/>
        </w:rPr>
        <w:t xml:space="preserve">El Director Nacional del Servicio Nacional de Aduanas, señor Juan Araya </w:t>
      </w:r>
      <w:r>
        <w:rPr>
          <w:rFonts w:eastAsia="Times New Roman"/>
          <w:b w:val="0"/>
          <w:lang w:val="es-ES" w:eastAsia="es-ES"/>
        </w:rPr>
        <w:t xml:space="preserve">explicó respecto de los Convenios con Personas Naturales que el aumento se debe a que en el presupuesto del año 2016 originalmente se consideraban 3 funcionarios a honorarios en el Servicio, hoy día son 5 y los que se están manteniendo son los 5 del próximo año, ese es el diferencial en el monto. Son sólo 5 funcionarios a honorarios de entre los 2000 que tiene el Servicio, por lo tanto, el porcentaje es fuerte pero el monto final asociado es menor. </w:t>
      </w:r>
    </w:p>
    <w:p>
      <w:pPr>
        <w:rPr>
          <w:rFonts w:eastAsia="Times New Roman"/>
          <w:b w:val="0"/>
          <w:lang w:val="es-ES" w:eastAsia="es-ES"/>
        </w:rPr>
      </w:pPr>
    </w:p>
    <w:p>
      <w:pPr>
        <w:rPr>
          <w:rFonts w:eastAsia="Times New Roman"/>
          <w:b w:val="0"/>
          <w:lang w:val="es-ES" w:eastAsia="es-ES"/>
        </w:rPr>
      </w:pPr>
      <w:r>
        <w:rPr>
          <w:rFonts w:eastAsia="Times New Roman"/>
          <w:b w:val="0"/>
          <w:lang w:val="es-ES" w:eastAsia="es-ES"/>
        </w:rPr>
        <w:tab/>
        <w:t>Agregó que los trabajos que han venido desarrollando son bien específicos y están publicados en la página web de Aduanas.</w:t>
      </w:r>
    </w:p>
    <w:p>
      <w:pPr>
        <w:rPr>
          <w:rFonts w:eastAsia="Times New Roman"/>
          <w:b w:val="0"/>
          <w:lang w:val="es-ES" w:eastAsia="es-ES"/>
        </w:rPr>
      </w:pPr>
    </w:p>
    <w:p>
      <w:pPr>
        <w:rPr>
          <w:b w:val="0"/>
        </w:rPr>
      </w:pPr>
      <w:r>
        <w:rPr>
          <w:rFonts w:eastAsia="Times New Roman"/>
          <w:b w:val="0"/>
          <w:lang w:val="es-ES" w:eastAsia="es-ES"/>
        </w:rPr>
        <w:tab/>
        <w:t>Respecto de los gastos de asignaciones por turno señaló que están asociados a mayores requerimientos de funcionarios en fronteras. En el Servicio Nacional de Aduanas un gran porcentaje de los recursos de su presupuesto final va asignado a salarios y a pago de turnos. En el Paso de los Libertadores todas las semanas hay una dotación de 80 funcionarios en temporada baja, los que tienen viáticos y turnos.</w:t>
      </w:r>
      <w:r>
        <w:rPr>
          <w:rFonts w:eastAsia="Times New Roman"/>
          <w:b w:val="0"/>
          <w:lang w:val="es-ES" w:eastAsia="es-ES"/>
        </w:rPr>
        <w:tab/>
      </w:r>
    </w:p>
    <w:p>
      <w:pPr>
        <w:rPr>
          <w:rFonts w:eastAsia="Times New Roman"/>
          <w:b w:val="0"/>
          <w:lang w:eastAsia="es-ES"/>
        </w:rPr>
      </w:pPr>
    </w:p>
    <w:p>
      <w:pPr>
        <w:rPr>
          <w:rFonts w:eastAsia="Times New Roman"/>
          <w:b w:val="0"/>
          <w:lang w:eastAsia="es-ES"/>
        </w:rPr>
      </w:pPr>
    </w:p>
    <w:p>
      <w:pPr>
        <w:rPr>
          <w:lang w:val="es-ES_tradnl"/>
        </w:rPr>
      </w:pPr>
      <w:r>
        <w:rPr>
          <w:b w:val="0"/>
          <w:lang w:val="es-ES"/>
        </w:rPr>
        <w:tab/>
      </w:r>
      <w:r>
        <w:rPr>
          <w:lang w:val="es-ES_tradnl"/>
        </w:rPr>
        <w:t>Sometido a votación el Capítulo 04, Programa 01, fue aprobado sin enmiendas por la unanimidad de los miembros presentes de la Subcomisión, Honorable Diputado señor De Mussy (Presidente), Honorables Senadores señores Coloma y Tuma, y Honorables Diputados señores Schilling y Silva.</w:t>
      </w:r>
    </w:p>
    <w:p>
      <w:pPr>
        <w:rPr>
          <w:b w:val="0"/>
          <w:lang w:val="es-ES_tradnl"/>
        </w:rPr>
      </w:pPr>
    </w:p>
    <w:p>
      <w:pPr>
        <w:rPr>
          <w:b w:val="0"/>
          <w:lang w:val="es-ES"/>
        </w:rPr>
      </w:pPr>
    </w:p>
    <w:p>
      <w:pPr>
        <w:jc w:val="center"/>
        <w:rPr>
          <w:rFonts w:eastAsia="Times New Roman"/>
          <w:lang w:eastAsia="es-ES"/>
        </w:rPr>
      </w:pPr>
      <w:r>
        <w:rPr>
          <w:rFonts w:eastAsia="Times New Roman"/>
          <w:lang w:eastAsia="es-ES"/>
        </w:rPr>
        <w:t>CAPITULO 05</w:t>
      </w:r>
    </w:p>
    <w:p>
      <w:pPr>
        <w:jc w:val="center"/>
        <w:rPr>
          <w:rFonts w:eastAsia="Times New Roman"/>
          <w:lang w:eastAsia="es-ES"/>
        </w:rPr>
      </w:pPr>
    </w:p>
    <w:p>
      <w:pPr>
        <w:jc w:val="center"/>
        <w:rPr>
          <w:rFonts w:eastAsia="Times New Roman"/>
          <w:lang w:eastAsia="es-ES"/>
        </w:rPr>
      </w:pPr>
      <w:r>
        <w:rPr>
          <w:rFonts w:eastAsia="Times New Roman"/>
          <w:lang w:eastAsia="es-ES"/>
        </w:rPr>
        <w:t>Programa 01</w:t>
      </w:r>
    </w:p>
    <w:p>
      <w:pPr>
        <w:jc w:val="center"/>
        <w:rPr>
          <w:rFonts w:eastAsia="Times New Roman"/>
          <w:lang w:eastAsia="es-ES"/>
        </w:rPr>
      </w:pPr>
      <w:r>
        <w:rPr>
          <w:rFonts w:eastAsia="Times New Roman"/>
          <w:lang w:eastAsia="es-ES"/>
        </w:rPr>
        <w:t>Servicio de Tesorerías</w:t>
      </w:r>
    </w:p>
    <w:p>
      <w:pPr>
        <w:rPr>
          <w:rFonts w:eastAsia="Times New Roman"/>
          <w:lang w:eastAsia="es-ES"/>
        </w:rPr>
      </w:pPr>
    </w:p>
    <w:p>
      <w:pPr>
        <w:rPr>
          <w:rFonts w:eastAsia="Times New Roman"/>
          <w:b w:val="0"/>
          <w:lang w:eastAsia="es-ES"/>
        </w:rPr>
      </w:pPr>
      <w:r>
        <w:rPr>
          <w:rFonts w:eastAsia="Times New Roman"/>
          <w:b w:val="0"/>
          <w:lang w:eastAsia="es-ES"/>
        </w:rPr>
        <w:tab/>
        <w:t xml:space="preserve">Considera ingresos y gastos por </w:t>
      </w:r>
      <w:r>
        <w:rPr>
          <w:rFonts w:eastAsia="Times New Roman"/>
          <w:lang w:eastAsia="es-ES"/>
        </w:rPr>
        <w:t>$ 55.033.941 miles.</w:t>
      </w:r>
    </w:p>
    <w:p>
      <w:pPr>
        <w:rPr>
          <w:rFonts w:eastAsia="Times New Roman"/>
          <w:b w:val="0"/>
          <w:lang w:eastAsia="es-ES"/>
        </w:rPr>
      </w:pPr>
    </w:p>
    <w:p>
      <w:pPr>
        <w:rPr>
          <w:rFonts w:eastAsia="Times New Roman"/>
          <w:b w:val="0"/>
          <w:lang w:eastAsia="es-ES"/>
        </w:rPr>
      </w:pPr>
      <w:r>
        <w:rPr>
          <w:rFonts w:eastAsia="Times New Roman"/>
          <w:b w:val="0"/>
          <w:lang w:eastAsia="es-ES"/>
        </w:rPr>
        <w:tab/>
        <w:t>El monto de recursos asignados por la Ley de Presupuestos durante el presente año alcanza a $ 54.743.054 miles, lo que importa una variación de 0,5%.</w:t>
      </w:r>
    </w:p>
    <w:p>
      <w:pPr>
        <w:rPr>
          <w:rFonts w:eastAsia="Times New Roman"/>
          <w:b w:val="0"/>
          <w:lang w:eastAsia="es-ES"/>
        </w:rPr>
      </w:pPr>
    </w:p>
    <w:p>
      <w:pPr>
        <w:rPr>
          <w:rFonts w:eastAsia="Times New Roman"/>
          <w:b w:val="0"/>
          <w:lang w:eastAsia="es-ES"/>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Cs/>
          <w:color w:val="000000"/>
          <w:u w:color="000000"/>
          <w:bdr w:val="nil"/>
          <w:lang w:val="es-ES_tradnl" w:eastAsia="es-CL"/>
        </w:rPr>
        <w:tab/>
        <w:t>El Tesorero General de la República, señor Hernán Frigolett</w:t>
      </w:r>
      <w:r>
        <w:rPr>
          <w:rFonts w:eastAsia="Arial Unicode MS" w:cs="Arial Unicode MS"/>
          <w:b w:val="0"/>
          <w:color w:val="000000"/>
          <w:u w:color="000000"/>
          <w:bdr w:val="nil"/>
          <w:lang w:val="es-ES_tradnl" w:eastAsia="es-CL"/>
        </w:rPr>
        <w:t>, inició su presentación señalando que los lineamientos estratégicos institucionales de esta entidad se encuentran basados en cinco ámbitos:</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Unicode MS" w:cs="Arial Unicode MS"/>
          <w:b w:val="0"/>
          <w:color w:val="000000"/>
          <w:u w:color="000000"/>
          <w:bdr w:val="nil"/>
          <w:lang w:val="es-ES_tradnl" w:eastAsia="es-CL"/>
        </w:rPr>
      </w:pPr>
    </w:p>
    <w:p>
      <w:pPr>
        <w:pBdr>
          <w:top w:val="nil"/>
          <w:left w:val="nil"/>
          <w:bottom w:val="nil"/>
          <w:right w:val="nil"/>
          <w:between w:val="nil"/>
          <w:bar w:val="nil"/>
        </w:pBdr>
        <w:rPr>
          <w:rFonts w:eastAsia="Arial Unicode MS" w:cs="Arial Unicode MS"/>
          <w:b w:val="0"/>
          <w:color w:val="000000"/>
          <w:u w:color="000000"/>
          <w:bdr w:val="nil"/>
          <w:lang w:val="es-ES_tradnl" w:eastAsia="es-CL"/>
        </w:rPr>
      </w:pPr>
    </w:p>
    <w:p>
      <w:pPr>
        <w:pBdr>
          <w:top w:val="nil"/>
          <w:left w:val="nil"/>
          <w:bottom w:val="nil"/>
          <w:right w:val="nil"/>
          <w:between w:val="nil"/>
          <w:bar w:val="nil"/>
        </w:pBdr>
        <w:rPr>
          <w:rFonts w:eastAsia="Arial Unicode MS" w:cs="Arial Unicode MS"/>
          <w:b w:val="0"/>
          <w:color w:val="000000"/>
          <w:u w:color="000000"/>
          <w:bdr w:val="nil"/>
          <w:lang w:val="es-ES_tradnl" w:eastAsia="es-CL"/>
        </w:rPr>
      </w:pPr>
    </w:p>
    <w:p>
      <w:pPr>
        <w:pBdr>
          <w:top w:val="nil"/>
          <w:left w:val="nil"/>
          <w:bottom w:val="nil"/>
          <w:right w:val="nil"/>
          <w:between w:val="nil"/>
          <w:bar w:val="nil"/>
        </w:pBdr>
        <w:rPr>
          <w:rFonts w:eastAsia="Arial Unicode MS" w:cs="Arial Unicode MS"/>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1.- Mejorar la satisfacción de nuestros ciudadanos(as), usuarios(as) públicos, privados y Gobierno, mediante una gestión orientada a la calidad de servicios, que permita generar Valor Público.</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Unicode MS" w:cs="Arial Unicode MS"/>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 xml:space="preserve">2.- Asegurar la recaudación y recuperación de los ingresos fiscales, promoviendo el logro de resultados que permitan asegurar el financiamiento de las políticas públicas diseñadas  por el Gobierno. </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Unicode MS" w:cs="Arial Unicode MS"/>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3.- Aumentar la eficacia y eficiencia de la distribución de recursos mediante el fortalecimiento de la calidad de los procesos para satisfacer las necesidades de nuestros usuarios(as) públicos, privados y Gobierno.</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Unicode MS" w:cs="Arial Unicode MS"/>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 xml:space="preserve">4.- Mejorar la calidad y oportunidad de la Información contable, mediante el fortalecimiento de los procesos, para promover el accountability  público y privado. </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Unicode MS" w:cs="Arial Unicode MS"/>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5.- Gestionar eficientemente las inversiones del Tesoro Público, apoyando el proceso de rentabilización de los recursos del Tesoro, para cumplir con las obligaciones financieras.</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Cs/>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w:bCs/>
          <w:color w:val="000000"/>
          <w:u w:color="000000"/>
          <w:bdr w:val="nil"/>
          <w:lang w:val="es-ES_tradnl" w:eastAsia="es-CL"/>
        </w:rPr>
        <w:tab/>
      </w:r>
      <w:r>
        <w:rPr>
          <w:rFonts w:eastAsia="Arial Unicode MS" w:cs="Arial Unicode MS"/>
          <w:b w:val="0"/>
          <w:color w:val="000000"/>
          <w:u w:color="000000"/>
          <w:bdr w:val="nil"/>
          <w:lang w:val="es-ES_tradnl" w:eastAsia="es-CL"/>
        </w:rPr>
        <w:t>En consecuencia, indicó que la misión del Servicio es recaudar, distribuir, gestionar las inversiones y contabilizar el Tesoro Público. De ese modo, agregó, el Servicio de Tesorerías genera un valor público cuando cumple con las obligaciones que la ley le encomienda, satisfaciendo las necesidades de nuestros ciudadanos(as), usuarios(as) públicos, privados y Gobierno, mediante una gestión orientada al logro de resultados, excelencia en servicios e innovación.</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Unicode MS" w:cs="Arial Unicode MS"/>
          <w:b w:val="0"/>
          <w:color w:val="000000"/>
          <w:u w:color="000000"/>
          <w:bdr w:val="nil"/>
          <w:lang w:val="es-ES_tradnl" w:eastAsia="es-CL"/>
        </w:rPr>
      </w:pPr>
      <w:r>
        <w:rPr>
          <w:rFonts w:eastAsia="Arial Unicode MS" w:cs="Arial Unicode MS"/>
          <w:b w:val="0"/>
          <w:color w:val="000000"/>
          <w:u w:color="000000"/>
          <w:bdr w:val="nil"/>
          <w:lang w:val="es-ES_tradnl" w:eastAsia="es-CL"/>
        </w:rPr>
        <w:tab/>
        <w:t>A continuación, exhibió el siguiente gráfico que da cuenta de la ejecución presupuestaria de la ley vigente.</w:t>
      </w:r>
    </w:p>
    <w:p>
      <w:pPr>
        <w:pBdr>
          <w:top w:val="nil"/>
          <w:left w:val="nil"/>
          <w:bottom w:val="nil"/>
          <w:right w:val="nil"/>
          <w:between w:val="nil"/>
          <w:bar w:val="nil"/>
        </w:pBdr>
        <w:rPr>
          <w:rFonts w:eastAsia="Arial Unicode MS" w:cs="Arial Unicode MS"/>
          <w:b w:val="0"/>
          <w:color w:val="000000"/>
          <w:u w:color="000000"/>
          <w:bdr w:val="nil"/>
          <w:lang w:val="es-ES_tradnl" w:eastAsia="es-CL"/>
        </w:rPr>
      </w:pPr>
    </w:p>
    <w:p>
      <w:pPr>
        <w:pBdr>
          <w:top w:val="nil"/>
          <w:left w:val="nil"/>
          <w:bottom w:val="nil"/>
          <w:right w:val="nil"/>
          <w:between w:val="nil"/>
          <w:bar w:val="nil"/>
        </w:pBdr>
        <w:rPr>
          <w:rFonts w:eastAsia="Arial Unicode MS" w:cs="Arial Unicode MS"/>
          <w:b w:val="0"/>
          <w:color w:val="000000"/>
          <w:u w:color="000000"/>
          <w:bdr w:val="nil"/>
          <w:lang w:val="es-ES_tradnl" w:eastAsia="es-CL"/>
        </w:rPr>
      </w:pPr>
    </w:p>
    <w:p>
      <w:pPr>
        <w:pBdr>
          <w:top w:val="nil"/>
          <w:left w:val="nil"/>
          <w:bottom w:val="nil"/>
          <w:right w:val="nil"/>
          <w:between w:val="nil"/>
          <w:bar w:val="nil"/>
        </w:pBdr>
        <w:rPr>
          <w:rFonts w:eastAsia="Arial Unicode MS" w:cs="Arial Unicode MS"/>
          <w:b w:val="0"/>
          <w:color w:val="000000"/>
          <w:u w:color="000000"/>
          <w:bdr w:val="nil"/>
          <w:lang w:val="es-ES_tradnl" w:eastAsia="es-CL"/>
        </w:rPr>
      </w:pPr>
    </w:p>
    <w:p>
      <w:pPr>
        <w:pBdr>
          <w:top w:val="nil"/>
          <w:left w:val="nil"/>
          <w:bottom w:val="nil"/>
          <w:right w:val="nil"/>
          <w:between w:val="nil"/>
          <w:bar w:val="nil"/>
        </w:pBdr>
        <w:rPr>
          <w:rFonts w:eastAsia="Arial Unicode MS" w:cs="Arial Unicode MS"/>
          <w:b w:val="0"/>
          <w:color w:val="000000"/>
          <w:u w:color="000000"/>
          <w:bdr w:val="nil"/>
          <w:lang w:val="es-ES_tradnl" w:eastAsia="es-CL"/>
        </w:rPr>
      </w:pPr>
    </w:p>
    <w:p>
      <w:pPr>
        <w:pBdr>
          <w:top w:val="nil"/>
          <w:left w:val="nil"/>
          <w:bottom w:val="nil"/>
          <w:right w:val="nil"/>
          <w:between w:val="nil"/>
          <w:bar w:val="nil"/>
        </w:pBdr>
        <w:rPr>
          <w:rFonts w:eastAsia="Arial Unicode MS" w:cs="Arial Unicode MS"/>
          <w:b w:val="0"/>
          <w:color w:val="000000"/>
          <w:u w:color="000000"/>
          <w:bdr w:val="nil"/>
          <w:lang w:val="es-ES_tradnl" w:eastAsia="es-CL"/>
        </w:rPr>
      </w:pPr>
    </w:p>
    <w:p>
      <w:pPr>
        <w:pBdr>
          <w:top w:val="nil"/>
          <w:left w:val="nil"/>
          <w:bottom w:val="nil"/>
          <w:right w:val="nil"/>
          <w:between w:val="nil"/>
          <w:bar w:val="nil"/>
        </w:pBdr>
        <w:rPr>
          <w:rFonts w:eastAsia="Arial Unicode MS" w:cs="Arial Unicode MS"/>
          <w:b w:val="0"/>
          <w:color w:val="000000"/>
          <w:u w:color="000000"/>
          <w:bdr w:val="nil"/>
          <w:lang w:val="es-ES_tradnl" w:eastAsia="es-CL"/>
        </w:rPr>
      </w:pPr>
    </w:p>
    <w:p>
      <w:pPr>
        <w:pBdr>
          <w:top w:val="nil"/>
          <w:left w:val="nil"/>
          <w:bottom w:val="nil"/>
          <w:right w:val="nil"/>
          <w:between w:val="nil"/>
          <w:bar w:val="nil"/>
        </w:pBdr>
        <w:rPr>
          <w:rFonts w:eastAsia="Arial Unicode MS" w:cs="Arial Unicode MS"/>
          <w:b w:val="0"/>
          <w:color w:val="000000"/>
          <w:u w:color="000000"/>
          <w:bdr w:val="nil"/>
          <w:lang w:val="es-ES_tradnl" w:eastAsia="es-CL"/>
        </w:rPr>
      </w:pPr>
    </w:p>
    <w:p>
      <w:pPr>
        <w:pBdr>
          <w:top w:val="nil"/>
          <w:left w:val="nil"/>
          <w:bottom w:val="nil"/>
          <w:right w:val="nil"/>
          <w:between w:val="nil"/>
          <w:bar w:val="nil"/>
        </w:pBdr>
        <w:rPr>
          <w:rFonts w:eastAsia="Arial Unicode MS" w:cs="Arial Unicode MS"/>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jc w:val="center"/>
        <w:rPr>
          <w:rFonts w:eastAsia="Arial"/>
          <w:b w:val="0"/>
          <w:color w:val="000000"/>
          <w:u w:color="000000"/>
          <w:bdr w:val="nil"/>
          <w:lang w:val="es-ES_tradnl" w:eastAsia="es-CL"/>
        </w:rPr>
      </w:pPr>
      <w:r>
        <w:rPr>
          <w:rFonts w:eastAsia="Arial"/>
          <w:b w:val="0"/>
          <w:noProof/>
          <w:color w:val="000000"/>
          <w:u w:color="000000"/>
          <w:bdr w:val="nil"/>
          <w:lang w:eastAsia="es-CL"/>
        </w:rPr>
        <w:pict>
          <v:shape id="_x0000_i1043" type="#_x0000_t75" style="width:413.65pt;height:282.05pt;visibility:visible">
            <v:imagedata r:id="rId26" o:title=""/>
          </v:shape>
        </w:pict>
      </w:r>
    </w:p>
    <w:p>
      <w:pPr>
        <w:pBdr>
          <w:top w:val="nil"/>
          <w:left w:val="nil"/>
          <w:bottom w:val="nil"/>
          <w:right w:val="nil"/>
          <w:between w:val="nil"/>
          <w:bar w:val="nil"/>
        </w:pBdr>
        <w:rPr>
          <w:rFonts w:eastAsia="Arial"/>
          <w:bCs/>
          <w:color w:val="000000"/>
          <w:u w:color="000000"/>
          <w:bdr w:val="nil"/>
          <w:lang w:val="es-ES_tradnl" w:eastAsia="es-CL"/>
        </w:rPr>
      </w:pPr>
      <w:r>
        <w:rPr>
          <w:rFonts w:eastAsia="Arial Unicode MS" w:cs="Arial Unicode MS"/>
          <w:bCs/>
          <w:color w:val="000000"/>
          <w:u w:color="000000"/>
          <w:bdr w:val="nil"/>
          <w:lang w:val="es-ES_tradnl" w:eastAsia="es-CL"/>
        </w:rPr>
        <w:t>(*) Gasto de Estado de Operaciones = GASTOS-(Subt.25+30+32+34+35) + Ítem25.01+Intereses y Otros Gastos Financieros de Deuda</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 xml:space="preserve">A este respecto, indicó que se han ejecutado linealmente los recursos contemplados en los </w:t>
      </w:r>
      <w:r>
        <w:rPr>
          <w:rFonts w:eastAsia="Arial Unicode MS" w:cs="Arial Unicode MS"/>
          <w:bCs/>
          <w:color w:val="000000"/>
          <w:u w:color="000000"/>
          <w:bdr w:val="nil"/>
          <w:lang w:val="es-ES_tradnl" w:eastAsia="es-CL"/>
        </w:rPr>
        <w:t>Subtítulos 21</w:t>
      </w:r>
      <w:r>
        <w:rPr>
          <w:rFonts w:eastAsia="Arial Unicode MS" w:cs="Arial Unicode MS"/>
          <w:b w:val="0"/>
          <w:color w:val="000000"/>
          <w:u w:color="000000"/>
          <w:bdr w:val="nil"/>
          <w:lang w:val="es-ES_tradnl" w:eastAsia="es-CL"/>
        </w:rPr>
        <w:t xml:space="preserve"> (94%) </w:t>
      </w:r>
      <w:r>
        <w:rPr>
          <w:rFonts w:eastAsia="Arial Unicode MS" w:cs="Arial Unicode MS"/>
          <w:bCs/>
          <w:color w:val="000000"/>
          <w:u w:color="000000"/>
          <w:bdr w:val="nil"/>
          <w:lang w:val="es-ES_tradnl" w:eastAsia="es-CL"/>
        </w:rPr>
        <w:t>y 22</w:t>
      </w:r>
      <w:r>
        <w:rPr>
          <w:rFonts w:eastAsia="Arial Unicode MS" w:cs="Arial Unicode MS"/>
          <w:b w:val="0"/>
          <w:color w:val="000000"/>
          <w:u w:color="000000"/>
          <w:bdr w:val="nil"/>
          <w:lang w:val="es-ES_tradnl" w:eastAsia="es-CL"/>
        </w:rPr>
        <w:t xml:space="preserve"> (59,2%).</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Unicode MS" w:cs="Arial Unicode MS"/>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 xml:space="preserve">Sin perjuicio de ello, añadió, se observa una ejecución más baja en el </w:t>
      </w:r>
      <w:r>
        <w:rPr>
          <w:rFonts w:eastAsia="Arial Unicode MS" w:cs="Arial Unicode MS"/>
          <w:bCs/>
          <w:color w:val="000000"/>
          <w:u w:color="000000"/>
          <w:bdr w:val="nil"/>
          <w:lang w:val="es-ES_tradnl" w:eastAsia="es-CL"/>
        </w:rPr>
        <w:t>Subtítulo 29</w:t>
      </w:r>
      <w:r>
        <w:rPr>
          <w:rFonts w:eastAsia="Arial Unicode MS" w:cs="Arial Unicode MS"/>
          <w:b w:val="0"/>
          <w:color w:val="000000"/>
          <w:u w:color="000000"/>
          <w:bdr w:val="nil"/>
          <w:lang w:val="es-ES_tradnl" w:eastAsia="es-CL"/>
        </w:rPr>
        <w:t>, debido a las licitaciones que se deben efectuar para la adquisición de equipos que fortalecerán el Data Center del Servicio, proceso que concluirá en el último trimestre del año en curso.</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Unicode MS" w:cs="Arial Unicode MS"/>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Posteriormente, describió, a través del gráfico que a continuación se exhibe, las cifras comparadas entre el presupuesto del año 2016 y el del año 2017.</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jc w:val="center"/>
        <w:rPr>
          <w:rFonts w:eastAsia="Arial"/>
          <w:bCs/>
          <w:color w:val="000000"/>
          <w:u w:color="000000"/>
          <w:bdr w:val="nil"/>
          <w:lang w:val="es-ES_tradnl" w:eastAsia="es-CL"/>
        </w:rPr>
      </w:pPr>
      <w:r>
        <w:rPr>
          <w:rFonts w:eastAsia="Arial"/>
          <w:bCs/>
          <w:color w:val="000000"/>
          <w:u w:color="000000"/>
          <w:bdr w:val="nil"/>
          <w:lang w:val="es-ES_tradnl" w:eastAsia="es-CL"/>
        </w:rPr>
        <w:t>Presupuesto 2017 - Cifras comparadas</w:t>
      </w:r>
    </w:p>
    <w:p>
      <w:pPr>
        <w:pBdr>
          <w:top w:val="nil"/>
          <w:left w:val="nil"/>
          <w:bottom w:val="nil"/>
          <w:right w:val="nil"/>
          <w:between w:val="nil"/>
          <w:bar w:val="nil"/>
        </w:pBdr>
        <w:rPr>
          <w:rFonts w:eastAsia="Arial"/>
          <w:b w:val="0"/>
          <w:color w:val="000000"/>
          <w:u w:color="000000"/>
          <w:bdr w:val="nil"/>
          <w:lang w:val="es-ES_tradnl" w:eastAsia="es-CL"/>
        </w:rPr>
      </w:pPr>
    </w:p>
    <w:tbl>
      <w:tblPr>
        <w:tblW w:w="904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4068"/>
        <w:gridCol w:w="1275"/>
        <w:gridCol w:w="1276"/>
        <w:gridCol w:w="1367"/>
        <w:gridCol w:w="1057"/>
      </w:tblGrid>
      <w:tr>
        <w:tblPrEx>
          <w:tblCellMar>
            <w:top w:w="0" w:type="dxa"/>
            <w:left w:w="0" w:type="dxa"/>
            <w:bottom w:w="0" w:type="dxa"/>
            <w:right w:w="0" w:type="dxa"/>
          </w:tblCellMar>
        </w:tblPrEx>
        <w:trPr>
          <w:trHeight w:val="318"/>
        </w:trPr>
        <w:tc>
          <w:tcPr>
            <w:tcW w:w="4068" w:type="dxa"/>
            <w:tcBorders>
              <w:top w:val="nil"/>
              <w:left w:val="nil"/>
              <w:bottom w:val="nil"/>
              <w:right w:val="single" w:sz="8" w:space="0" w:color="FFFFFF"/>
            </w:tcBorders>
            <w:shd w:val="clear" w:color="auto" w:fill="B9CDE5"/>
            <w:tcMar>
              <w:top w:w="80" w:type="dxa"/>
              <w:left w:w="80" w:type="dxa"/>
              <w:bottom w:w="80" w:type="dxa"/>
              <w:right w:w="80" w:type="dxa"/>
            </w:tcMar>
          </w:tcPr>
          <w:p>
            <w:pPr>
              <w:pBdr>
                <w:top w:val="nil"/>
                <w:left w:val="nil"/>
                <w:bottom w:val="nil"/>
                <w:right w:val="nil"/>
                <w:between w:val="nil"/>
                <w:bar w:val="nil"/>
              </w:pBdr>
              <w:tabs>
                <w:tab w:val="clear" w:pos="2835"/>
              </w:tabs>
              <w:jc w:val="left"/>
              <w:rPr>
                <w:rFonts w:eastAsia="Arial"/>
                <w:b w:val="0"/>
                <w:color w:val="000000"/>
                <w:sz w:val="18"/>
                <w:szCs w:val="18"/>
                <w:u w:color="000000"/>
                <w:bdr w:val="nil"/>
                <w:lang w:val="es-ES_tradnl" w:eastAsia="es-CL"/>
              </w:rPr>
            </w:pPr>
            <w:r>
              <w:rPr>
                <w:rFonts w:ascii="Calibri" w:hAnsi="Calibri" w:cs="Calibri"/>
                <w:bCs/>
                <w:color w:val="000000"/>
                <w:kern w:val="24"/>
                <w:sz w:val="18"/>
                <w:szCs w:val="18"/>
                <w:u w:color="000000"/>
                <w:bdr w:val="nil"/>
                <w:lang w:val="es-ES_tradnl" w:eastAsia="es-CL"/>
              </w:rPr>
              <w:t>CAPÍTULO 05 - Programa 01</w:t>
            </w:r>
          </w:p>
        </w:tc>
        <w:tc>
          <w:tcPr>
            <w:tcW w:w="2550" w:type="dxa"/>
            <w:gridSpan w:val="2"/>
            <w:tcBorders>
              <w:top w:val="single" w:sz="8" w:space="0" w:color="FFFFFF"/>
              <w:left w:val="single" w:sz="8" w:space="0" w:color="FFFFFF"/>
              <w:bottom w:val="single" w:sz="8" w:space="0" w:color="FFFFFF"/>
              <w:right w:val="single" w:sz="8" w:space="0" w:color="FFFFFF"/>
            </w:tcBorders>
            <w:shd w:val="clear" w:color="auto" w:fill="B9CDE5"/>
            <w:tcMar>
              <w:top w:w="80" w:type="dxa"/>
              <w:left w:w="80" w:type="dxa"/>
              <w:bottom w:w="80" w:type="dxa"/>
              <w:right w:w="80" w:type="dxa"/>
            </w:tcMa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rFonts w:ascii="Calibri" w:hAnsi="Calibri" w:cs="Calibri"/>
                <w:bCs/>
                <w:color w:val="000000"/>
                <w:kern w:val="24"/>
                <w:sz w:val="18"/>
                <w:szCs w:val="18"/>
                <w:u w:color="000000"/>
                <w:bdr w:val="nil"/>
                <w:lang w:val="es-ES_tradnl" w:eastAsia="es-CL"/>
              </w:rPr>
              <w:t>Ley de Presupuesto</w:t>
            </w:r>
          </w:p>
        </w:tc>
        <w:tc>
          <w:tcPr>
            <w:tcW w:w="2424" w:type="dxa"/>
            <w:gridSpan w:val="2"/>
            <w:tcBorders>
              <w:top w:val="single" w:sz="8" w:space="0" w:color="FFFFFF"/>
              <w:left w:val="single" w:sz="8" w:space="0" w:color="FFFFFF"/>
              <w:bottom w:val="single" w:sz="8" w:space="0" w:color="FFFFFF"/>
              <w:right w:val="single" w:sz="8" w:space="0" w:color="FFFFFF"/>
            </w:tcBorders>
            <w:shd w:val="clear" w:color="auto" w:fill="B9CDE5"/>
            <w:tcMar>
              <w:top w:w="80" w:type="dxa"/>
              <w:left w:w="80" w:type="dxa"/>
              <w:bottom w:w="80" w:type="dxa"/>
              <w:right w:w="80" w:type="dxa"/>
            </w:tcMa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rFonts w:ascii="Calibri" w:hAnsi="Calibri" w:cs="Calibri"/>
                <w:bCs/>
                <w:color w:val="000000"/>
                <w:kern w:val="24"/>
                <w:sz w:val="18"/>
                <w:szCs w:val="18"/>
                <w:u w:color="000000"/>
                <w:bdr w:val="nil"/>
                <w:lang w:val="es-ES_tradnl" w:eastAsia="es-CL"/>
              </w:rPr>
              <w:t>Variación</w:t>
            </w:r>
          </w:p>
        </w:tc>
      </w:tr>
      <w:tr>
        <w:tblPrEx>
          <w:tblCellMar>
            <w:top w:w="0" w:type="dxa"/>
            <w:left w:w="0" w:type="dxa"/>
            <w:bottom w:w="0" w:type="dxa"/>
            <w:right w:w="0" w:type="dxa"/>
          </w:tblCellMar>
        </w:tblPrEx>
        <w:trPr>
          <w:trHeight w:val="303"/>
        </w:trPr>
        <w:tc>
          <w:tcPr>
            <w:tcW w:w="4068" w:type="dxa"/>
            <w:tcBorders>
              <w:top w:val="nil"/>
              <w:left w:val="nil"/>
              <w:bottom w:val="nil"/>
              <w:right w:val="single" w:sz="8" w:space="0" w:color="FFFFFF"/>
            </w:tcBorders>
            <w:shd w:val="clear" w:color="auto" w:fill="B9CDE5"/>
            <w:tcMar>
              <w:top w:w="80" w:type="dxa"/>
              <w:left w:w="80" w:type="dxa"/>
              <w:bottom w:w="80" w:type="dxa"/>
              <w:right w:w="80" w:type="dxa"/>
            </w:tcMar>
          </w:tcPr>
          <w:p>
            <w:pPr>
              <w:pBdr>
                <w:top w:val="nil"/>
                <w:left w:val="nil"/>
                <w:bottom w:val="nil"/>
                <w:right w:val="nil"/>
                <w:between w:val="nil"/>
                <w:bar w:val="nil"/>
              </w:pBdr>
              <w:tabs>
                <w:tab w:val="clear" w:pos="2835"/>
              </w:tabs>
              <w:jc w:val="left"/>
              <w:rPr>
                <w:rFonts w:eastAsia="Arial"/>
                <w:b w:val="0"/>
                <w:color w:val="000000"/>
                <w:sz w:val="18"/>
                <w:szCs w:val="18"/>
                <w:u w:color="000000"/>
                <w:bdr w:val="nil"/>
                <w:lang w:val="es-ES_tradnl" w:eastAsia="es-CL"/>
              </w:rPr>
            </w:pPr>
            <w:r>
              <w:rPr>
                <w:rFonts w:ascii="Calibri" w:hAnsi="Calibri" w:cs="Calibri"/>
                <w:bCs/>
                <w:color w:val="000000"/>
                <w:kern w:val="24"/>
                <w:sz w:val="18"/>
                <w:szCs w:val="18"/>
                <w:u w:color="000000"/>
                <w:bdr w:val="nil"/>
                <w:lang w:val="es-ES_tradnl" w:eastAsia="es-CL"/>
              </w:rPr>
              <w:t>SERVICIO DE TESORERÍAS</w:t>
            </w:r>
          </w:p>
        </w:tc>
        <w:tc>
          <w:tcPr>
            <w:tcW w:w="1275" w:type="dxa"/>
            <w:tcBorders>
              <w:top w:val="single" w:sz="8" w:space="0" w:color="FFFFFF"/>
              <w:left w:val="single" w:sz="8" w:space="0" w:color="FFFFFF"/>
              <w:bottom w:val="nil"/>
              <w:right w:val="single" w:sz="8" w:space="0" w:color="FFFFFF"/>
            </w:tcBorders>
            <w:shd w:val="clear" w:color="auto" w:fill="B9CDE5"/>
            <w:tcMar>
              <w:top w:w="80" w:type="dxa"/>
              <w:left w:w="80" w:type="dxa"/>
              <w:bottom w:w="80" w:type="dxa"/>
              <w:right w:w="80" w:type="dxa"/>
            </w:tcMa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rFonts w:ascii="Calibri" w:hAnsi="Calibri" w:cs="Calibri"/>
                <w:bCs/>
                <w:color w:val="000000"/>
                <w:kern w:val="24"/>
                <w:sz w:val="18"/>
                <w:szCs w:val="18"/>
                <w:u w:color="000000"/>
                <w:bdr w:val="nil"/>
                <w:lang w:val="es-ES_tradnl" w:eastAsia="es-CL"/>
              </w:rPr>
              <w:t>Año 2016</w:t>
            </w:r>
          </w:p>
        </w:tc>
        <w:tc>
          <w:tcPr>
            <w:tcW w:w="1276" w:type="dxa"/>
            <w:tcBorders>
              <w:top w:val="single" w:sz="8" w:space="0" w:color="FFFFFF"/>
              <w:left w:val="single" w:sz="8" w:space="0" w:color="FFFFFF"/>
              <w:bottom w:val="nil"/>
              <w:right w:val="single" w:sz="8" w:space="0" w:color="FFFFFF"/>
            </w:tcBorders>
            <w:shd w:val="clear" w:color="auto" w:fill="B9CDE5"/>
            <w:tcMar>
              <w:top w:w="80" w:type="dxa"/>
              <w:left w:w="80" w:type="dxa"/>
              <w:bottom w:w="80" w:type="dxa"/>
              <w:right w:w="80" w:type="dxa"/>
            </w:tcMa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rFonts w:ascii="Calibri" w:hAnsi="Calibri" w:cs="Calibri"/>
                <w:bCs/>
                <w:color w:val="000000"/>
                <w:kern w:val="24"/>
                <w:sz w:val="18"/>
                <w:szCs w:val="18"/>
                <w:u w:color="000000"/>
                <w:bdr w:val="nil"/>
                <w:lang w:val="es-ES_tradnl" w:eastAsia="es-CL"/>
              </w:rPr>
              <w:t>Año 2017</w:t>
            </w:r>
          </w:p>
        </w:tc>
        <w:tc>
          <w:tcPr>
            <w:tcW w:w="1367" w:type="dxa"/>
            <w:vMerge w:val="restart"/>
            <w:tcBorders>
              <w:top w:val="single" w:sz="8" w:space="0" w:color="FFFFFF"/>
              <w:left w:val="single" w:sz="8" w:space="0" w:color="FFFFFF"/>
              <w:bottom w:val="single" w:sz="8" w:space="0" w:color="FFFFFF"/>
              <w:right w:val="single" w:sz="8" w:space="0" w:color="FFFFFF"/>
            </w:tcBorders>
            <w:shd w:val="clear" w:color="auto" w:fill="B9CDE5"/>
            <w:tcMar>
              <w:top w:w="80" w:type="dxa"/>
              <w:left w:w="80" w:type="dxa"/>
              <w:bottom w:w="80" w:type="dxa"/>
              <w:right w:w="80" w:type="dxa"/>
            </w:tcMa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rFonts w:ascii="Calibri" w:hAnsi="Calibri" w:cs="Calibri"/>
                <w:bCs/>
                <w:color w:val="000000"/>
                <w:kern w:val="24"/>
                <w:sz w:val="18"/>
                <w:szCs w:val="18"/>
                <w:u w:color="000000"/>
                <w:bdr w:val="nil"/>
                <w:lang w:val="es-ES_tradnl" w:eastAsia="es-CL"/>
              </w:rPr>
              <w:t>(M$ 2017)</w:t>
            </w:r>
          </w:p>
        </w:tc>
        <w:tc>
          <w:tcPr>
            <w:tcW w:w="1057" w:type="dxa"/>
            <w:vMerge w:val="restart"/>
            <w:tcBorders>
              <w:top w:val="single" w:sz="8" w:space="0" w:color="FFFFFF"/>
              <w:left w:val="single" w:sz="8" w:space="0" w:color="FFFFFF"/>
              <w:bottom w:val="single" w:sz="8" w:space="0" w:color="FFFFFF"/>
              <w:right w:val="single" w:sz="8" w:space="0" w:color="FFFFFF"/>
            </w:tcBorders>
            <w:shd w:val="clear" w:color="auto" w:fill="B9CDE5"/>
            <w:tcMar>
              <w:top w:w="80" w:type="dxa"/>
              <w:left w:w="80" w:type="dxa"/>
              <w:bottom w:w="80" w:type="dxa"/>
              <w:right w:w="80" w:type="dxa"/>
            </w:tcMa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rFonts w:ascii="Calibri" w:hAnsi="Calibri" w:cs="Calibri"/>
                <w:bCs/>
                <w:color w:val="000000"/>
                <w:kern w:val="24"/>
                <w:sz w:val="18"/>
                <w:szCs w:val="18"/>
                <w:u w:color="000000"/>
                <w:bdr w:val="nil"/>
                <w:lang w:val="es-ES_tradnl" w:eastAsia="es-CL"/>
              </w:rPr>
              <w:t>(%)</w:t>
            </w:r>
          </w:p>
        </w:tc>
      </w:tr>
      <w:tr>
        <w:tblPrEx>
          <w:tblCellMar>
            <w:top w:w="0" w:type="dxa"/>
            <w:left w:w="0" w:type="dxa"/>
            <w:bottom w:w="0" w:type="dxa"/>
            <w:right w:w="0" w:type="dxa"/>
          </w:tblCellMar>
        </w:tblPrEx>
        <w:trPr>
          <w:trHeight w:val="494"/>
        </w:trPr>
        <w:tc>
          <w:tcPr>
            <w:tcW w:w="4068" w:type="dxa"/>
            <w:tcBorders>
              <w:top w:val="nil"/>
              <w:left w:val="nil"/>
              <w:bottom w:val="single" w:sz="8" w:space="0" w:color="FFFFFF"/>
              <w:right w:val="single" w:sz="8" w:space="0" w:color="FFFFFF"/>
            </w:tcBorders>
            <w:shd w:val="clear" w:color="auto" w:fill="B9CDE5"/>
            <w:tcMar>
              <w:top w:w="80" w:type="dxa"/>
              <w:left w:w="80" w:type="dxa"/>
              <w:bottom w:w="80" w:type="dxa"/>
              <w:right w:w="80" w:type="dxa"/>
            </w:tcMar>
          </w:tcPr>
          <w:p>
            <w:pPr>
              <w:pBdr>
                <w:top w:val="nil"/>
                <w:left w:val="nil"/>
                <w:bottom w:val="nil"/>
                <w:right w:val="nil"/>
                <w:between w:val="nil"/>
                <w:bar w:val="nil"/>
              </w:pBdr>
              <w:tabs>
                <w:tab w:val="clear" w:pos="2835"/>
              </w:tabs>
              <w:jc w:val="left"/>
              <w:rPr>
                <w:rFonts w:eastAsia="Arial"/>
                <w:b w:val="0"/>
                <w:color w:val="000000"/>
                <w:sz w:val="18"/>
                <w:szCs w:val="18"/>
                <w:u w:color="000000"/>
                <w:bdr w:val="nil"/>
                <w:lang w:val="es-ES_tradnl" w:eastAsia="es-CL"/>
              </w:rPr>
            </w:pPr>
            <w:r>
              <w:rPr>
                <w:rFonts w:eastAsia="Arial"/>
                <w:b w:val="0"/>
                <w:color w:val="000000"/>
                <w:kern w:val="24"/>
                <w:sz w:val="18"/>
                <w:szCs w:val="18"/>
                <w:u w:color="000000"/>
                <w:bdr w:val="nil"/>
                <w:lang w:val="es-ES_tradnl" w:eastAsia="es-CL"/>
              </w:rPr>
              <w:t> </w:t>
            </w:r>
          </w:p>
        </w:tc>
        <w:tc>
          <w:tcPr>
            <w:tcW w:w="1275" w:type="dxa"/>
            <w:tcBorders>
              <w:top w:val="nil"/>
              <w:left w:val="single" w:sz="8" w:space="0" w:color="FFFFFF"/>
              <w:bottom w:val="single" w:sz="8" w:space="0" w:color="FFFFFF"/>
              <w:right w:val="single" w:sz="8" w:space="0" w:color="FFFFFF"/>
            </w:tcBorders>
            <w:shd w:val="clear" w:color="auto" w:fill="B9CDE5"/>
            <w:tcMar>
              <w:top w:w="80" w:type="dxa"/>
              <w:left w:w="80" w:type="dxa"/>
              <w:bottom w:w="80" w:type="dxa"/>
              <w:right w:w="80" w:type="dxa"/>
            </w:tcMa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rFonts w:ascii="Calibri" w:hAnsi="Calibri" w:cs="Calibri"/>
                <w:bCs/>
                <w:color w:val="000000"/>
                <w:kern w:val="24"/>
                <w:sz w:val="18"/>
                <w:szCs w:val="18"/>
                <w:u w:color="000000"/>
                <w:bdr w:val="nil"/>
                <w:lang w:val="es-ES_tradnl" w:eastAsia="es-CL"/>
              </w:rPr>
              <w:t>(M$ 2017)</w:t>
            </w:r>
          </w:p>
        </w:tc>
        <w:tc>
          <w:tcPr>
            <w:tcW w:w="1276" w:type="dxa"/>
            <w:tcBorders>
              <w:top w:val="nil"/>
              <w:left w:val="single" w:sz="8" w:space="0" w:color="FFFFFF"/>
              <w:bottom w:val="single" w:sz="8" w:space="0" w:color="FFFFFF"/>
              <w:right w:val="single" w:sz="8" w:space="0" w:color="FFFFFF"/>
            </w:tcBorders>
            <w:shd w:val="clear" w:color="auto" w:fill="B9CDE5"/>
            <w:tcMar>
              <w:top w:w="80" w:type="dxa"/>
              <w:left w:w="80" w:type="dxa"/>
              <w:bottom w:w="80" w:type="dxa"/>
              <w:right w:w="80" w:type="dxa"/>
            </w:tcMa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rFonts w:ascii="Calibri" w:hAnsi="Calibri" w:cs="Calibri"/>
                <w:bCs/>
                <w:color w:val="000000"/>
                <w:kern w:val="24"/>
                <w:sz w:val="18"/>
                <w:szCs w:val="18"/>
                <w:u w:color="000000"/>
                <w:bdr w:val="nil"/>
                <w:lang w:val="es-ES_tradnl" w:eastAsia="es-CL"/>
              </w:rPr>
              <w:t>(M$ 2017)</w:t>
            </w:r>
          </w:p>
        </w:tc>
        <w:tc>
          <w:tcPr>
            <w:tcW w:w="1367" w:type="dxa"/>
            <w:vMerge/>
            <w:tcBorders>
              <w:top w:val="single" w:sz="8" w:space="0" w:color="FFFFFF"/>
              <w:left w:val="single" w:sz="8" w:space="0" w:color="FFFFFF"/>
              <w:bottom w:val="single" w:sz="8" w:space="0" w:color="FFFFFF"/>
              <w:right w:val="single" w:sz="8" w:space="0" w:color="FFFFFF"/>
            </w:tcBorders>
            <w:shd w:val="clear" w:color="auto" w:fill="B9CDE5"/>
          </w:tcPr>
          <w:p>
            <w:pPr>
              <w:pBdr>
                <w:top w:val="nil"/>
                <w:left w:val="nil"/>
                <w:bottom w:val="nil"/>
                <w:right w:val="nil"/>
                <w:between w:val="nil"/>
                <w:bar w:val="nil"/>
              </w:pBdr>
              <w:rPr>
                <w:rFonts w:eastAsia="Arial"/>
                <w:b w:val="0"/>
                <w:color w:val="000000"/>
                <w:sz w:val="18"/>
                <w:szCs w:val="18"/>
                <w:u w:color="000000"/>
                <w:bdr w:val="nil"/>
                <w:lang w:val="es-ES_tradnl" w:eastAsia="es-CL"/>
              </w:rPr>
            </w:pPr>
          </w:p>
        </w:tc>
        <w:tc>
          <w:tcPr>
            <w:tcW w:w="1057" w:type="dxa"/>
            <w:vMerge/>
            <w:tcBorders>
              <w:top w:val="single" w:sz="8" w:space="0" w:color="FFFFFF"/>
              <w:left w:val="single" w:sz="8" w:space="0" w:color="FFFFFF"/>
              <w:bottom w:val="single" w:sz="8" w:space="0" w:color="FFFFFF"/>
              <w:right w:val="single" w:sz="8" w:space="0" w:color="FFFFFF"/>
            </w:tcBorders>
            <w:shd w:val="clear" w:color="auto" w:fill="B9CDE5"/>
          </w:tcPr>
          <w:p>
            <w:pPr>
              <w:pBdr>
                <w:top w:val="nil"/>
                <w:left w:val="nil"/>
                <w:bottom w:val="nil"/>
                <w:right w:val="nil"/>
                <w:between w:val="nil"/>
                <w:bar w:val="nil"/>
              </w:pBdr>
              <w:rPr>
                <w:rFonts w:eastAsia="Arial"/>
                <w:b w:val="0"/>
                <w:color w:val="000000"/>
                <w:sz w:val="18"/>
                <w:szCs w:val="18"/>
                <w:u w:color="000000"/>
                <w:bdr w:val="nil"/>
                <w:lang w:val="es-ES_tradnl" w:eastAsia="es-CL"/>
              </w:rPr>
            </w:pPr>
          </w:p>
        </w:tc>
      </w:tr>
      <w:tr>
        <w:tblPrEx>
          <w:tblCellMar>
            <w:top w:w="0" w:type="dxa"/>
            <w:left w:w="0" w:type="dxa"/>
            <w:bottom w:w="0" w:type="dxa"/>
            <w:right w:w="0" w:type="dxa"/>
          </w:tblCellMar>
        </w:tblPrEx>
        <w:trPr>
          <w:trHeight w:val="494"/>
        </w:trPr>
        <w:tc>
          <w:tcPr>
            <w:tcW w:w="4068" w:type="dxa"/>
            <w:tcBorders>
              <w:top w:val="single" w:sz="8" w:space="0" w:color="FFFFFF"/>
              <w:left w:val="single" w:sz="8" w:space="0" w:color="FFFFFF"/>
              <w:bottom w:val="single" w:sz="8" w:space="0" w:color="FFFFFF"/>
              <w:right w:val="single" w:sz="8" w:space="0" w:color="FFFFFF"/>
            </w:tcBorders>
            <w:shd w:val="clear" w:color="auto" w:fill="C6D9F1"/>
            <w:tcMar>
              <w:top w:w="80" w:type="dxa"/>
              <w:left w:w="80" w:type="dxa"/>
              <w:bottom w:w="80" w:type="dxa"/>
              <w:right w:w="80" w:type="dxa"/>
            </w:tcMar>
            <w:vAlign w:val="center"/>
          </w:tcPr>
          <w:p>
            <w:pPr>
              <w:pBdr>
                <w:top w:val="nil"/>
                <w:left w:val="nil"/>
                <w:bottom w:val="nil"/>
                <w:right w:val="nil"/>
                <w:between w:val="nil"/>
                <w:bar w:val="nil"/>
              </w:pBdr>
              <w:tabs>
                <w:tab w:val="clear" w:pos="2835"/>
              </w:tabs>
              <w:jc w:val="left"/>
              <w:rPr>
                <w:rFonts w:eastAsia="Arial"/>
                <w:b w:val="0"/>
                <w:color w:val="000000"/>
                <w:sz w:val="18"/>
                <w:szCs w:val="18"/>
                <w:u w:color="000000"/>
                <w:bdr w:val="nil"/>
                <w:lang w:val="es-ES_tradnl" w:eastAsia="es-CL"/>
              </w:rPr>
            </w:pPr>
            <w:r>
              <w:rPr>
                <w:rFonts w:ascii="Calibri" w:hAnsi="Calibri" w:cs="Calibri"/>
                <w:bCs/>
                <w:color w:val="000000"/>
                <w:kern w:val="24"/>
                <w:sz w:val="18"/>
                <w:szCs w:val="18"/>
                <w:u w:color="000000"/>
                <w:bdr w:val="nil"/>
                <w:lang w:val="es-ES_tradnl" w:eastAsia="es-CL"/>
              </w:rPr>
              <w:t>TOTAL</w:t>
            </w:r>
          </w:p>
        </w:tc>
        <w:tc>
          <w:tcPr>
            <w:tcW w:w="1275" w:type="dxa"/>
            <w:tcBorders>
              <w:top w:val="single" w:sz="8" w:space="0" w:color="FFFFFF"/>
              <w:left w:val="single" w:sz="8" w:space="0" w:color="FFFFFF"/>
              <w:bottom w:val="single" w:sz="8" w:space="0" w:color="FFFFFF"/>
              <w:right w:val="single" w:sz="8" w:space="0" w:color="FFFFFF"/>
            </w:tcBorders>
            <w:shd w:val="clear" w:color="auto" w:fill="C6D9F1"/>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rFonts w:ascii="Calibri" w:hAnsi="Calibri" w:cs="Calibri"/>
                <w:bCs/>
                <w:color w:val="000000"/>
                <w:kern w:val="24"/>
                <w:sz w:val="18"/>
                <w:szCs w:val="18"/>
                <w:u w:color="000000"/>
                <w:bdr w:val="nil"/>
                <w:lang w:val="es-ES_tradnl" w:eastAsia="es-CL"/>
              </w:rPr>
              <w:t>54.743.054</w:t>
            </w:r>
          </w:p>
        </w:tc>
        <w:tc>
          <w:tcPr>
            <w:tcW w:w="1276" w:type="dxa"/>
            <w:tcBorders>
              <w:top w:val="single" w:sz="8" w:space="0" w:color="FFFFFF"/>
              <w:left w:val="single" w:sz="8" w:space="0" w:color="FFFFFF"/>
              <w:bottom w:val="single" w:sz="8" w:space="0" w:color="FFFFFF"/>
              <w:right w:val="single" w:sz="8" w:space="0" w:color="FFFFFF"/>
            </w:tcBorders>
            <w:shd w:val="clear" w:color="auto" w:fill="C6D9F1"/>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rFonts w:ascii="Calibri" w:hAnsi="Calibri" w:cs="Calibri"/>
                <w:bCs/>
                <w:color w:val="000000"/>
                <w:kern w:val="24"/>
                <w:sz w:val="18"/>
                <w:szCs w:val="18"/>
                <w:u w:color="000000"/>
                <w:bdr w:val="nil"/>
                <w:lang w:val="es-ES_tradnl" w:eastAsia="es-CL"/>
              </w:rPr>
              <w:t>55.033.941</w:t>
            </w:r>
          </w:p>
        </w:tc>
        <w:tc>
          <w:tcPr>
            <w:tcW w:w="1367" w:type="dxa"/>
            <w:tcBorders>
              <w:top w:val="single" w:sz="8" w:space="0" w:color="FFFFFF"/>
              <w:left w:val="single" w:sz="8" w:space="0" w:color="FFFFFF"/>
              <w:bottom w:val="single" w:sz="8" w:space="0" w:color="FFFFFF"/>
              <w:right w:val="single" w:sz="8" w:space="0" w:color="FFFFFF"/>
            </w:tcBorders>
            <w:shd w:val="clear" w:color="auto" w:fill="C6D9F1"/>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rFonts w:ascii="Calibri" w:hAnsi="Calibri" w:cs="Calibri"/>
                <w:bCs/>
                <w:color w:val="000000"/>
                <w:kern w:val="24"/>
                <w:sz w:val="18"/>
                <w:szCs w:val="18"/>
                <w:u w:color="000000"/>
                <w:bdr w:val="nil"/>
                <w:lang w:val="es-ES_tradnl" w:eastAsia="es-CL"/>
              </w:rPr>
              <w:t>290.887</w:t>
            </w:r>
          </w:p>
        </w:tc>
        <w:tc>
          <w:tcPr>
            <w:tcW w:w="1057" w:type="dxa"/>
            <w:tcBorders>
              <w:top w:val="single" w:sz="8" w:space="0" w:color="FFFFFF"/>
              <w:left w:val="single" w:sz="8" w:space="0" w:color="FFFFFF"/>
              <w:bottom w:val="single" w:sz="8" w:space="0" w:color="FFFFFF"/>
              <w:right w:val="single" w:sz="8" w:space="0" w:color="FFFFFF"/>
            </w:tcBorders>
            <w:shd w:val="clear" w:color="auto" w:fill="C6D9F1"/>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rFonts w:ascii="Calibri" w:hAnsi="Calibri" w:cs="Calibri"/>
                <w:bCs/>
                <w:color w:val="000000"/>
                <w:kern w:val="24"/>
                <w:sz w:val="18"/>
                <w:szCs w:val="18"/>
                <w:u w:color="000000"/>
                <w:bdr w:val="nil"/>
                <w:lang w:val="es-ES_tradnl" w:eastAsia="es-CL"/>
              </w:rPr>
              <w:t>0,5%</w:t>
            </w:r>
          </w:p>
        </w:tc>
      </w:tr>
      <w:tr>
        <w:tblPrEx>
          <w:tblCellMar>
            <w:top w:w="0" w:type="dxa"/>
            <w:left w:w="0" w:type="dxa"/>
            <w:bottom w:w="0" w:type="dxa"/>
            <w:right w:w="0" w:type="dxa"/>
          </w:tblCellMar>
        </w:tblPrEx>
        <w:trPr>
          <w:trHeight w:val="494"/>
        </w:trPr>
        <w:tc>
          <w:tcPr>
            <w:tcW w:w="4068"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left"/>
              <w:rPr>
                <w:rFonts w:eastAsia="Arial"/>
                <w:b w:val="0"/>
                <w:color w:val="000000"/>
                <w:sz w:val="18"/>
                <w:szCs w:val="18"/>
                <w:u w:color="000000"/>
                <w:bdr w:val="nil"/>
                <w:lang w:val="es-ES_tradnl" w:eastAsia="es-CL"/>
              </w:rPr>
            </w:pPr>
            <w:r>
              <w:rPr>
                <w:rFonts w:ascii="Calibri" w:hAnsi="Calibri" w:cs="Calibri"/>
                <w:b w:val="0"/>
                <w:color w:val="000000"/>
                <w:kern w:val="24"/>
                <w:sz w:val="18"/>
                <w:szCs w:val="18"/>
                <w:u w:color="000000"/>
                <w:bdr w:val="nil"/>
                <w:lang w:val="es-ES_tradnl" w:eastAsia="es-CL"/>
              </w:rPr>
              <w:t>Gasto en Personal  (Subtítulo 21)</w:t>
            </w:r>
          </w:p>
        </w:tc>
        <w:tc>
          <w:tcPr>
            <w:tcW w:w="1275"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rFonts w:ascii="Calibri" w:hAnsi="Calibri" w:cs="Calibri"/>
                <w:b w:val="0"/>
                <w:color w:val="000000"/>
                <w:kern w:val="24"/>
                <w:sz w:val="18"/>
                <w:szCs w:val="18"/>
                <w:u w:color="000000"/>
                <w:bdr w:val="nil"/>
                <w:lang w:val="es-ES_tradnl" w:eastAsia="es-CL"/>
              </w:rPr>
              <w:t>35.234.006</w:t>
            </w:r>
          </w:p>
        </w:tc>
        <w:tc>
          <w:tcPr>
            <w:tcW w:w="1276"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rFonts w:ascii="Calibri" w:hAnsi="Calibri" w:cs="Calibri"/>
                <w:b w:val="0"/>
                <w:color w:val="000000"/>
                <w:kern w:val="24"/>
                <w:sz w:val="18"/>
                <w:szCs w:val="18"/>
                <w:u w:color="000000"/>
                <w:bdr w:val="nil"/>
                <w:lang w:val="es-ES_tradnl" w:eastAsia="es-CL"/>
              </w:rPr>
              <w:t>36.168.992</w:t>
            </w:r>
          </w:p>
        </w:tc>
        <w:tc>
          <w:tcPr>
            <w:tcW w:w="1367"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rFonts w:ascii="Calibri" w:hAnsi="Calibri" w:cs="Calibri"/>
                <w:b w:val="0"/>
                <w:color w:val="000000"/>
                <w:kern w:val="24"/>
                <w:sz w:val="18"/>
                <w:szCs w:val="18"/>
                <w:u w:color="000000"/>
                <w:bdr w:val="nil"/>
                <w:lang w:val="es-ES_tradnl" w:eastAsia="es-CL"/>
              </w:rPr>
              <w:t>934.986</w:t>
            </w:r>
          </w:p>
        </w:tc>
        <w:tc>
          <w:tcPr>
            <w:tcW w:w="1057"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rFonts w:ascii="Calibri" w:hAnsi="Calibri" w:cs="Calibri"/>
                <w:b w:val="0"/>
                <w:color w:val="000000"/>
                <w:kern w:val="24"/>
                <w:sz w:val="18"/>
                <w:szCs w:val="18"/>
                <w:u w:color="000000"/>
                <w:bdr w:val="nil"/>
                <w:lang w:val="es-ES_tradnl" w:eastAsia="es-CL"/>
              </w:rPr>
              <w:t>2,7%</w:t>
            </w:r>
          </w:p>
        </w:tc>
      </w:tr>
      <w:tr>
        <w:tblPrEx>
          <w:tblCellMar>
            <w:top w:w="0" w:type="dxa"/>
            <w:left w:w="0" w:type="dxa"/>
            <w:bottom w:w="0" w:type="dxa"/>
            <w:right w:w="0" w:type="dxa"/>
          </w:tblCellMar>
        </w:tblPrEx>
        <w:trPr>
          <w:trHeight w:val="745"/>
        </w:trPr>
        <w:tc>
          <w:tcPr>
            <w:tcW w:w="4068"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left"/>
              <w:rPr>
                <w:rFonts w:eastAsia="Arial"/>
                <w:b w:val="0"/>
                <w:color w:val="000000"/>
                <w:sz w:val="18"/>
                <w:szCs w:val="18"/>
                <w:u w:color="000000"/>
                <w:bdr w:val="nil"/>
                <w:lang w:val="es-ES_tradnl" w:eastAsia="es-CL"/>
              </w:rPr>
            </w:pPr>
            <w:r>
              <w:rPr>
                <w:rFonts w:ascii="Calibri" w:hAnsi="Calibri" w:cs="Calibri"/>
                <w:b w:val="0"/>
                <w:color w:val="000000"/>
                <w:kern w:val="24"/>
                <w:sz w:val="18"/>
                <w:szCs w:val="18"/>
                <w:u w:color="000000"/>
                <w:bdr w:val="nil"/>
                <w:lang w:val="es-ES_tradnl" w:eastAsia="es-CL"/>
              </w:rPr>
              <w:t>Bienes y Servicios de Consumo  (Subtítulo 22)</w:t>
            </w:r>
          </w:p>
        </w:tc>
        <w:tc>
          <w:tcPr>
            <w:tcW w:w="1275"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rFonts w:ascii="Calibri" w:hAnsi="Calibri" w:cs="Calibri"/>
                <w:b w:val="0"/>
                <w:color w:val="000000"/>
                <w:kern w:val="24"/>
                <w:sz w:val="18"/>
                <w:szCs w:val="18"/>
                <w:u w:color="000000"/>
                <w:bdr w:val="nil"/>
                <w:lang w:val="es-ES_tradnl" w:eastAsia="es-CL"/>
              </w:rPr>
              <w:t>12.149.864</w:t>
            </w:r>
          </w:p>
        </w:tc>
        <w:tc>
          <w:tcPr>
            <w:tcW w:w="1276"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rFonts w:ascii="Calibri" w:hAnsi="Calibri" w:cs="Calibri"/>
                <w:b w:val="0"/>
                <w:color w:val="000000"/>
                <w:kern w:val="24"/>
                <w:sz w:val="18"/>
                <w:szCs w:val="18"/>
                <w:u w:color="000000"/>
                <w:bdr w:val="nil"/>
                <w:lang w:val="es-ES_tradnl" w:eastAsia="es-CL"/>
              </w:rPr>
              <w:t>11.658.252</w:t>
            </w:r>
          </w:p>
        </w:tc>
        <w:tc>
          <w:tcPr>
            <w:tcW w:w="1367"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rFonts w:ascii="Calibri" w:hAnsi="Calibri" w:cs="Calibri"/>
                <w:b w:val="0"/>
                <w:color w:val="000000"/>
                <w:kern w:val="24"/>
                <w:sz w:val="18"/>
                <w:szCs w:val="18"/>
                <w:u w:color="000000"/>
                <w:bdr w:val="nil"/>
                <w:lang w:val="es-ES_tradnl" w:eastAsia="es-CL"/>
              </w:rPr>
              <w:t>-491.612</w:t>
            </w:r>
          </w:p>
        </w:tc>
        <w:tc>
          <w:tcPr>
            <w:tcW w:w="1057"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rFonts w:ascii="Calibri" w:hAnsi="Calibri" w:cs="Calibri"/>
                <w:b w:val="0"/>
                <w:color w:val="000000"/>
                <w:kern w:val="24"/>
                <w:sz w:val="18"/>
                <w:szCs w:val="18"/>
                <w:u w:color="000000"/>
                <w:bdr w:val="nil"/>
                <w:lang w:val="es-ES_tradnl" w:eastAsia="es-CL"/>
              </w:rPr>
              <w:t>-4,0%</w:t>
            </w:r>
          </w:p>
        </w:tc>
      </w:tr>
      <w:tr>
        <w:tblPrEx>
          <w:tblCellMar>
            <w:top w:w="0" w:type="dxa"/>
            <w:left w:w="0" w:type="dxa"/>
            <w:bottom w:w="0" w:type="dxa"/>
            <w:right w:w="0" w:type="dxa"/>
          </w:tblCellMar>
        </w:tblPrEx>
        <w:trPr>
          <w:trHeight w:val="745"/>
        </w:trPr>
        <w:tc>
          <w:tcPr>
            <w:tcW w:w="4068"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left"/>
              <w:rPr>
                <w:rFonts w:eastAsia="Arial"/>
                <w:b w:val="0"/>
                <w:color w:val="000000"/>
                <w:sz w:val="18"/>
                <w:szCs w:val="18"/>
                <w:u w:color="000000"/>
                <w:bdr w:val="nil"/>
                <w:lang w:val="es-ES_tradnl" w:eastAsia="es-CL"/>
              </w:rPr>
            </w:pPr>
            <w:r>
              <w:rPr>
                <w:rFonts w:ascii="Calibri" w:hAnsi="Calibri" w:cs="Calibri"/>
                <w:b w:val="0"/>
                <w:color w:val="000000"/>
                <w:kern w:val="24"/>
                <w:sz w:val="18"/>
                <w:szCs w:val="18"/>
                <w:u w:color="000000"/>
                <w:bdr w:val="nil"/>
                <w:lang w:val="es-ES_tradnl" w:eastAsia="es-CL"/>
              </w:rPr>
              <w:t>Adquisición de Activos no financieros  (Subtítulo 29)</w:t>
            </w:r>
          </w:p>
        </w:tc>
        <w:tc>
          <w:tcPr>
            <w:tcW w:w="1275"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rFonts w:ascii="Calibri" w:hAnsi="Calibri" w:cs="Calibri"/>
                <w:b w:val="0"/>
                <w:color w:val="000000"/>
                <w:kern w:val="24"/>
                <w:sz w:val="18"/>
                <w:szCs w:val="18"/>
                <w:u w:color="000000"/>
                <w:bdr w:val="nil"/>
                <w:lang w:val="es-ES_tradnl" w:eastAsia="es-CL"/>
              </w:rPr>
              <w:t>7.359.174</w:t>
            </w:r>
          </w:p>
        </w:tc>
        <w:tc>
          <w:tcPr>
            <w:tcW w:w="1276"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rFonts w:ascii="Calibri" w:hAnsi="Calibri" w:cs="Calibri"/>
                <w:b w:val="0"/>
                <w:color w:val="000000"/>
                <w:kern w:val="24"/>
                <w:sz w:val="18"/>
                <w:szCs w:val="18"/>
                <w:u w:color="000000"/>
                <w:bdr w:val="nil"/>
                <w:lang w:val="es-ES_tradnl" w:eastAsia="es-CL"/>
              </w:rPr>
              <w:t>7.206.697</w:t>
            </w:r>
          </w:p>
        </w:tc>
        <w:tc>
          <w:tcPr>
            <w:tcW w:w="1367"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rFonts w:ascii="Calibri" w:hAnsi="Calibri" w:cs="Calibri"/>
                <w:b w:val="0"/>
                <w:color w:val="000000"/>
                <w:kern w:val="24"/>
                <w:sz w:val="18"/>
                <w:szCs w:val="18"/>
                <w:u w:color="000000"/>
                <w:bdr w:val="nil"/>
                <w:lang w:val="es-ES_tradnl" w:eastAsia="es-CL"/>
              </w:rPr>
              <w:t>-152.477</w:t>
            </w:r>
          </w:p>
        </w:tc>
        <w:tc>
          <w:tcPr>
            <w:tcW w:w="1057"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rFonts w:ascii="Calibri" w:hAnsi="Calibri" w:cs="Calibri"/>
                <w:b w:val="0"/>
                <w:color w:val="000000"/>
                <w:kern w:val="24"/>
                <w:sz w:val="18"/>
                <w:szCs w:val="18"/>
                <w:u w:color="000000"/>
                <w:bdr w:val="nil"/>
                <w:lang w:val="es-ES_tradnl" w:eastAsia="es-CL"/>
              </w:rPr>
              <w:t>-2,1%</w:t>
            </w:r>
          </w:p>
        </w:tc>
      </w:tr>
      <w:tr>
        <w:tblPrEx>
          <w:tblCellMar>
            <w:top w:w="0" w:type="dxa"/>
            <w:left w:w="0" w:type="dxa"/>
            <w:bottom w:w="0" w:type="dxa"/>
            <w:right w:w="0" w:type="dxa"/>
          </w:tblCellMar>
        </w:tblPrEx>
        <w:trPr>
          <w:trHeight w:val="494"/>
        </w:trPr>
        <w:tc>
          <w:tcPr>
            <w:tcW w:w="4068"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left"/>
              <w:rPr>
                <w:rFonts w:eastAsia="Arial"/>
                <w:b w:val="0"/>
                <w:color w:val="000000"/>
                <w:sz w:val="18"/>
                <w:szCs w:val="18"/>
                <w:u w:color="000000"/>
                <w:bdr w:val="nil"/>
                <w:lang w:val="es-ES_tradnl" w:eastAsia="es-CL"/>
              </w:rPr>
            </w:pPr>
            <w:r>
              <w:rPr>
                <w:rFonts w:ascii="Calibri" w:hAnsi="Calibri" w:cs="Calibri"/>
                <w:b w:val="0"/>
                <w:color w:val="000000"/>
                <w:kern w:val="24"/>
                <w:sz w:val="18"/>
                <w:szCs w:val="18"/>
                <w:u w:color="000000"/>
                <w:bdr w:val="nil"/>
                <w:lang w:val="es-ES_tradnl" w:eastAsia="es-CL"/>
              </w:rPr>
              <w:t>Iniciativas de Inversión  (Subtítulo 31)</w:t>
            </w:r>
          </w:p>
        </w:tc>
        <w:tc>
          <w:tcPr>
            <w:tcW w:w="1275"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rFonts w:ascii="Calibri" w:hAnsi="Calibri" w:cs="Calibri"/>
                <w:b w:val="0"/>
                <w:color w:val="000000"/>
                <w:kern w:val="24"/>
                <w:sz w:val="18"/>
                <w:szCs w:val="18"/>
                <w:u w:color="000000"/>
                <w:bdr w:val="nil"/>
                <w:lang w:val="es-ES_tradnl" w:eastAsia="es-CL"/>
              </w:rPr>
              <w:t>0</w:t>
            </w:r>
          </w:p>
        </w:tc>
        <w:tc>
          <w:tcPr>
            <w:tcW w:w="1276"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rFonts w:ascii="Calibri" w:hAnsi="Calibri" w:cs="Calibri"/>
                <w:b w:val="0"/>
                <w:color w:val="000000"/>
                <w:kern w:val="24"/>
                <w:sz w:val="18"/>
                <w:szCs w:val="18"/>
                <w:u w:color="000000"/>
                <w:bdr w:val="nil"/>
                <w:lang w:val="es-ES_tradnl" w:eastAsia="es-CL"/>
              </w:rPr>
              <w:t>0</w:t>
            </w:r>
          </w:p>
        </w:tc>
        <w:tc>
          <w:tcPr>
            <w:tcW w:w="1367"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rFonts w:ascii="Calibri" w:hAnsi="Calibri" w:cs="Calibri"/>
                <w:b w:val="0"/>
                <w:color w:val="000000"/>
                <w:kern w:val="24"/>
                <w:sz w:val="18"/>
                <w:szCs w:val="18"/>
                <w:u w:color="000000"/>
                <w:bdr w:val="nil"/>
                <w:lang w:val="es-ES_tradnl" w:eastAsia="es-CL"/>
              </w:rPr>
              <w:t>0</w:t>
            </w:r>
          </w:p>
        </w:tc>
        <w:tc>
          <w:tcPr>
            <w:tcW w:w="1057"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rFonts w:ascii="Calibri" w:hAnsi="Calibri" w:cs="Calibri"/>
                <w:b w:val="0"/>
                <w:color w:val="000000"/>
                <w:kern w:val="24"/>
                <w:sz w:val="18"/>
                <w:szCs w:val="18"/>
                <w:u w:color="000000"/>
                <w:bdr w:val="nil"/>
                <w:lang w:val="es-ES_tradnl" w:eastAsia="es-CL"/>
              </w:rPr>
              <w:t>0,0%</w:t>
            </w:r>
          </w:p>
        </w:tc>
      </w:tr>
      <w:tr>
        <w:tblPrEx>
          <w:tblCellMar>
            <w:top w:w="0" w:type="dxa"/>
            <w:left w:w="0" w:type="dxa"/>
            <w:bottom w:w="0" w:type="dxa"/>
            <w:right w:w="0" w:type="dxa"/>
          </w:tblCellMar>
        </w:tblPrEx>
        <w:trPr>
          <w:trHeight w:val="318"/>
        </w:trPr>
        <w:tc>
          <w:tcPr>
            <w:tcW w:w="4068"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left"/>
              <w:rPr>
                <w:rFonts w:eastAsia="Arial"/>
                <w:b w:val="0"/>
                <w:color w:val="000000"/>
                <w:sz w:val="18"/>
                <w:szCs w:val="18"/>
                <w:u w:color="000000"/>
                <w:bdr w:val="nil"/>
                <w:lang w:val="es-ES_tradnl" w:eastAsia="es-CL"/>
              </w:rPr>
            </w:pPr>
            <w:r>
              <w:rPr>
                <w:rFonts w:ascii="Calibri" w:hAnsi="Calibri" w:cs="Calibri"/>
                <w:b w:val="0"/>
                <w:color w:val="000000"/>
                <w:kern w:val="24"/>
                <w:sz w:val="18"/>
                <w:szCs w:val="18"/>
                <w:u w:color="000000"/>
                <w:bdr w:val="nil"/>
                <w:lang w:val="es-ES_tradnl" w:eastAsia="es-CL"/>
              </w:rPr>
              <w:t>Servicio de la Deuda  (Subtítulo 34)</w:t>
            </w:r>
          </w:p>
        </w:tc>
        <w:tc>
          <w:tcPr>
            <w:tcW w:w="1275"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rFonts w:ascii="Calibri" w:hAnsi="Calibri" w:cs="Calibri"/>
                <w:b w:val="0"/>
                <w:color w:val="000000"/>
                <w:kern w:val="24"/>
                <w:sz w:val="18"/>
                <w:szCs w:val="18"/>
                <w:u w:color="000000"/>
                <w:bdr w:val="nil"/>
                <w:lang w:val="es-ES_tradnl" w:eastAsia="es-CL"/>
              </w:rPr>
              <w:t>10</w:t>
            </w:r>
          </w:p>
        </w:tc>
        <w:tc>
          <w:tcPr>
            <w:tcW w:w="1276"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rFonts w:ascii="Calibri" w:hAnsi="Calibri" w:cs="Calibri"/>
                <w:b w:val="0"/>
                <w:color w:val="000000"/>
                <w:kern w:val="24"/>
                <w:sz w:val="18"/>
                <w:szCs w:val="18"/>
                <w:u w:color="000000"/>
                <w:bdr w:val="nil"/>
                <w:lang w:val="es-ES_tradnl" w:eastAsia="es-CL"/>
              </w:rPr>
              <w:t>0</w:t>
            </w:r>
          </w:p>
        </w:tc>
        <w:tc>
          <w:tcPr>
            <w:tcW w:w="1367"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rFonts w:ascii="Calibri" w:hAnsi="Calibri" w:cs="Calibri"/>
                <w:b w:val="0"/>
                <w:color w:val="000000"/>
                <w:kern w:val="24"/>
                <w:sz w:val="18"/>
                <w:szCs w:val="18"/>
                <w:u w:color="000000"/>
                <w:bdr w:val="nil"/>
                <w:lang w:val="es-ES_tradnl" w:eastAsia="es-CL"/>
              </w:rPr>
              <w:t>-10</w:t>
            </w:r>
          </w:p>
        </w:tc>
        <w:tc>
          <w:tcPr>
            <w:tcW w:w="1057"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rFonts w:ascii="Calibri" w:hAnsi="Calibri" w:cs="Calibri"/>
                <w:b w:val="0"/>
                <w:color w:val="000000"/>
                <w:kern w:val="24"/>
                <w:sz w:val="18"/>
                <w:szCs w:val="18"/>
                <w:u w:color="000000"/>
                <w:bdr w:val="nil"/>
                <w:lang w:val="es-ES_tradnl" w:eastAsia="es-CL"/>
              </w:rPr>
              <w:t>-100,0%</w:t>
            </w:r>
          </w:p>
        </w:tc>
      </w:tr>
      <w:tr>
        <w:tblPrEx>
          <w:tblCellMar>
            <w:top w:w="0" w:type="dxa"/>
            <w:left w:w="0" w:type="dxa"/>
            <w:bottom w:w="0" w:type="dxa"/>
            <w:right w:w="0" w:type="dxa"/>
          </w:tblCellMar>
        </w:tblPrEx>
        <w:trPr>
          <w:trHeight w:val="494"/>
        </w:trPr>
        <w:tc>
          <w:tcPr>
            <w:tcW w:w="4068" w:type="dxa"/>
            <w:tcBorders>
              <w:top w:val="single" w:sz="8" w:space="0" w:color="FFFFFF"/>
              <w:left w:val="single" w:sz="8" w:space="0" w:color="FFFFFF"/>
              <w:bottom w:val="single" w:sz="8" w:space="0" w:color="FFFFFF"/>
              <w:right w:val="single" w:sz="8" w:space="0" w:color="FFFFFF"/>
            </w:tcBorders>
            <w:shd w:val="clear" w:color="auto" w:fill="B9CDE5"/>
            <w:tcMar>
              <w:top w:w="80" w:type="dxa"/>
              <w:left w:w="80" w:type="dxa"/>
              <w:bottom w:w="80" w:type="dxa"/>
              <w:right w:w="80" w:type="dxa"/>
            </w:tcMar>
            <w:vAlign w:val="center"/>
          </w:tcPr>
          <w:p>
            <w:pPr>
              <w:pBdr>
                <w:top w:val="nil"/>
                <w:left w:val="nil"/>
                <w:bottom w:val="nil"/>
                <w:right w:val="nil"/>
                <w:between w:val="nil"/>
                <w:bar w:val="nil"/>
              </w:pBdr>
              <w:tabs>
                <w:tab w:val="clear" w:pos="2835"/>
              </w:tabs>
              <w:jc w:val="left"/>
              <w:rPr>
                <w:rFonts w:eastAsia="Arial"/>
                <w:b w:val="0"/>
                <w:color w:val="000000"/>
                <w:sz w:val="18"/>
                <w:szCs w:val="18"/>
                <w:u w:color="000000"/>
                <w:bdr w:val="nil"/>
                <w:lang w:val="es-ES_tradnl" w:eastAsia="es-CL"/>
              </w:rPr>
            </w:pPr>
            <w:r>
              <w:rPr>
                <w:rFonts w:ascii="Calibri" w:hAnsi="Calibri" w:cs="Calibri"/>
                <w:bCs/>
                <w:color w:val="000000"/>
                <w:kern w:val="24"/>
                <w:sz w:val="18"/>
                <w:szCs w:val="18"/>
                <w:u w:color="000000"/>
                <w:bdr w:val="nil"/>
                <w:lang w:val="es-ES_tradnl" w:eastAsia="es-CL"/>
              </w:rPr>
              <w:t>Gasto neto (*)</w:t>
            </w:r>
          </w:p>
        </w:tc>
        <w:tc>
          <w:tcPr>
            <w:tcW w:w="1275" w:type="dxa"/>
            <w:tcBorders>
              <w:top w:val="single" w:sz="8" w:space="0" w:color="FFFFFF"/>
              <w:left w:val="single" w:sz="8" w:space="0" w:color="FFFFFF"/>
              <w:bottom w:val="single" w:sz="8" w:space="0" w:color="FFFFFF"/>
              <w:right w:val="single" w:sz="8" w:space="0" w:color="FFFFFF"/>
            </w:tcBorders>
            <w:shd w:val="clear" w:color="auto" w:fill="B9CDE5"/>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rFonts w:ascii="Calibri" w:hAnsi="Calibri" w:cs="Calibri"/>
                <w:bCs/>
                <w:color w:val="000000"/>
                <w:kern w:val="24"/>
                <w:sz w:val="18"/>
                <w:szCs w:val="18"/>
                <w:u w:color="000000"/>
                <w:bdr w:val="nil"/>
                <w:lang w:val="es-ES_tradnl" w:eastAsia="es-CL"/>
              </w:rPr>
              <w:t>54.743.044</w:t>
            </w:r>
          </w:p>
        </w:tc>
        <w:tc>
          <w:tcPr>
            <w:tcW w:w="1276" w:type="dxa"/>
            <w:tcBorders>
              <w:top w:val="single" w:sz="8" w:space="0" w:color="FFFFFF"/>
              <w:left w:val="single" w:sz="8" w:space="0" w:color="FFFFFF"/>
              <w:bottom w:val="single" w:sz="8" w:space="0" w:color="FFFFFF"/>
              <w:right w:val="single" w:sz="8" w:space="0" w:color="FFFFFF"/>
            </w:tcBorders>
            <w:shd w:val="clear" w:color="auto" w:fill="B9CDE5"/>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rFonts w:ascii="Calibri" w:hAnsi="Calibri" w:cs="Calibri"/>
                <w:bCs/>
                <w:color w:val="000000"/>
                <w:kern w:val="24"/>
                <w:sz w:val="18"/>
                <w:szCs w:val="18"/>
                <w:u w:color="000000"/>
                <w:bdr w:val="nil"/>
                <w:lang w:val="es-ES_tradnl" w:eastAsia="es-CL"/>
              </w:rPr>
              <w:t>55.033.941</w:t>
            </w:r>
          </w:p>
        </w:tc>
        <w:tc>
          <w:tcPr>
            <w:tcW w:w="1367" w:type="dxa"/>
            <w:tcBorders>
              <w:top w:val="single" w:sz="8" w:space="0" w:color="FFFFFF"/>
              <w:left w:val="single" w:sz="8" w:space="0" w:color="FFFFFF"/>
              <w:bottom w:val="single" w:sz="8" w:space="0" w:color="FFFFFF"/>
              <w:right w:val="single" w:sz="8" w:space="0" w:color="FFFFFF"/>
            </w:tcBorders>
            <w:shd w:val="clear" w:color="auto" w:fill="B9CDE5"/>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rFonts w:ascii="Calibri" w:hAnsi="Calibri" w:cs="Calibri"/>
                <w:bCs/>
                <w:color w:val="000000"/>
                <w:kern w:val="24"/>
                <w:sz w:val="18"/>
                <w:szCs w:val="18"/>
                <w:u w:color="000000"/>
                <w:bdr w:val="nil"/>
                <w:lang w:val="es-ES_tradnl" w:eastAsia="es-CL"/>
              </w:rPr>
              <w:t>290.897</w:t>
            </w:r>
          </w:p>
        </w:tc>
        <w:tc>
          <w:tcPr>
            <w:tcW w:w="1057" w:type="dxa"/>
            <w:tcBorders>
              <w:top w:val="single" w:sz="8" w:space="0" w:color="FFFFFF"/>
              <w:left w:val="single" w:sz="8" w:space="0" w:color="FFFFFF"/>
              <w:bottom w:val="single" w:sz="8" w:space="0" w:color="FFFFFF"/>
              <w:right w:val="single" w:sz="8" w:space="0" w:color="FFFFFF"/>
            </w:tcBorders>
            <w:shd w:val="clear" w:color="auto" w:fill="C6D9F1"/>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rFonts w:ascii="Calibri" w:hAnsi="Calibri" w:cs="Calibri"/>
                <w:bCs/>
                <w:color w:val="000000"/>
                <w:kern w:val="24"/>
                <w:sz w:val="18"/>
                <w:szCs w:val="18"/>
                <w:u w:color="000000"/>
                <w:bdr w:val="nil"/>
                <w:lang w:val="es-ES_tradnl" w:eastAsia="es-CL"/>
              </w:rPr>
              <w:t>0,5%</w:t>
            </w:r>
          </w:p>
        </w:tc>
      </w:tr>
    </w:tbl>
    <w:p>
      <w:pPr>
        <w:pBdr>
          <w:top w:val="nil"/>
          <w:left w:val="nil"/>
          <w:bottom w:val="nil"/>
          <w:right w:val="nil"/>
          <w:between w:val="nil"/>
          <w:bar w:val="nil"/>
        </w:pBdr>
        <w:rPr>
          <w:rFonts w:eastAsia="Arial"/>
          <w:bCs/>
          <w:color w:val="000000"/>
          <w:u w:color="000000"/>
          <w:bdr w:val="nil"/>
          <w:lang w:val="es-ES_tradnl" w:eastAsia="es-CL"/>
        </w:rPr>
      </w:pPr>
      <w:r>
        <w:rPr>
          <w:rFonts w:eastAsia="Arial Unicode MS" w:cs="Arial Unicode MS"/>
          <w:bCs/>
          <w:color w:val="000000"/>
          <w:u w:color="000000"/>
          <w:bdr w:val="nil"/>
          <w:lang w:val="es-ES_tradnl" w:eastAsia="es-CL"/>
        </w:rPr>
        <w:t>(*) Gasto de Estado de Operaciones = GASTOS-(Subt.25+30+32+34+35) + Ítem25.01+Intereses y Otros Gastos Financieros de Deuda</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En este punto, explicó las variaciones presupuestarias de los Subtítulos 21, 22 y 29.</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Cs/>
          <w:color w:val="000000"/>
          <w:u w:color="000000"/>
          <w:bdr w:val="nil"/>
          <w:lang w:val="es-ES_tradnl" w:eastAsia="es-CL"/>
        </w:rPr>
        <w:tab/>
        <w:t>- Subtitulo 21: Gasto en Personal</w:t>
      </w:r>
      <w:r>
        <w:rPr>
          <w:rFonts w:eastAsia="Arial Unicode MS" w:cs="Arial Unicode MS"/>
          <w:b w:val="0"/>
          <w:color w:val="000000"/>
          <w:u w:color="000000"/>
          <w:bdr w:val="nil"/>
          <w:lang w:val="es-ES_tradnl" w:eastAsia="es-CL"/>
        </w:rPr>
        <w:t>: se registra un aumento de 2,7%, lo que equivale a MM$ 935, para: a) la contratación de 45 nuevos funcionarios (42 relacionados al proyecto de Reforma Tributaria y 3 al de Fiscalización de Egresos No Tributarios), todo a contar del último trimestre del año 2017 y b) por el efecto de las incorporaciones realizadas durante el presente año.</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Cs/>
          <w:color w:val="000000"/>
          <w:u w:color="000000"/>
          <w:bdr w:val="nil"/>
          <w:lang w:val="es-ES_tradnl" w:eastAsia="es-CL"/>
        </w:rPr>
        <w:tab/>
        <w:t>- Subtitulo 22: Bienes y Servicios de Consumo</w:t>
      </w:r>
      <w:r>
        <w:rPr>
          <w:rFonts w:eastAsia="Arial Unicode MS" w:cs="Arial Unicode MS"/>
          <w:b w:val="0"/>
          <w:color w:val="000000"/>
          <w:u w:color="000000"/>
          <w:bdr w:val="nil"/>
          <w:lang w:val="es-ES_tradnl" w:eastAsia="es-CL"/>
        </w:rPr>
        <w:t>:</w:t>
      </w: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se proyecta una reducción de un 4,0%, acorde con lo aplicado a todos los servicios públicos. Asimismo, se indica que si bien la contracción altera los costos fijos, ello será afrontado con ciertas medidas de eficiencia: energética, mantención preventiva, reajustabilidad de arriendos, aumento de convenios con municipios (gasto en avisajes de remates).</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Unicode MS" w:cs="Arial Unicode MS"/>
          <w:bCs/>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Cs/>
          <w:color w:val="000000"/>
          <w:u w:color="000000"/>
          <w:bdr w:val="nil"/>
          <w:lang w:val="es-ES_tradnl" w:eastAsia="es-CL"/>
        </w:rPr>
        <w:tab/>
        <w:t>- Subtitulo 29: Adquisición de Activos no Financieros</w:t>
      </w:r>
      <w:r>
        <w:rPr>
          <w:rFonts w:eastAsia="Arial Unicode MS" w:cs="Arial Unicode MS"/>
          <w:b w:val="0"/>
          <w:color w:val="000000"/>
          <w:u w:color="000000"/>
          <w:bdr w:val="nil"/>
          <w:lang w:val="es-ES_tradnl" w:eastAsia="es-CL"/>
        </w:rPr>
        <w:t>: se observa una reducción de  un 2,1%, lo que no afecta el financiamiento de a) los proyectos de mejora informática y b) la operación y renovación normal de tecnológica y equipamiento (fortalecimiento del Data Center del Servicio de Tesorerías)</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En seguida, describió las metas estratégicas del órgano del cual es titular a través de los siguientes recuadros.</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jc w:val="center"/>
        <w:rPr>
          <w:rFonts w:eastAsia="Arial"/>
          <w:bCs/>
          <w:color w:val="000000"/>
          <w:u w:color="000000"/>
          <w:bdr w:val="nil"/>
          <w:lang w:val="es-ES_tradnl" w:eastAsia="es-CL"/>
        </w:rPr>
      </w:pPr>
      <w:r>
        <w:rPr>
          <w:rFonts w:eastAsia="Arial"/>
          <w:bCs/>
          <w:color w:val="000000"/>
          <w:u w:color="000000"/>
          <w:bdr w:val="nil"/>
          <w:lang w:val="es-ES_tradnl" w:eastAsia="es-CL"/>
        </w:rPr>
        <w:t>Metas Estratégicas</w:t>
      </w:r>
    </w:p>
    <w:p>
      <w:pPr>
        <w:pBdr>
          <w:top w:val="nil"/>
          <w:left w:val="nil"/>
          <w:bottom w:val="nil"/>
          <w:right w:val="nil"/>
          <w:between w:val="nil"/>
          <w:bar w:val="nil"/>
        </w:pBdr>
        <w:jc w:val="center"/>
        <w:rPr>
          <w:rFonts w:eastAsia="Arial"/>
          <w:bCs/>
          <w:color w:val="000000"/>
          <w:u w:color="000000"/>
          <w:bdr w:val="nil"/>
          <w:lang w:val="es-ES_tradnl" w:eastAsia="es-CL"/>
        </w:rPr>
      </w:pPr>
      <w:r>
        <w:rPr>
          <w:rFonts w:eastAsia="Arial"/>
          <w:bCs/>
          <w:color w:val="000000"/>
          <w:u w:color="000000"/>
          <w:bdr w:val="nil"/>
          <w:lang w:val="es-ES_tradnl" w:eastAsia="es-CL"/>
        </w:rPr>
        <w:t>Producto Estratégico Recaudación</w:t>
      </w:r>
    </w:p>
    <w:tbl>
      <w:tblPr>
        <w:tblW w:w="9746" w:type="dxa"/>
        <w:jc w:val="center"/>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3441"/>
        <w:gridCol w:w="897"/>
        <w:gridCol w:w="1142"/>
        <w:gridCol w:w="4266"/>
      </w:tblGrid>
      <w:tr>
        <w:tblPrEx>
          <w:tblCellMar>
            <w:top w:w="0" w:type="dxa"/>
            <w:left w:w="0" w:type="dxa"/>
            <w:bottom w:w="0" w:type="dxa"/>
            <w:right w:w="0" w:type="dxa"/>
          </w:tblCellMar>
        </w:tblPrEx>
        <w:trPr>
          <w:trHeight w:val="549"/>
          <w:jc w:val="center"/>
        </w:trPr>
        <w:tc>
          <w:tcPr>
            <w:tcW w:w="3441" w:type="dxa"/>
            <w:tcBorders>
              <w:top w:val="single" w:sz="8" w:space="0" w:color="FFFFFF"/>
              <w:left w:val="single" w:sz="8" w:space="0" w:color="FFFFFF"/>
              <w:bottom w:val="single" w:sz="24" w:space="0" w:color="FFFFFF"/>
              <w:right w:val="single" w:sz="8" w:space="0" w:color="FFFFFF"/>
            </w:tcBorders>
            <w:shd w:val="clear" w:color="auto" w:fill="4F81BD"/>
            <w:tcMar>
              <w:top w:w="80" w:type="dxa"/>
              <w:left w:w="80" w:type="dxa"/>
              <w:bottom w:w="80" w:type="dxa"/>
              <w:right w:w="80" w:type="dxa"/>
            </w:tcMar>
          </w:tcPr>
          <w:p>
            <w:pPr>
              <w:pBdr>
                <w:top w:val="nil"/>
                <w:left w:val="nil"/>
                <w:bottom w:val="nil"/>
                <w:right w:val="nil"/>
                <w:between w:val="nil"/>
                <w:bar w:val="nil"/>
              </w:pBdr>
              <w:tabs>
                <w:tab w:val="clear" w:pos="2835"/>
              </w:tabs>
              <w:jc w:val="center"/>
              <w:rPr>
                <w:rFonts w:eastAsia="Arial"/>
                <w:b w:val="0"/>
                <w:color w:val="000000"/>
                <w:sz w:val="20"/>
                <w:szCs w:val="20"/>
                <w:u w:color="000000"/>
                <w:bdr w:val="nil"/>
                <w:lang w:val="es-ES_tradnl" w:eastAsia="es-CL"/>
              </w:rPr>
            </w:pPr>
            <w:r>
              <w:rPr>
                <w:bCs/>
                <w:color w:val="FFFFFF"/>
                <w:kern w:val="24"/>
                <w:sz w:val="20"/>
                <w:szCs w:val="20"/>
                <w:u w:color="FFFFFF"/>
                <w:bdr w:val="nil"/>
                <w:lang w:val="es-ES_tradnl" w:eastAsia="es-CL"/>
              </w:rPr>
              <w:t>Iniciativa</w:t>
            </w:r>
          </w:p>
        </w:tc>
        <w:tc>
          <w:tcPr>
            <w:tcW w:w="897" w:type="dxa"/>
            <w:tcBorders>
              <w:top w:val="single" w:sz="8" w:space="0" w:color="FFFFFF"/>
              <w:left w:val="single" w:sz="8" w:space="0" w:color="FFFFFF"/>
              <w:bottom w:val="single" w:sz="24" w:space="0" w:color="FFFFFF"/>
              <w:right w:val="single" w:sz="8" w:space="0" w:color="FFFFFF"/>
            </w:tcBorders>
            <w:shd w:val="clear" w:color="auto" w:fill="4F81BD"/>
            <w:tcMar>
              <w:top w:w="80" w:type="dxa"/>
              <w:left w:w="80" w:type="dxa"/>
              <w:bottom w:w="80" w:type="dxa"/>
              <w:right w:w="80" w:type="dxa"/>
            </w:tcMar>
          </w:tcPr>
          <w:p>
            <w:pPr>
              <w:pBdr>
                <w:top w:val="nil"/>
                <w:left w:val="nil"/>
                <w:bottom w:val="nil"/>
                <w:right w:val="nil"/>
                <w:between w:val="nil"/>
                <w:bar w:val="nil"/>
              </w:pBdr>
              <w:tabs>
                <w:tab w:val="clear" w:pos="2835"/>
              </w:tabs>
              <w:jc w:val="center"/>
              <w:rPr>
                <w:rFonts w:eastAsia="Arial"/>
                <w:b w:val="0"/>
                <w:color w:val="000000"/>
                <w:sz w:val="20"/>
                <w:szCs w:val="20"/>
                <w:u w:color="000000"/>
                <w:bdr w:val="nil"/>
                <w:lang w:val="es-ES_tradnl" w:eastAsia="es-CL"/>
              </w:rPr>
            </w:pPr>
            <w:r>
              <w:rPr>
                <w:bCs/>
                <w:color w:val="FFFFFF"/>
                <w:kern w:val="24"/>
                <w:sz w:val="20"/>
                <w:szCs w:val="20"/>
                <w:u w:color="FFFFFF"/>
                <w:bdr w:val="nil"/>
                <w:lang w:val="es-ES_tradnl" w:eastAsia="es-CL"/>
              </w:rPr>
              <w:t>Meta</w:t>
            </w:r>
          </w:p>
        </w:tc>
        <w:tc>
          <w:tcPr>
            <w:tcW w:w="1142" w:type="dxa"/>
            <w:tcBorders>
              <w:top w:val="single" w:sz="8" w:space="0" w:color="FFFFFF"/>
              <w:left w:val="single" w:sz="8" w:space="0" w:color="FFFFFF"/>
              <w:bottom w:val="single" w:sz="24" w:space="0" w:color="FFFFFF"/>
              <w:right w:val="single" w:sz="8" w:space="0" w:color="FFFFFF"/>
            </w:tcBorders>
            <w:shd w:val="clear" w:color="auto" w:fill="4F81BD"/>
            <w:tcMar>
              <w:top w:w="80" w:type="dxa"/>
              <w:left w:w="80" w:type="dxa"/>
              <w:bottom w:w="80" w:type="dxa"/>
              <w:right w:w="80" w:type="dxa"/>
            </w:tcMar>
          </w:tcPr>
          <w:p>
            <w:pPr>
              <w:pBdr>
                <w:top w:val="nil"/>
                <w:left w:val="nil"/>
                <w:bottom w:val="nil"/>
                <w:right w:val="nil"/>
                <w:between w:val="nil"/>
                <w:bar w:val="nil"/>
              </w:pBdr>
              <w:tabs>
                <w:tab w:val="clear" w:pos="2835"/>
              </w:tabs>
              <w:jc w:val="center"/>
              <w:rPr>
                <w:rFonts w:eastAsia="Arial"/>
                <w:b w:val="0"/>
                <w:color w:val="000000"/>
                <w:sz w:val="20"/>
                <w:szCs w:val="20"/>
                <w:u w:color="000000"/>
                <w:bdr w:val="nil"/>
                <w:lang w:val="es-ES_tradnl" w:eastAsia="es-CL"/>
              </w:rPr>
            </w:pPr>
            <w:r>
              <w:rPr>
                <w:bCs/>
                <w:color w:val="FFFFFF"/>
                <w:kern w:val="24"/>
                <w:sz w:val="20"/>
                <w:szCs w:val="20"/>
                <w:u w:color="FFFFFF"/>
                <w:bdr w:val="nil"/>
                <w:lang w:val="es-ES_tradnl" w:eastAsia="es-CL"/>
              </w:rPr>
              <w:t>MM$</w:t>
            </w:r>
          </w:p>
        </w:tc>
        <w:tc>
          <w:tcPr>
            <w:tcW w:w="4266" w:type="dxa"/>
            <w:tcBorders>
              <w:top w:val="single" w:sz="8" w:space="0" w:color="FFFFFF"/>
              <w:left w:val="single" w:sz="8" w:space="0" w:color="FFFFFF"/>
              <w:bottom w:val="single" w:sz="24" w:space="0" w:color="FFFFFF"/>
              <w:right w:val="single" w:sz="8" w:space="0" w:color="FFFFFF"/>
            </w:tcBorders>
            <w:shd w:val="clear" w:color="auto" w:fill="4F81BD"/>
            <w:tcMar>
              <w:top w:w="80" w:type="dxa"/>
              <w:left w:w="80" w:type="dxa"/>
              <w:bottom w:w="80" w:type="dxa"/>
              <w:right w:w="80" w:type="dxa"/>
            </w:tcMar>
          </w:tcPr>
          <w:p>
            <w:pPr>
              <w:pBdr>
                <w:top w:val="nil"/>
                <w:left w:val="nil"/>
                <w:bottom w:val="nil"/>
                <w:right w:val="nil"/>
                <w:between w:val="nil"/>
                <w:bar w:val="nil"/>
              </w:pBdr>
              <w:tabs>
                <w:tab w:val="clear" w:pos="2835"/>
              </w:tabs>
              <w:jc w:val="center"/>
              <w:rPr>
                <w:rFonts w:eastAsia="Arial"/>
                <w:b w:val="0"/>
                <w:color w:val="000000"/>
                <w:sz w:val="20"/>
                <w:szCs w:val="20"/>
                <w:u w:color="000000"/>
                <w:bdr w:val="nil"/>
                <w:lang w:val="es-ES_tradnl" w:eastAsia="es-CL"/>
              </w:rPr>
            </w:pPr>
            <w:r>
              <w:rPr>
                <w:bCs/>
                <w:color w:val="FFFFFF"/>
                <w:kern w:val="24"/>
                <w:sz w:val="20"/>
                <w:szCs w:val="20"/>
                <w:u w:color="FFFFFF"/>
                <w:bdr w:val="nil"/>
                <w:lang w:val="es-ES_tradnl" w:eastAsia="es-CL"/>
              </w:rPr>
              <w:t>Objetivo</w:t>
            </w:r>
          </w:p>
        </w:tc>
      </w:tr>
      <w:tr>
        <w:tblPrEx>
          <w:tblCellMar>
            <w:top w:w="0" w:type="dxa"/>
            <w:left w:w="0" w:type="dxa"/>
            <w:bottom w:w="0" w:type="dxa"/>
            <w:right w:w="0" w:type="dxa"/>
          </w:tblCellMar>
        </w:tblPrEx>
        <w:trPr>
          <w:trHeight w:val="2218"/>
          <w:jc w:val="center"/>
        </w:trPr>
        <w:tc>
          <w:tcPr>
            <w:tcW w:w="3441" w:type="dxa"/>
            <w:tcBorders>
              <w:top w:val="single" w:sz="24" w:space="0" w:color="FFFFFF"/>
              <w:left w:val="single" w:sz="8" w:space="0" w:color="FFFFFF"/>
              <w:bottom w:val="single" w:sz="8" w:space="0" w:color="FFFFFF"/>
              <w:right w:val="single" w:sz="8" w:space="0" w:color="FFFFFF"/>
            </w:tcBorders>
            <w:shd w:val="clear" w:color="auto" w:fill="D0D8E8"/>
            <w:tcMar>
              <w:top w:w="80" w:type="dxa"/>
              <w:left w:w="80" w:type="dxa"/>
              <w:bottom w:w="80" w:type="dxa"/>
              <w:right w:w="80" w:type="dxa"/>
            </w:tcMar>
          </w:tcPr>
          <w:p>
            <w:pPr>
              <w:pBdr>
                <w:top w:val="nil"/>
                <w:left w:val="nil"/>
                <w:bottom w:val="nil"/>
                <w:right w:val="nil"/>
                <w:between w:val="nil"/>
                <w:bar w:val="nil"/>
              </w:pBdr>
              <w:tabs>
                <w:tab w:val="clear" w:pos="2835"/>
              </w:tabs>
              <w:rPr>
                <w:rFonts w:eastAsia="Arial"/>
                <w:b w:val="0"/>
                <w:sz w:val="20"/>
                <w:szCs w:val="20"/>
                <w:u w:color="000000"/>
                <w:bdr w:val="nil"/>
                <w:lang w:val="es-ES_tradnl" w:eastAsia="es-CL"/>
              </w:rPr>
            </w:pPr>
            <w:r>
              <w:rPr>
                <w:b w:val="0"/>
                <w:kern w:val="24"/>
                <w:sz w:val="20"/>
                <w:szCs w:val="20"/>
                <w:u w:color="6F6F6F"/>
                <w:bdr w:val="nil"/>
                <w:lang w:val="es-ES_tradnl" w:eastAsia="es-CL"/>
              </w:rPr>
              <w:t xml:space="preserve">Recupero en el año 2017 de la cartera de aquellas deudas que no se encuentran en cobro judicial y son contactadas en forma efectiva a través del Call Center (menor a 10 millones). </w:t>
            </w:r>
          </w:p>
        </w:tc>
        <w:tc>
          <w:tcPr>
            <w:tcW w:w="897" w:type="dxa"/>
            <w:tcBorders>
              <w:top w:val="single" w:sz="24" w:space="0" w:color="FFFFFF"/>
              <w:left w:val="single" w:sz="8" w:space="0" w:color="FFFFFF"/>
              <w:bottom w:val="single" w:sz="8" w:space="0" w:color="FFFFFF"/>
              <w:right w:val="single" w:sz="8" w:space="0" w:color="FFFFFF"/>
            </w:tcBorders>
            <w:shd w:val="clear" w:color="auto" w:fill="D0D8E8"/>
            <w:tcMar>
              <w:top w:w="80" w:type="dxa"/>
              <w:left w:w="80" w:type="dxa"/>
              <w:bottom w:w="80" w:type="dxa"/>
              <w:right w:w="80" w:type="dxa"/>
            </w:tcMar>
          </w:tcPr>
          <w:p>
            <w:pPr>
              <w:pBdr>
                <w:top w:val="nil"/>
                <w:left w:val="nil"/>
                <w:bottom w:val="nil"/>
                <w:right w:val="nil"/>
                <w:between w:val="nil"/>
                <w:bar w:val="nil"/>
              </w:pBdr>
              <w:tabs>
                <w:tab w:val="clear" w:pos="2835"/>
              </w:tabs>
              <w:jc w:val="center"/>
              <w:rPr>
                <w:rFonts w:eastAsia="Arial"/>
                <w:b w:val="0"/>
                <w:sz w:val="20"/>
                <w:szCs w:val="20"/>
                <w:u w:color="000000"/>
                <w:bdr w:val="nil"/>
                <w:lang w:val="es-ES_tradnl" w:eastAsia="es-CL"/>
              </w:rPr>
            </w:pPr>
            <w:r>
              <w:rPr>
                <w:bCs/>
                <w:kern w:val="24"/>
                <w:sz w:val="20"/>
                <w:szCs w:val="20"/>
                <w:u w:color="6F6F6F"/>
                <w:bdr w:val="nil"/>
                <w:lang w:val="es-ES_tradnl" w:eastAsia="es-CL"/>
              </w:rPr>
              <w:t>26%</w:t>
            </w:r>
          </w:p>
        </w:tc>
        <w:tc>
          <w:tcPr>
            <w:tcW w:w="1142" w:type="dxa"/>
            <w:tcBorders>
              <w:top w:val="single" w:sz="24" w:space="0" w:color="FFFFFF"/>
              <w:left w:val="single" w:sz="8" w:space="0" w:color="FFFFFF"/>
              <w:bottom w:val="single" w:sz="8" w:space="0" w:color="FFFFFF"/>
              <w:right w:val="single" w:sz="8" w:space="0" w:color="FFFFFF"/>
            </w:tcBorders>
            <w:shd w:val="clear" w:color="auto" w:fill="D0D8E8"/>
            <w:tcMar>
              <w:top w:w="80" w:type="dxa"/>
              <w:left w:w="80" w:type="dxa"/>
              <w:bottom w:w="80" w:type="dxa"/>
              <w:right w:w="80" w:type="dxa"/>
            </w:tcMar>
          </w:tcPr>
          <w:p>
            <w:pPr>
              <w:pBdr>
                <w:top w:val="nil"/>
                <w:left w:val="nil"/>
                <w:bottom w:val="nil"/>
                <w:right w:val="nil"/>
                <w:between w:val="nil"/>
                <w:bar w:val="nil"/>
              </w:pBdr>
              <w:tabs>
                <w:tab w:val="clear" w:pos="2835"/>
              </w:tabs>
              <w:jc w:val="center"/>
              <w:rPr>
                <w:rFonts w:eastAsia="Arial"/>
                <w:b w:val="0"/>
                <w:sz w:val="20"/>
                <w:szCs w:val="20"/>
                <w:u w:color="000000"/>
                <w:bdr w:val="nil"/>
                <w:lang w:val="es-ES_tradnl" w:eastAsia="es-CL"/>
              </w:rPr>
            </w:pPr>
            <w:r>
              <w:rPr>
                <w:bCs/>
                <w:kern w:val="24"/>
                <w:sz w:val="20"/>
                <w:szCs w:val="20"/>
                <w:u w:color="6F6F6F"/>
                <w:bdr w:val="nil"/>
                <w:lang w:val="es-ES_tradnl" w:eastAsia="es-CL"/>
              </w:rPr>
              <w:t>37.289,1</w:t>
            </w:r>
          </w:p>
        </w:tc>
        <w:tc>
          <w:tcPr>
            <w:tcW w:w="4266" w:type="dxa"/>
            <w:tcBorders>
              <w:top w:val="single" w:sz="24" w:space="0" w:color="FFFFFF"/>
              <w:left w:val="single" w:sz="8" w:space="0" w:color="FFFFFF"/>
              <w:bottom w:val="single" w:sz="8" w:space="0" w:color="FFFFFF"/>
              <w:right w:val="single" w:sz="8" w:space="0" w:color="FFFFFF"/>
            </w:tcBorders>
            <w:shd w:val="clear" w:color="auto" w:fill="D0D8E8"/>
            <w:tcMar>
              <w:top w:w="80" w:type="dxa"/>
              <w:left w:w="80" w:type="dxa"/>
              <w:bottom w:w="80" w:type="dxa"/>
              <w:right w:w="80" w:type="dxa"/>
            </w:tcMar>
          </w:tcPr>
          <w:p>
            <w:pPr>
              <w:pBdr>
                <w:top w:val="nil"/>
                <w:left w:val="nil"/>
                <w:bottom w:val="nil"/>
                <w:right w:val="nil"/>
                <w:between w:val="nil"/>
                <w:bar w:val="nil"/>
              </w:pBdr>
              <w:tabs>
                <w:tab w:val="clear" w:pos="2835"/>
              </w:tabs>
              <w:rPr>
                <w:rFonts w:eastAsia="Arial"/>
                <w:b w:val="0"/>
                <w:sz w:val="20"/>
                <w:szCs w:val="20"/>
                <w:u w:color="000000"/>
                <w:bdr w:val="nil"/>
                <w:lang w:val="es-ES_tradnl" w:eastAsia="es-CL"/>
              </w:rPr>
            </w:pPr>
            <w:r>
              <w:rPr>
                <w:b w:val="0"/>
                <w:kern w:val="24"/>
                <w:sz w:val="20"/>
                <w:szCs w:val="20"/>
                <w:u w:color="6F6F6F"/>
                <w:bdr w:val="nil"/>
                <w:lang w:val="es-ES_tradnl" w:eastAsia="es-CL"/>
              </w:rPr>
              <w:t>Asegurar la recuperación de los ingresos fiscales vías acciones coactivas, promoviendo el logro de los resultados que permitan asegurar el financiamiento de las políticas públicas diseñadas por el gobierno.</w:t>
            </w:r>
          </w:p>
        </w:tc>
      </w:tr>
      <w:tr>
        <w:tblPrEx>
          <w:tblCellMar>
            <w:top w:w="0" w:type="dxa"/>
            <w:left w:w="0" w:type="dxa"/>
            <w:bottom w:w="0" w:type="dxa"/>
            <w:right w:w="0" w:type="dxa"/>
          </w:tblCellMar>
        </w:tblPrEx>
        <w:trPr>
          <w:trHeight w:val="3380"/>
          <w:jc w:val="center"/>
        </w:trPr>
        <w:tc>
          <w:tcPr>
            <w:tcW w:w="3441"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tcPr>
          <w:p>
            <w:pPr>
              <w:pBdr>
                <w:top w:val="nil"/>
                <w:left w:val="nil"/>
                <w:bottom w:val="nil"/>
                <w:right w:val="nil"/>
                <w:between w:val="nil"/>
                <w:bar w:val="nil"/>
              </w:pBdr>
              <w:tabs>
                <w:tab w:val="clear" w:pos="2835"/>
              </w:tabs>
              <w:rPr>
                <w:rFonts w:eastAsia="Arial"/>
                <w:b w:val="0"/>
                <w:sz w:val="20"/>
                <w:szCs w:val="20"/>
                <w:u w:color="000000"/>
                <w:bdr w:val="nil"/>
                <w:lang w:val="es-ES_tradnl" w:eastAsia="es-CL"/>
              </w:rPr>
            </w:pPr>
            <w:r>
              <w:rPr>
                <w:b w:val="0"/>
                <w:kern w:val="24"/>
                <w:sz w:val="20"/>
                <w:szCs w:val="20"/>
                <w:u w:color="6F6F6F"/>
                <w:bdr w:val="nil"/>
                <w:lang w:val="es-ES_tradnl" w:eastAsia="es-CL"/>
              </w:rPr>
              <w:t>Recupero en el año 2017 de la cartera total que se encuentra en cobro judicial al 30 de Noviembre de 2016.</w:t>
            </w:r>
          </w:p>
          <w:p>
            <w:pPr>
              <w:pBdr>
                <w:top w:val="nil"/>
                <w:left w:val="nil"/>
                <w:bottom w:val="nil"/>
                <w:right w:val="nil"/>
                <w:between w:val="nil"/>
                <w:bar w:val="nil"/>
              </w:pBdr>
              <w:tabs>
                <w:tab w:val="clear" w:pos="2835"/>
              </w:tabs>
              <w:rPr>
                <w:rFonts w:eastAsia="Arial"/>
                <w:b w:val="0"/>
                <w:sz w:val="20"/>
                <w:szCs w:val="20"/>
                <w:u w:color="000000"/>
                <w:bdr w:val="nil"/>
                <w:lang w:val="es-ES_tradnl" w:eastAsia="es-CL"/>
              </w:rPr>
            </w:pPr>
            <w:r>
              <w:rPr>
                <w:b w:val="0"/>
                <w:kern w:val="24"/>
                <w:sz w:val="20"/>
                <w:szCs w:val="20"/>
                <w:u w:color="6F6F6F"/>
                <w:bdr w:val="nil"/>
                <w:lang w:val="es-ES_tradnl" w:eastAsia="es-CL"/>
              </w:rPr>
              <w:t xml:space="preserve">(Cartera Total proyectada al 30/11/2016 es de aproximadamente MM$2.755.664,3. </w:t>
            </w:r>
          </w:p>
          <w:p>
            <w:pPr>
              <w:pBdr>
                <w:top w:val="nil"/>
                <w:left w:val="nil"/>
                <w:bottom w:val="nil"/>
                <w:right w:val="nil"/>
                <w:between w:val="nil"/>
                <w:bar w:val="nil"/>
              </w:pBdr>
              <w:tabs>
                <w:tab w:val="clear" w:pos="2835"/>
              </w:tabs>
              <w:rPr>
                <w:rFonts w:eastAsia="Arial"/>
                <w:b w:val="0"/>
                <w:sz w:val="20"/>
                <w:szCs w:val="20"/>
                <w:u w:color="000000"/>
                <w:bdr w:val="nil"/>
                <w:lang w:val="es-ES_tradnl" w:eastAsia="es-CL"/>
              </w:rPr>
            </w:pPr>
            <w:r>
              <w:rPr>
                <w:b w:val="0"/>
                <w:kern w:val="24"/>
                <w:sz w:val="20"/>
                <w:szCs w:val="20"/>
                <w:u w:color="6F6F6F"/>
                <w:bdr w:val="nil"/>
                <w:lang w:val="es-ES_tradnl" w:eastAsia="es-CL"/>
              </w:rPr>
              <w:t>Este recupero implica un crecimiento de un 3,7% respecto a la Recaudación esperada para el año 2016.)</w:t>
            </w:r>
          </w:p>
        </w:tc>
        <w:tc>
          <w:tcPr>
            <w:tcW w:w="897"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tcPr>
          <w:p>
            <w:pPr>
              <w:pBdr>
                <w:top w:val="nil"/>
                <w:left w:val="nil"/>
                <w:bottom w:val="nil"/>
                <w:right w:val="nil"/>
                <w:between w:val="nil"/>
                <w:bar w:val="nil"/>
              </w:pBdr>
              <w:tabs>
                <w:tab w:val="clear" w:pos="2835"/>
              </w:tabs>
              <w:jc w:val="center"/>
              <w:rPr>
                <w:rFonts w:eastAsia="Arial"/>
                <w:b w:val="0"/>
                <w:sz w:val="20"/>
                <w:szCs w:val="20"/>
                <w:u w:color="000000"/>
                <w:bdr w:val="nil"/>
                <w:lang w:val="es-ES_tradnl" w:eastAsia="es-CL"/>
              </w:rPr>
            </w:pPr>
            <w:r>
              <w:rPr>
                <w:bCs/>
                <w:kern w:val="24"/>
                <w:sz w:val="20"/>
                <w:szCs w:val="20"/>
                <w:u w:color="6F6F6F"/>
                <w:bdr w:val="nil"/>
                <w:lang w:val="es-ES_tradnl" w:eastAsia="es-CL"/>
              </w:rPr>
              <w:t>11,4%</w:t>
            </w:r>
          </w:p>
        </w:tc>
        <w:tc>
          <w:tcPr>
            <w:tcW w:w="1142"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tcPr>
          <w:p>
            <w:pPr>
              <w:pBdr>
                <w:top w:val="nil"/>
                <w:left w:val="nil"/>
                <w:bottom w:val="nil"/>
                <w:right w:val="nil"/>
                <w:between w:val="nil"/>
                <w:bar w:val="nil"/>
              </w:pBdr>
              <w:tabs>
                <w:tab w:val="clear" w:pos="2835"/>
              </w:tabs>
              <w:jc w:val="center"/>
              <w:rPr>
                <w:rFonts w:eastAsia="Arial"/>
                <w:b w:val="0"/>
                <w:sz w:val="20"/>
                <w:szCs w:val="20"/>
                <w:u w:color="000000"/>
                <w:bdr w:val="nil"/>
                <w:lang w:val="es-ES_tradnl" w:eastAsia="es-CL"/>
              </w:rPr>
            </w:pPr>
            <w:r>
              <w:rPr>
                <w:bCs/>
                <w:kern w:val="24"/>
                <w:sz w:val="20"/>
                <w:szCs w:val="20"/>
                <w:u w:color="6F6F6F"/>
                <w:bdr w:val="nil"/>
                <w:lang w:val="es-ES_tradnl" w:eastAsia="es-CL"/>
              </w:rPr>
              <w:t>314.822</w:t>
            </w:r>
          </w:p>
        </w:tc>
        <w:tc>
          <w:tcPr>
            <w:tcW w:w="4266"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tcPr>
          <w:p>
            <w:pPr>
              <w:pBdr>
                <w:top w:val="nil"/>
                <w:left w:val="nil"/>
                <w:bottom w:val="nil"/>
                <w:right w:val="nil"/>
                <w:between w:val="nil"/>
                <w:bar w:val="nil"/>
              </w:pBdr>
              <w:tabs>
                <w:tab w:val="clear" w:pos="2835"/>
              </w:tabs>
              <w:rPr>
                <w:rFonts w:eastAsia="Arial"/>
                <w:b w:val="0"/>
                <w:sz w:val="20"/>
                <w:szCs w:val="20"/>
                <w:u w:color="000000"/>
                <w:bdr w:val="nil"/>
                <w:lang w:val="es-ES_tradnl" w:eastAsia="es-CL"/>
              </w:rPr>
            </w:pPr>
            <w:r>
              <w:rPr>
                <w:b w:val="0"/>
                <w:kern w:val="24"/>
                <w:sz w:val="20"/>
                <w:szCs w:val="20"/>
                <w:u w:color="6F6F6F"/>
                <w:bdr w:val="nil"/>
                <w:lang w:val="es-ES_tradnl" w:eastAsia="es-CL"/>
              </w:rPr>
              <w:t>Asegurar la recuperación de los ingresos fiscales vías acciones coactivas, promoviendo el logro de los resultados que permitan asegurar el financiamiento de las políticas públicas diseñadas por el gobierno.</w:t>
            </w:r>
          </w:p>
        </w:tc>
      </w:tr>
    </w:tbl>
    <w:p>
      <w:pPr>
        <w:widowControl w:val="0"/>
        <w:pBdr>
          <w:top w:val="nil"/>
          <w:left w:val="nil"/>
          <w:bottom w:val="nil"/>
          <w:right w:val="nil"/>
          <w:between w:val="nil"/>
          <w:bar w:val="nil"/>
        </w:pBdr>
        <w:jc w:val="center"/>
        <w:rPr>
          <w:rFonts w:eastAsia="Arial"/>
          <w:bCs/>
          <w:color w:val="000000"/>
          <w:u w:color="000000"/>
          <w:bdr w:val="nil"/>
          <w:lang w:val="es-ES_tradnl" w:eastAsia="es-CL"/>
        </w:rPr>
      </w:pPr>
    </w:p>
    <w:p>
      <w:pPr>
        <w:widowControl w:val="0"/>
        <w:pBdr>
          <w:top w:val="nil"/>
          <w:left w:val="nil"/>
          <w:bottom w:val="nil"/>
          <w:right w:val="nil"/>
          <w:between w:val="nil"/>
          <w:bar w:val="nil"/>
        </w:pBdr>
        <w:jc w:val="center"/>
        <w:rPr>
          <w:rFonts w:eastAsia="Arial"/>
          <w:bCs/>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En este punto, indicó que ambas iniciativas buscan garantizar el interés fiscal mediante el incremento en aproximadamente MM$28.818 (8,9%) de recaudación absoluta respecto al valor estimado para el año 2016 en todos los segmentos de deudores (pequeños, medianos y grandes).</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jc w:val="center"/>
        <w:rPr>
          <w:rFonts w:eastAsia="Arial"/>
          <w:bCs/>
          <w:color w:val="000000"/>
          <w:u w:color="000000"/>
          <w:bdr w:val="nil"/>
          <w:lang w:val="es-ES_tradnl" w:eastAsia="es-CL"/>
        </w:rPr>
      </w:pPr>
      <w:r>
        <w:rPr>
          <w:rFonts w:eastAsia="Arial"/>
          <w:bCs/>
          <w:color w:val="000000"/>
          <w:u w:color="000000"/>
          <w:bdr w:val="nil"/>
          <w:lang w:val="es-ES_tradnl" w:eastAsia="es-CL"/>
        </w:rPr>
        <w:t>Producto Estratégico Inversión</w:t>
      </w:r>
    </w:p>
    <w:tbl>
      <w:tblPr>
        <w:tblW w:w="9283" w:type="dxa"/>
        <w:jc w:val="center"/>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3918"/>
        <w:gridCol w:w="1044"/>
        <w:gridCol w:w="4321"/>
      </w:tblGrid>
      <w:tr>
        <w:tblPrEx>
          <w:tblCellMar>
            <w:top w:w="0" w:type="dxa"/>
            <w:left w:w="0" w:type="dxa"/>
            <w:bottom w:w="0" w:type="dxa"/>
            <w:right w:w="0" w:type="dxa"/>
          </w:tblCellMar>
        </w:tblPrEx>
        <w:trPr>
          <w:trHeight w:val="383"/>
          <w:jc w:val="center"/>
        </w:trPr>
        <w:tc>
          <w:tcPr>
            <w:tcW w:w="3918" w:type="dxa"/>
            <w:tcBorders>
              <w:top w:val="single" w:sz="8" w:space="0" w:color="FFFFFF"/>
              <w:left w:val="single" w:sz="8" w:space="0" w:color="FFFFFF"/>
              <w:bottom w:val="single" w:sz="24" w:space="0" w:color="FFFFFF"/>
              <w:right w:val="single" w:sz="8" w:space="0" w:color="FFFFFF"/>
            </w:tcBorders>
            <w:shd w:val="clear" w:color="auto" w:fill="4F81BD"/>
            <w:tcMar>
              <w:top w:w="80" w:type="dxa"/>
              <w:left w:w="80" w:type="dxa"/>
              <w:bottom w:w="80" w:type="dxa"/>
              <w:right w:w="80" w:type="dxa"/>
            </w:tcMar>
          </w:tcPr>
          <w:p>
            <w:pPr>
              <w:pBdr>
                <w:top w:val="nil"/>
                <w:left w:val="nil"/>
                <w:bottom w:val="nil"/>
                <w:right w:val="nil"/>
                <w:between w:val="nil"/>
                <w:bar w:val="nil"/>
              </w:pBdr>
              <w:tabs>
                <w:tab w:val="clear" w:pos="2835"/>
              </w:tabs>
              <w:jc w:val="center"/>
              <w:rPr>
                <w:rFonts w:eastAsia="Arial"/>
                <w:b w:val="0"/>
                <w:color w:val="000000"/>
                <w:sz w:val="20"/>
                <w:szCs w:val="20"/>
                <w:u w:color="000000"/>
                <w:bdr w:val="nil"/>
                <w:lang w:val="es-ES_tradnl" w:eastAsia="es-CL"/>
              </w:rPr>
            </w:pPr>
            <w:r>
              <w:rPr>
                <w:bCs/>
                <w:color w:val="FFFFFF"/>
                <w:kern w:val="24"/>
                <w:sz w:val="20"/>
                <w:szCs w:val="20"/>
                <w:u w:color="FFFFFF"/>
                <w:bdr w:val="nil"/>
                <w:lang w:val="es-ES_tradnl" w:eastAsia="es-CL"/>
              </w:rPr>
              <w:t>Iniciativa</w:t>
            </w:r>
          </w:p>
        </w:tc>
        <w:tc>
          <w:tcPr>
            <w:tcW w:w="1044" w:type="dxa"/>
            <w:tcBorders>
              <w:top w:val="single" w:sz="8" w:space="0" w:color="FFFFFF"/>
              <w:left w:val="single" w:sz="8" w:space="0" w:color="FFFFFF"/>
              <w:bottom w:val="single" w:sz="24" w:space="0" w:color="FFFFFF"/>
              <w:right w:val="single" w:sz="8" w:space="0" w:color="FFFFFF"/>
            </w:tcBorders>
            <w:shd w:val="clear" w:color="auto" w:fill="4F81BD"/>
            <w:tcMar>
              <w:top w:w="80" w:type="dxa"/>
              <w:left w:w="80" w:type="dxa"/>
              <w:bottom w:w="80" w:type="dxa"/>
              <w:right w:w="80" w:type="dxa"/>
            </w:tcMar>
          </w:tcPr>
          <w:p>
            <w:pPr>
              <w:pBdr>
                <w:top w:val="nil"/>
                <w:left w:val="nil"/>
                <w:bottom w:val="nil"/>
                <w:right w:val="nil"/>
                <w:between w:val="nil"/>
                <w:bar w:val="nil"/>
              </w:pBdr>
              <w:tabs>
                <w:tab w:val="clear" w:pos="2835"/>
              </w:tabs>
              <w:jc w:val="center"/>
              <w:rPr>
                <w:rFonts w:eastAsia="Arial"/>
                <w:b w:val="0"/>
                <w:color w:val="000000"/>
                <w:sz w:val="20"/>
                <w:szCs w:val="20"/>
                <w:u w:color="000000"/>
                <w:bdr w:val="nil"/>
                <w:lang w:val="es-ES_tradnl" w:eastAsia="es-CL"/>
              </w:rPr>
            </w:pPr>
            <w:r>
              <w:rPr>
                <w:bCs/>
                <w:color w:val="FFFFFF"/>
                <w:kern w:val="24"/>
                <w:sz w:val="20"/>
                <w:szCs w:val="20"/>
                <w:u w:color="FFFFFF"/>
                <w:bdr w:val="nil"/>
                <w:lang w:val="es-ES_tradnl" w:eastAsia="es-CL"/>
              </w:rPr>
              <w:t>Meta</w:t>
            </w:r>
          </w:p>
        </w:tc>
        <w:tc>
          <w:tcPr>
            <w:tcW w:w="4321" w:type="dxa"/>
            <w:tcBorders>
              <w:top w:val="single" w:sz="8" w:space="0" w:color="FFFFFF"/>
              <w:left w:val="single" w:sz="8" w:space="0" w:color="FFFFFF"/>
              <w:bottom w:val="single" w:sz="24" w:space="0" w:color="FFFFFF"/>
              <w:right w:val="single" w:sz="8" w:space="0" w:color="FFFFFF"/>
            </w:tcBorders>
            <w:shd w:val="clear" w:color="auto" w:fill="4F81BD"/>
            <w:tcMar>
              <w:top w:w="80" w:type="dxa"/>
              <w:left w:w="80" w:type="dxa"/>
              <w:bottom w:w="80" w:type="dxa"/>
              <w:right w:w="80" w:type="dxa"/>
            </w:tcMar>
          </w:tcPr>
          <w:p>
            <w:pPr>
              <w:pBdr>
                <w:top w:val="nil"/>
                <w:left w:val="nil"/>
                <w:bottom w:val="nil"/>
                <w:right w:val="nil"/>
                <w:between w:val="nil"/>
                <w:bar w:val="nil"/>
              </w:pBdr>
              <w:tabs>
                <w:tab w:val="clear" w:pos="2835"/>
              </w:tabs>
              <w:jc w:val="center"/>
              <w:rPr>
                <w:rFonts w:eastAsia="Arial"/>
                <w:b w:val="0"/>
                <w:color w:val="000000"/>
                <w:sz w:val="20"/>
                <w:szCs w:val="20"/>
                <w:u w:color="000000"/>
                <w:bdr w:val="nil"/>
                <w:lang w:val="es-ES_tradnl" w:eastAsia="es-CL"/>
              </w:rPr>
            </w:pPr>
            <w:r>
              <w:rPr>
                <w:bCs/>
                <w:color w:val="FFFFFF"/>
                <w:kern w:val="24"/>
                <w:sz w:val="20"/>
                <w:szCs w:val="20"/>
                <w:u w:color="FFFFFF"/>
                <w:bdr w:val="nil"/>
                <w:lang w:val="es-ES_tradnl" w:eastAsia="es-CL"/>
              </w:rPr>
              <w:t>Objetivo</w:t>
            </w:r>
          </w:p>
        </w:tc>
      </w:tr>
      <w:tr>
        <w:tblPrEx>
          <w:tblCellMar>
            <w:top w:w="0" w:type="dxa"/>
            <w:left w:w="0" w:type="dxa"/>
            <w:bottom w:w="0" w:type="dxa"/>
            <w:right w:w="0" w:type="dxa"/>
          </w:tblCellMar>
        </w:tblPrEx>
        <w:trPr>
          <w:trHeight w:val="1224"/>
          <w:jc w:val="center"/>
        </w:trPr>
        <w:tc>
          <w:tcPr>
            <w:tcW w:w="3918" w:type="dxa"/>
            <w:tcBorders>
              <w:top w:val="single" w:sz="24" w:space="0" w:color="FFFFFF"/>
              <w:left w:val="single" w:sz="8" w:space="0" w:color="FFFFFF"/>
              <w:bottom w:val="single" w:sz="8" w:space="0" w:color="FFFFFF"/>
              <w:right w:val="single" w:sz="8" w:space="0" w:color="FFFFFF"/>
            </w:tcBorders>
            <w:shd w:val="clear" w:color="auto" w:fill="D0D8E8"/>
            <w:tcMar>
              <w:top w:w="80" w:type="dxa"/>
              <w:left w:w="80" w:type="dxa"/>
              <w:bottom w:w="80" w:type="dxa"/>
              <w:right w:w="80" w:type="dxa"/>
            </w:tcMar>
          </w:tcPr>
          <w:p>
            <w:pPr>
              <w:pBdr>
                <w:top w:val="nil"/>
                <w:left w:val="nil"/>
                <w:bottom w:val="nil"/>
                <w:right w:val="nil"/>
                <w:between w:val="nil"/>
                <w:bar w:val="nil"/>
              </w:pBdr>
              <w:tabs>
                <w:tab w:val="clear" w:pos="2835"/>
              </w:tabs>
              <w:rPr>
                <w:rFonts w:eastAsia="Arial"/>
                <w:b w:val="0"/>
                <w:sz w:val="20"/>
                <w:szCs w:val="20"/>
                <w:u w:color="000000"/>
                <w:bdr w:val="nil"/>
                <w:lang w:val="es-ES_tradnl" w:eastAsia="es-CL"/>
              </w:rPr>
            </w:pPr>
            <w:r>
              <w:rPr>
                <w:b w:val="0"/>
                <w:kern w:val="24"/>
                <w:sz w:val="20"/>
                <w:szCs w:val="20"/>
                <w:u w:color="6F6F6F"/>
                <w:bdr w:val="nil"/>
                <w:lang w:val="es-ES_tradnl" w:eastAsia="es-CL"/>
              </w:rPr>
              <w:t>Mantener un Saldo promedio mensual en Cuenta Única Fiscal Moneda Pesos Chilenos y Cuenta Corriente Banco Estado en Dólares Americanos N° 506-5.</w:t>
            </w:r>
          </w:p>
        </w:tc>
        <w:tc>
          <w:tcPr>
            <w:tcW w:w="1044" w:type="dxa"/>
            <w:tcBorders>
              <w:top w:val="single" w:sz="24" w:space="0" w:color="FFFFFF"/>
              <w:left w:val="single" w:sz="8" w:space="0" w:color="FFFFFF"/>
              <w:bottom w:val="single" w:sz="8" w:space="0" w:color="FFFFFF"/>
              <w:right w:val="single" w:sz="8" w:space="0" w:color="FFFFFF"/>
            </w:tcBorders>
            <w:shd w:val="clear" w:color="auto" w:fill="D0D8E8"/>
            <w:tcMar>
              <w:top w:w="80" w:type="dxa"/>
              <w:left w:w="80" w:type="dxa"/>
              <w:bottom w:w="80" w:type="dxa"/>
              <w:right w:w="80" w:type="dxa"/>
            </w:tcMar>
          </w:tcPr>
          <w:p>
            <w:pPr>
              <w:pBdr>
                <w:top w:val="nil"/>
                <w:left w:val="nil"/>
                <w:bottom w:val="nil"/>
                <w:right w:val="nil"/>
                <w:between w:val="nil"/>
                <w:bar w:val="nil"/>
              </w:pBdr>
              <w:tabs>
                <w:tab w:val="clear" w:pos="2835"/>
              </w:tabs>
              <w:jc w:val="center"/>
              <w:rPr>
                <w:rFonts w:eastAsia="Arial"/>
                <w:b w:val="0"/>
                <w:sz w:val="20"/>
                <w:szCs w:val="20"/>
                <w:u w:color="000000"/>
                <w:bdr w:val="nil"/>
                <w:lang w:val="es-ES_tradnl" w:eastAsia="es-CL"/>
              </w:rPr>
            </w:pPr>
            <w:r>
              <w:rPr>
                <w:bCs/>
                <w:kern w:val="24"/>
                <w:sz w:val="20"/>
                <w:szCs w:val="20"/>
                <w:u w:color="6F6F6F"/>
                <w:bdr w:val="nil"/>
                <w:lang w:val="es-ES_tradnl" w:eastAsia="es-CL"/>
              </w:rPr>
              <w:t>M$5.700</w:t>
            </w:r>
          </w:p>
        </w:tc>
        <w:tc>
          <w:tcPr>
            <w:tcW w:w="4321" w:type="dxa"/>
            <w:tcBorders>
              <w:top w:val="single" w:sz="24" w:space="0" w:color="FFFFFF"/>
              <w:left w:val="single" w:sz="8" w:space="0" w:color="FFFFFF"/>
              <w:bottom w:val="single" w:sz="8" w:space="0" w:color="FFFFFF"/>
              <w:right w:val="single" w:sz="8" w:space="0" w:color="FFFFFF"/>
            </w:tcBorders>
            <w:shd w:val="clear" w:color="auto" w:fill="D0D8E8"/>
            <w:tcMar>
              <w:top w:w="80" w:type="dxa"/>
              <w:left w:w="80" w:type="dxa"/>
              <w:bottom w:w="80" w:type="dxa"/>
              <w:right w:w="80" w:type="dxa"/>
            </w:tcMar>
          </w:tcPr>
          <w:p>
            <w:pPr>
              <w:pBdr>
                <w:top w:val="nil"/>
                <w:left w:val="nil"/>
                <w:bottom w:val="nil"/>
                <w:right w:val="nil"/>
                <w:between w:val="nil"/>
                <w:bar w:val="nil"/>
              </w:pBdr>
              <w:tabs>
                <w:tab w:val="clear" w:pos="2835"/>
              </w:tabs>
              <w:rPr>
                <w:rFonts w:eastAsia="Arial"/>
                <w:b w:val="0"/>
                <w:sz w:val="20"/>
                <w:szCs w:val="20"/>
                <w:u w:color="000000"/>
                <w:bdr w:val="nil"/>
                <w:lang w:val="es-ES_tradnl" w:eastAsia="es-CL"/>
              </w:rPr>
            </w:pPr>
            <w:r>
              <w:rPr>
                <w:b w:val="0"/>
                <w:kern w:val="24"/>
                <w:sz w:val="20"/>
                <w:szCs w:val="20"/>
                <w:u w:color="6F6F6F"/>
                <w:bdr w:val="nil"/>
                <w:lang w:val="es-ES_tradnl" w:eastAsia="es-CL"/>
              </w:rPr>
              <w:t>Realizar correctamente las Inversiones en las Instituciones Financieras y en los plazos planificados por la Institución.</w:t>
            </w:r>
          </w:p>
        </w:tc>
      </w:tr>
    </w:tbl>
    <w:p>
      <w:pPr>
        <w:widowControl w:val="0"/>
        <w:pBdr>
          <w:top w:val="nil"/>
          <w:left w:val="nil"/>
          <w:bottom w:val="nil"/>
          <w:right w:val="nil"/>
          <w:between w:val="nil"/>
          <w:bar w:val="nil"/>
        </w:pBdr>
        <w:jc w:val="center"/>
        <w:rPr>
          <w:rFonts w:eastAsia="Arial"/>
          <w:bCs/>
          <w:color w:val="000000"/>
          <w:sz w:val="20"/>
          <w:szCs w:val="20"/>
          <w:u w:color="000000"/>
          <w:bdr w:val="nil"/>
          <w:lang w:val="es-ES_tradnl" w:eastAsia="es-CL"/>
        </w:rPr>
      </w:pPr>
    </w:p>
    <w:p>
      <w:pPr>
        <w:pBdr>
          <w:top w:val="nil"/>
          <w:left w:val="nil"/>
          <w:bottom w:val="nil"/>
          <w:right w:val="nil"/>
          <w:between w:val="nil"/>
          <w:bar w:val="nil"/>
        </w:pBdr>
        <w:rPr>
          <w:rFonts w:eastAsia="Arial"/>
          <w:b w:val="0"/>
          <w:color w:val="000000"/>
          <w:sz w:val="20"/>
          <w:szCs w:val="20"/>
          <w:u w:color="000000"/>
          <w:bdr w:val="nil"/>
          <w:lang w:val="es-ES_tradnl" w:eastAsia="es-CL"/>
        </w:rPr>
      </w:pPr>
    </w:p>
    <w:p>
      <w:pPr>
        <w:pBdr>
          <w:top w:val="nil"/>
          <w:left w:val="nil"/>
          <w:bottom w:val="nil"/>
          <w:right w:val="nil"/>
          <w:between w:val="nil"/>
          <w:bar w:val="nil"/>
        </w:pBdr>
        <w:jc w:val="center"/>
        <w:rPr>
          <w:rFonts w:eastAsia="Arial"/>
          <w:bCs/>
          <w:color w:val="000000"/>
          <w:sz w:val="20"/>
          <w:szCs w:val="20"/>
          <w:u w:color="000000"/>
          <w:bdr w:val="nil"/>
          <w:lang w:val="es-ES_tradnl" w:eastAsia="es-CL"/>
        </w:rPr>
      </w:pPr>
      <w:r>
        <w:rPr>
          <w:rFonts w:eastAsia="Arial"/>
          <w:bCs/>
          <w:color w:val="000000"/>
          <w:sz w:val="20"/>
          <w:szCs w:val="20"/>
          <w:u w:color="000000"/>
          <w:bdr w:val="nil"/>
          <w:lang w:val="es-ES_tradnl" w:eastAsia="es-CL"/>
        </w:rPr>
        <w:t>Producto Estratégico Distribución</w:t>
      </w:r>
    </w:p>
    <w:tbl>
      <w:tblPr>
        <w:tblW w:w="9304" w:type="dxa"/>
        <w:jc w:val="center"/>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3942"/>
        <w:gridCol w:w="1100"/>
        <w:gridCol w:w="4262"/>
      </w:tblGrid>
      <w:tr>
        <w:tblPrEx>
          <w:tblCellMar>
            <w:top w:w="0" w:type="dxa"/>
            <w:left w:w="0" w:type="dxa"/>
            <w:bottom w:w="0" w:type="dxa"/>
            <w:right w:w="0" w:type="dxa"/>
          </w:tblCellMar>
        </w:tblPrEx>
        <w:trPr>
          <w:trHeight w:val="542"/>
          <w:jc w:val="center"/>
        </w:trPr>
        <w:tc>
          <w:tcPr>
            <w:tcW w:w="3942" w:type="dxa"/>
            <w:tcBorders>
              <w:top w:val="single" w:sz="8" w:space="0" w:color="FFFFFF"/>
              <w:left w:val="single" w:sz="8" w:space="0" w:color="FFFFFF"/>
              <w:bottom w:val="single" w:sz="24" w:space="0" w:color="FFFFFF"/>
              <w:right w:val="single" w:sz="8" w:space="0" w:color="FFFFFF"/>
            </w:tcBorders>
            <w:shd w:val="clear" w:color="auto" w:fill="4F81BD"/>
            <w:tcMar>
              <w:top w:w="80" w:type="dxa"/>
              <w:left w:w="80" w:type="dxa"/>
              <w:bottom w:w="80" w:type="dxa"/>
              <w:right w:w="80" w:type="dxa"/>
            </w:tcMar>
          </w:tcPr>
          <w:p>
            <w:pPr>
              <w:pBdr>
                <w:top w:val="nil"/>
                <w:left w:val="nil"/>
                <w:bottom w:val="nil"/>
                <w:right w:val="nil"/>
                <w:between w:val="nil"/>
                <w:bar w:val="nil"/>
              </w:pBdr>
              <w:tabs>
                <w:tab w:val="clear" w:pos="2835"/>
              </w:tabs>
              <w:jc w:val="center"/>
              <w:rPr>
                <w:rFonts w:eastAsia="Arial"/>
                <w:b w:val="0"/>
                <w:color w:val="000000"/>
                <w:sz w:val="20"/>
                <w:szCs w:val="20"/>
                <w:u w:color="000000"/>
                <w:bdr w:val="nil"/>
                <w:lang w:val="es-ES_tradnl" w:eastAsia="es-CL"/>
              </w:rPr>
            </w:pPr>
            <w:r>
              <w:rPr>
                <w:bCs/>
                <w:color w:val="FFFFFF"/>
                <w:kern w:val="24"/>
                <w:sz w:val="20"/>
                <w:szCs w:val="20"/>
                <w:u w:color="FFFFFF"/>
                <w:bdr w:val="nil"/>
                <w:lang w:val="es-ES_tradnl" w:eastAsia="es-CL"/>
              </w:rPr>
              <w:t>Iniciativa</w:t>
            </w:r>
          </w:p>
        </w:tc>
        <w:tc>
          <w:tcPr>
            <w:tcW w:w="1100" w:type="dxa"/>
            <w:tcBorders>
              <w:top w:val="single" w:sz="8" w:space="0" w:color="FFFFFF"/>
              <w:left w:val="single" w:sz="8" w:space="0" w:color="FFFFFF"/>
              <w:bottom w:val="single" w:sz="24" w:space="0" w:color="FFFFFF"/>
              <w:right w:val="single" w:sz="8" w:space="0" w:color="FFFFFF"/>
            </w:tcBorders>
            <w:shd w:val="clear" w:color="auto" w:fill="4F81BD"/>
            <w:tcMar>
              <w:top w:w="80" w:type="dxa"/>
              <w:left w:w="80" w:type="dxa"/>
              <w:bottom w:w="80" w:type="dxa"/>
              <w:right w:w="80" w:type="dxa"/>
            </w:tcMar>
          </w:tcPr>
          <w:p>
            <w:pPr>
              <w:pBdr>
                <w:top w:val="nil"/>
                <w:left w:val="nil"/>
                <w:bottom w:val="nil"/>
                <w:right w:val="nil"/>
                <w:between w:val="nil"/>
                <w:bar w:val="nil"/>
              </w:pBdr>
              <w:tabs>
                <w:tab w:val="clear" w:pos="2835"/>
              </w:tabs>
              <w:jc w:val="center"/>
              <w:rPr>
                <w:rFonts w:eastAsia="Arial"/>
                <w:b w:val="0"/>
                <w:color w:val="000000"/>
                <w:sz w:val="20"/>
                <w:szCs w:val="20"/>
                <w:u w:color="000000"/>
                <w:bdr w:val="nil"/>
                <w:lang w:val="es-ES_tradnl" w:eastAsia="es-CL"/>
              </w:rPr>
            </w:pPr>
            <w:r>
              <w:rPr>
                <w:bCs/>
                <w:color w:val="FFFFFF"/>
                <w:kern w:val="24"/>
                <w:sz w:val="20"/>
                <w:szCs w:val="20"/>
                <w:u w:color="FFFFFF"/>
                <w:bdr w:val="nil"/>
                <w:lang w:val="es-ES_tradnl" w:eastAsia="es-CL"/>
              </w:rPr>
              <w:t>Meta</w:t>
            </w:r>
          </w:p>
        </w:tc>
        <w:tc>
          <w:tcPr>
            <w:tcW w:w="4262" w:type="dxa"/>
            <w:tcBorders>
              <w:top w:val="single" w:sz="8" w:space="0" w:color="FFFFFF"/>
              <w:left w:val="single" w:sz="8" w:space="0" w:color="FFFFFF"/>
              <w:bottom w:val="single" w:sz="24" w:space="0" w:color="FFFFFF"/>
              <w:right w:val="single" w:sz="8" w:space="0" w:color="FFFFFF"/>
            </w:tcBorders>
            <w:shd w:val="clear" w:color="auto" w:fill="4F81BD"/>
            <w:tcMar>
              <w:top w:w="80" w:type="dxa"/>
              <w:left w:w="80" w:type="dxa"/>
              <w:bottom w:w="80" w:type="dxa"/>
              <w:right w:w="80" w:type="dxa"/>
            </w:tcMar>
          </w:tcPr>
          <w:p>
            <w:pPr>
              <w:pBdr>
                <w:top w:val="nil"/>
                <w:left w:val="nil"/>
                <w:bottom w:val="nil"/>
                <w:right w:val="nil"/>
                <w:between w:val="nil"/>
                <w:bar w:val="nil"/>
              </w:pBdr>
              <w:tabs>
                <w:tab w:val="clear" w:pos="2835"/>
              </w:tabs>
              <w:jc w:val="center"/>
              <w:rPr>
                <w:rFonts w:eastAsia="Arial"/>
                <w:b w:val="0"/>
                <w:color w:val="000000"/>
                <w:sz w:val="20"/>
                <w:szCs w:val="20"/>
                <w:u w:color="000000"/>
                <w:bdr w:val="nil"/>
                <w:lang w:val="es-ES_tradnl" w:eastAsia="es-CL"/>
              </w:rPr>
            </w:pPr>
            <w:r>
              <w:rPr>
                <w:bCs/>
                <w:color w:val="FFFFFF"/>
                <w:kern w:val="24"/>
                <w:sz w:val="20"/>
                <w:szCs w:val="20"/>
                <w:u w:color="FFFFFF"/>
                <w:bdr w:val="nil"/>
                <w:lang w:val="es-ES_tradnl" w:eastAsia="es-CL"/>
              </w:rPr>
              <w:t>Objetivo</w:t>
            </w:r>
          </w:p>
        </w:tc>
      </w:tr>
      <w:tr>
        <w:tblPrEx>
          <w:tblCellMar>
            <w:top w:w="0" w:type="dxa"/>
            <w:left w:w="0" w:type="dxa"/>
            <w:bottom w:w="0" w:type="dxa"/>
            <w:right w:w="0" w:type="dxa"/>
          </w:tblCellMar>
        </w:tblPrEx>
        <w:trPr>
          <w:trHeight w:val="739"/>
          <w:jc w:val="center"/>
        </w:trPr>
        <w:tc>
          <w:tcPr>
            <w:tcW w:w="3942" w:type="dxa"/>
            <w:tcBorders>
              <w:top w:val="single" w:sz="24" w:space="0" w:color="FFFFFF"/>
              <w:left w:val="single" w:sz="8" w:space="0" w:color="FFFFFF"/>
              <w:bottom w:val="single" w:sz="8" w:space="0" w:color="FFFFFF"/>
              <w:right w:val="single" w:sz="8" w:space="0" w:color="FFFFFF"/>
            </w:tcBorders>
            <w:shd w:val="clear" w:color="auto" w:fill="D0D8E8"/>
            <w:tcMar>
              <w:top w:w="80" w:type="dxa"/>
              <w:left w:w="80" w:type="dxa"/>
              <w:bottom w:w="80" w:type="dxa"/>
              <w:right w:w="80" w:type="dxa"/>
            </w:tcMar>
          </w:tcPr>
          <w:p>
            <w:pPr>
              <w:pBdr>
                <w:top w:val="nil"/>
                <w:left w:val="nil"/>
                <w:bottom w:val="nil"/>
                <w:right w:val="nil"/>
                <w:between w:val="nil"/>
                <w:bar w:val="nil"/>
              </w:pBdr>
              <w:tabs>
                <w:tab w:val="clear" w:pos="2835"/>
              </w:tabs>
              <w:rPr>
                <w:rFonts w:eastAsia="Arial"/>
                <w:b w:val="0"/>
                <w:sz w:val="20"/>
                <w:szCs w:val="20"/>
                <w:u w:color="000000"/>
                <w:bdr w:val="nil"/>
                <w:lang w:val="es-ES_tradnl" w:eastAsia="es-CL"/>
              </w:rPr>
            </w:pPr>
            <w:r>
              <w:rPr>
                <w:b w:val="0"/>
                <w:kern w:val="24"/>
                <w:sz w:val="20"/>
                <w:szCs w:val="20"/>
                <w:u w:color="6F6F6F"/>
                <w:bdr w:val="nil"/>
                <w:lang w:val="es-ES_tradnl" w:eastAsia="es-CL"/>
              </w:rPr>
              <w:t>Realizar los Egresos por Operación Renta a través de transacciones electrónicas.</w:t>
            </w:r>
          </w:p>
        </w:tc>
        <w:tc>
          <w:tcPr>
            <w:tcW w:w="1100" w:type="dxa"/>
            <w:tcBorders>
              <w:top w:val="single" w:sz="24" w:space="0" w:color="FFFFFF"/>
              <w:left w:val="single" w:sz="8" w:space="0" w:color="FFFFFF"/>
              <w:bottom w:val="single" w:sz="8" w:space="0" w:color="FFFFFF"/>
              <w:right w:val="single" w:sz="8" w:space="0" w:color="FFFFFF"/>
            </w:tcBorders>
            <w:shd w:val="clear" w:color="auto" w:fill="D0D8E8"/>
            <w:tcMar>
              <w:top w:w="80" w:type="dxa"/>
              <w:left w:w="80" w:type="dxa"/>
              <w:bottom w:w="80" w:type="dxa"/>
              <w:right w:w="80" w:type="dxa"/>
            </w:tcMar>
          </w:tcPr>
          <w:p>
            <w:pPr>
              <w:pBdr>
                <w:top w:val="nil"/>
                <w:left w:val="nil"/>
                <w:bottom w:val="nil"/>
                <w:right w:val="nil"/>
                <w:between w:val="nil"/>
                <w:bar w:val="nil"/>
              </w:pBdr>
              <w:tabs>
                <w:tab w:val="clear" w:pos="2835"/>
              </w:tabs>
              <w:jc w:val="center"/>
              <w:rPr>
                <w:rFonts w:eastAsia="Arial"/>
                <w:b w:val="0"/>
                <w:sz w:val="20"/>
                <w:szCs w:val="20"/>
                <w:u w:color="000000"/>
                <w:bdr w:val="nil"/>
                <w:lang w:val="es-ES_tradnl" w:eastAsia="es-CL"/>
              </w:rPr>
            </w:pPr>
            <w:r>
              <w:rPr>
                <w:bCs/>
                <w:kern w:val="24"/>
                <w:sz w:val="20"/>
                <w:szCs w:val="20"/>
                <w:u w:color="6F6F6F"/>
                <w:bdr w:val="nil"/>
                <w:lang w:val="es-ES_tradnl" w:eastAsia="es-CL"/>
              </w:rPr>
              <w:t>89,5%</w:t>
            </w:r>
          </w:p>
        </w:tc>
        <w:tc>
          <w:tcPr>
            <w:tcW w:w="4262" w:type="dxa"/>
            <w:tcBorders>
              <w:top w:val="single" w:sz="24" w:space="0" w:color="FFFFFF"/>
              <w:left w:val="single" w:sz="8" w:space="0" w:color="FFFFFF"/>
              <w:bottom w:val="single" w:sz="8" w:space="0" w:color="FFFFFF"/>
              <w:right w:val="single" w:sz="8" w:space="0" w:color="FFFFFF"/>
            </w:tcBorders>
            <w:shd w:val="clear" w:color="auto" w:fill="D0D8E8"/>
            <w:tcMar>
              <w:top w:w="80" w:type="dxa"/>
              <w:left w:w="80" w:type="dxa"/>
              <w:bottom w:w="80" w:type="dxa"/>
              <w:right w:w="80" w:type="dxa"/>
            </w:tcMar>
          </w:tcPr>
          <w:p>
            <w:pPr>
              <w:pBdr>
                <w:top w:val="nil"/>
                <w:left w:val="nil"/>
                <w:bottom w:val="nil"/>
                <w:right w:val="nil"/>
                <w:between w:val="nil"/>
                <w:bar w:val="nil"/>
              </w:pBdr>
              <w:tabs>
                <w:tab w:val="clear" w:pos="2835"/>
              </w:tabs>
              <w:rPr>
                <w:rFonts w:eastAsia="Arial"/>
                <w:b w:val="0"/>
                <w:sz w:val="20"/>
                <w:szCs w:val="20"/>
                <w:u w:color="000000"/>
                <w:bdr w:val="nil"/>
                <w:lang w:val="es-ES_tradnl" w:eastAsia="es-CL"/>
              </w:rPr>
            </w:pPr>
            <w:r>
              <w:rPr>
                <w:b w:val="0"/>
                <w:kern w:val="24"/>
                <w:sz w:val="20"/>
                <w:szCs w:val="20"/>
                <w:u w:color="6F6F6F"/>
                <w:bdr w:val="nil"/>
                <w:lang w:val="es-ES_tradnl" w:eastAsia="es-CL"/>
              </w:rPr>
              <w:t>Simplificar y mejorar los procesos de egresos operacionales.</w:t>
            </w:r>
          </w:p>
        </w:tc>
      </w:tr>
      <w:tr>
        <w:tblPrEx>
          <w:tblCellMar>
            <w:top w:w="0" w:type="dxa"/>
            <w:left w:w="0" w:type="dxa"/>
            <w:bottom w:w="0" w:type="dxa"/>
            <w:right w:w="0" w:type="dxa"/>
          </w:tblCellMar>
        </w:tblPrEx>
        <w:trPr>
          <w:trHeight w:val="953"/>
          <w:jc w:val="center"/>
        </w:trPr>
        <w:tc>
          <w:tcPr>
            <w:tcW w:w="3942"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tcPr>
          <w:p>
            <w:pPr>
              <w:pBdr>
                <w:top w:val="nil"/>
                <w:left w:val="nil"/>
                <w:bottom w:val="nil"/>
                <w:right w:val="nil"/>
                <w:between w:val="nil"/>
                <w:bar w:val="nil"/>
              </w:pBdr>
              <w:tabs>
                <w:tab w:val="clear" w:pos="2835"/>
              </w:tabs>
              <w:rPr>
                <w:rFonts w:eastAsia="Arial"/>
                <w:b w:val="0"/>
                <w:sz w:val="20"/>
                <w:szCs w:val="20"/>
                <w:u w:color="000000"/>
                <w:bdr w:val="nil"/>
                <w:lang w:val="es-ES_tradnl" w:eastAsia="es-CL"/>
              </w:rPr>
            </w:pPr>
            <w:r>
              <w:rPr>
                <w:b w:val="0"/>
                <w:kern w:val="24"/>
                <w:sz w:val="20"/>
                <w:szCs w:val="20"/>
                <w:u w:color="6F6F6F"/>
                <w:bdr w:val="nil"/>
                <w:lang w:val="es-ES_tradnl" w:eastAsia="es-CL"/>
              </w:rPr>
              <w:t>Materializar las Solicitudes de Egresos a Contribuyentes en un plazo igual o menor a 7 días hábiles.</w:t>
            </w:r>
          </w:p>
        </w:tc>
        <w:tc>
          <w:tcPr>
            <w:tcW w:w="1100"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tcPr>
          <w:p>
            <w:pPr>
              <w:pBdr>
                <w:top w:val="nil"/>
                <w:left w:val="nil"/>
                <w:bottom w:val="nil"/>
                <w:right w:val="nil"/>
                <w:between w:val="nil"/>
                <w:bar w:val="nil"/>
              </w:pBdr>
              <w:tabs>
                <w:tab w:val="clear" w:pos="2835"/>
              </w:tabs>
              <w:jc w:val="center"/>
              <w:rPr>
                <w:rFonts w:eastAsia="Arial"/>
                <w:b w:val="0"/>
                <w:sz w:val="20"/>
                <w:szCs w:val="20"/>
                <w:u w:color="000000"/>
                <w:bdr w:val="nil"/>
                <w:lang w:val="es-ES_tradnl" w:eastAsia="es-CL"/>
              </w:rPr>
            </w:pPr>
            <w:r>
              <w:rPr>
                <w:bCs/>
                <w:kern w:val="24"/>
                <w:sz w:val="20"/>
                <w:szCs w:val="20"/>
                <w:u w:color="6F6F6F"/>
                <w:bdr w:val="nil"/>
                <w:lang w:val="es-ES_tradnl" w:eastAsia="es-CL"/>
              </w:rPr>
              <w:t>97,8%</w:t>
            </w:r>
          </w:p>
        </w:tc>
        <w:tc>
          <w:tcPr>
            <w:tcW w:w="4262" w:type="dxa"/>
            <w:tcBorders>
              <w:top w:val="single" w:sz="8" w:space="0" w:color="FFFFFF"/>
              <w:left w:val="single" w:sz="8" w:space="0" w:color="FFFFFF"/>
              <w:bottom w:val="single" w:sz="8" w:space="0" w:color="FFFFFF"/>
              <w:right w:val="single" w:sz="8" w:space="0" w:color="FFFFFF"/>
            </w:tcBorders>
            <w:shd w:val="clear" w:color="auto" w:fill="E9EDF4"/>
            <w:tcMar>
              <w:top w:w="80" w:type="dxa"/>
              <w:left w:w="80" w:type="dxa"/>
              <w:bottom w:w="80" w:type="dxa"/>
              <w:right w:w="80" w:type="dxa"/>
            </w:tcMar>
          </w:tcPr>
          <w:p>
            <w:pPr>
              <w:pBdr>
                <w:top w:val="nil"/>
                <w:left w:val="nil"/>
                <w:bottom w:val="nil"/>
                <w:right w:val="nil"/>
                <w:between w:val="nil"/>
                <w:bar w:val="nil"/>
              </w:pBdr>
              <w:tabs>
                <w:tab w:val="clear" w:pos="2835"/>
              </w:tabs>
              <w:rPr>
                <w:rFonts w:eastAsia="Arial"/>
                <w:b w:val="0"/>
                <w:sz w:val="20"/>
                <w:szCs w:val="20"/>
                <w:u w:color="000000"/>
                <w:bdr w:val="nil"/>
                <w:lang w:val="es-ES_tradnl" w:eastAsia="es-CL"/>
              </w:rPr>
            </w:pPr>
            <w:r>
              <w:rPr>
                <w:b w:val="0"/>
                <w:kern w:val="24"/>
                <w:sz w:val="20"/>
                <w:szCs w:val="20"/>
                <w:u w:color="6F6F6F"/>
                <w:bdr w:val="nil"/>
                <w:lang w:val="es-ES_tradnl" w:eastAsia="es-CL"/>
              </w:rPr>
              <w:t xml:space="preserve">Simplificar, mejorar y brindar un mejor servicio de atención a los ciudadanos. </w:t>
            </w:r>
          </w:p>
        </w:tc>
      </w:tr>
    </w:tbl>
    <w:p>
      <w:pPr>
        <w:pBdr>
          <w:top w:val="nil"/>
          <w:left w:val="nil"/>
          <w:bottom w:val="nil"/>
          <w:right w:val="nil"/>
          <w:between w:val="nil"/>
          <w:bar w:val="nil"/>
        </w:pBdr>
        <w:rPr>
          <w:rFonts w:eastAsia="Arial"/>
          <w:b w:val="0"/>
          <w:color w:val="000000"/>
          <w:sz w:val="20"/>
          <w:szCs w:val="20"/>
          <w:u w:color="000000"/>
          <w:bdr w:val="nil"/>
          <w:lang w:val="es-ES_tradnl" w:eastAsia="es-CL"/>
        </w:rPr>
      </w:pPr>
    </w:p>
    <w:p>
      <w:pPr>
        <w:pBdr>
          <w:top w:val="nil"/>
          <w:left w:val="nil"/>
          <w:bottom w:val="nil"/>
          <w:right w:val="nil"/>
          <w:between w:val="nil"/>
          <w:bar w:val="nil"/>
        </w:pBdr>
        <w:jc w:val="center"/>
        <w:rPr>
          <w:rFonts w:eastAsia="Arial"/>
          <w:bCs/>
          <w:color w:val="000000"/>
          <w:sz w:val="20"/>
          <w:szCs w:val="20"/>
          <w:u w:color="000000"/>
          <w:bdr w:val="nil"/>
          <w:lang w:val="es-ES_tradnl" w:eastAsia="es-CL"/>
        </w:rPr>
      </w:pPr>
      <w:r>
        <w:rPr>
          <w:rFonts w:eastAsia="Arial"/>
          <w:bCs/>
          <w:color w:val="000000"/>
          <w:sz w:val="20"/>
          <w:szCs w:val="20"/>
          <w:u w:color="000000"/>
          <w:bdr w:val="nil"/>
          <w:lang w:val="es-ES_tradnl" w:eastAsia="es-CL"/>
        </w:rPr>
        <w:t>Proyectos Estratégicos TI</w:t>
      </w:r>
    </w:p>
    <w:tbl>
      <w:tblPr>
        <w:tblW w:w="8930" w:type="dxa"/>
        <w:jc w:val="center"/>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659"/>
        <w:gridCol w:w="1058"/>
        <w:gridCol w:w="946"/>
        <w:gridCol w:w="1068"/>
        <w:gridCol w:w="993"/>
        <w:gridCol w:w="992"/>
        <w:gridCol w:w="992"/>
        <w:gridCol w:w="1134"/>
        <w:gridCol w:w="1088"/>
      </w:tblGrid>
      <w:tr>
        <w:tblPrEx>
          <w:tblCellMar>
            <w:top w:w="0" w:type="dxa"/>
            <w:left w:w="0" w:type="dxa"/>
            <w:bottom w:w="0" w:type="dxa"/>
            <w:right w:w="0" w:type="dxa"/>
          </w:tblCellMar>
        </w:tblPrEx>
        <w:trPr>
          <w:trHeight w:val="493"/>
          <w:jc w:val="center"/>
        </w:trPr>
        <w:tc>
          <w:tcPr>
            <w:tcW w:w="1717" w:type="dxa"/>
            <w:gridSpan w:val="2"/>
            <w:vMerge w:val="restart"/>
            <w:tcBorders>
              <w:top w:val="single" w:sz="4" w:space="0" w:color="000000"/>
              <w:left w:val="single" w:sz="4" w:space="0" w:color="000000"/>
              <w:bottom w:val="single" w:sz="4" w:space="0" w:color="000000"/>
              <w:right w:val="single" w:sz="12" w:space="0" w:color="FFFFFF"/>
            </w:tcBorders>
            <w:shd w:val="clear" w:color="auto" w:fill="B8CCE4"/>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20"/>
                <w:szCs w:val="20"/>
                <w:u w:color="000000"/>
                <w:bdr w:val="nil"/>
                <w:lang w:val="es-ES_tradnl" w:eastAsia="es-CL"/>
              </w:rPr>
            </w:pPr>
            <w:r>
              <w:rPr>
                <w:bCs/>
                <w:color w:val="000000"/>
                <w:kern w:val="24"/>
                <w:sz w:val="20"/>
                <w:szCs w:val="20"/>
                <w:u w:color="000000"/>
                <w:bdr w:val="nil"/>
                <w:lang w:val="es-ES_tradnl" w:eastAsia="es-CL"/>
              </w:rPr>
              <w:t xml:space="preserve">PROYECTO </w:t>
            </w:r>
            <w:r>
              <w:rPr>
                <w:bCs/>
                <w:color w:val="000000"/>
                <w:kern w:val="24"/>
                <w:sz w:val="20"/>
                <w:szCs w:val="20"/>
                <w:u w:color="000000"/>
                <w:bdr w:val="nil"/>
                <w:lang w:val="es-ES_tradnl" w:eastAsia="es-CL"/>
              </w:rPr>
              <w:br/>
              <w:t>2014 -2019</w:t>
            </w:r>
          </w:p>
        </w:tc>
        <w:tc>
          <w:tcPr>
            <w:tcW w:w="946" w:type="dxa"/>
            <w:tcBorders>
              <w:top w:val="single" w:sz="4" w:space="0" w:color="000000"/>
              <w:left w:val="single" w:sz="12" w:space="0" w:color="FFFFFF"/>
              <w:bottom w:val="nil"/>
              <w:right w:val="single" w:sz="12" w:space="0" w:color="FFFFFF"/>
            </w:tcBorders>
            <w:shd w:val="clear" w:color="auto" w:fill="B8CCE4"/>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20"/>
                <w:szCs w:val="20"/>
                <w:u w:color="000000"/>
                <w:bdr w:val="nil"/>
                <w:lang w:val="es-ES_tradnl" w:eastAsia="es-CL"/>
              </w:rPr>
            </w:pPr>
            <w:r>
              <w:rPr>
                <w:bCs/>
                <w:color w:val="000000"/>
                <w:kern w:val="24"/>
                <w:sz w:val="20"/>
                <w:szCs w:val="20"/>
                <w:u w:color="000000"/>
                <w:bdr w:val="nil"/>
                <w:lang w:val="es-ES_tradnl" w:eastAsia="es-CL"/>
              </w:rPr>
              <w:t>Año 2014</w:t>
            </w:r>
          </w:p>
        </w:tc>
        <w:tc>
          <w:tcPr>
            <w:tcW w:w="1068" w:type="dxa"/>
            <w:tcBorders>
              <w:top w:val="single" w:sz="4" w:space="0" w:color="000000"/>
              <w:left w:val="single" w:sz="12" w:space="0" w:color="FFFFFF"/>
              <w:bottom w:val="nil"/>
              <w:right w:val="single" w:sz="12" w:space="0" w:color="FFFFFF"/>
            </w:tcBorders>
            <w:shd w:val="clear" w:color="auto" w:fill="B8CCE4"/>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20"/>
                <w:szCs w:val="20"/>
                <w:u w:color="000000"/>
                <w:bdr w:val="nil"/>
                <w:lang w:val="es-ES_tradnl" w:eastAsia="es-CL"/>
              </w:rPr>
            </w:pPr>
            <w:r>
              <w:rPr>
                <w:bCs/>
                <w:color w:val="000000"/>
                <w:kern w:val="24"/>
                <w:sz w:val="20"/>
                <w:szCs w:val="20"/>
                <w:u w:color="000000"/>
                <w:bdr w:val="nil"/>
                <w:lang w:val="es-ES_tradnl" w:eastAsia="es-CL"/>
              </w:rPr>
              <w:t>Año 2015</w:t>
            </w:r>
          </w:p>
        </w:tc>
        <w:tc>
          <w:tcPr>
            <w:tcW w:w="993" w:type="dxa"/>
            <w:tcBorders>
              <w:top w:val="single" w:sz="4" w:space="0" w:color="000000"/>
              <w:left w:val="single" w:sz="12" w:space="0" w:color="FFFFFF"/>
              <w:bottom w:val="nil"/>
              <w:right w:val="single" w:sz="12" w:space="0" w:color="FFFFFF"/>
            </w:tcBorders>
            <w:shd w:val="clear" w:color="auto" w:fill="B8CCE4"/>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20"/>
                <w:szCs w:val="20"/>
                <w:u w:color="000000"/>
                <w:bdr w:val="nil"/>
                <w:lang w:val="es-ES_tradnl" w:eastAsia="es-CL"/>
              </w:rPr>
            </w:pPr>
            <w:r>
              <w:rPr>
                <w:bCs/>
                <w:color w:val="000000"/>
                <w:kern w:val="24"/>
                <w:sz w:val="20"/>
                <w:szCs w:val="20"/>
                <w:u w:color="000000"/>
                <w:bdr w:val="nil"/>
                <w:lang w:val="es-ES_tradnl" w:eastAsia="es-CL"/>
              </w:rPr>
              <w:t>Año 2016</w:t>
            </w:r>
          </w:p>
        </w:tc>
        <w:tc>
          <w:tcPr>
            <w:tcW w:w="992" w:type="dxa"/>
            <w:tcBorders>
              <w:top w:val="single" w:sz="4" w:space="0" w:color="000000"/>
              <w:left w:val="single" w:sz="12" w:space="0" w:color="FFFFFF"/>
              <w:bottom w:val="nil"/>
              <w:right w:val="single" w:sz="12" w:space="0" w:color="FFFFFF"/>
            </w:tcBorders>
            <w:shd w:val="clear" w:color="auto" w:fill="B8CCE4"/>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20"/>
                <w:szCs w:val="20"/>
                <w:u w:color="000000"/>
                <w:bdr w:val="nil"/>
                <w:lang w:val="es-ES_tradnl" w:eastAsia="es-CL"/>
              </w:rPr>
            </w:pPr>
            <w:r>
              <w:rPr>
                <w:bCs/>
                <w:color w:val="000000"/>
                <w:kern w:val="24"/>
                <w:sz w:val="20"/>
                <w:szCs w:val="20"/>
                <w:u w:color="000000"/>
                <w:bdr w:val="nil"/>
                <w:lang w:val="es-ES_tradnl" w:eastAsia="es-CL"/>
              </w:rPr>
              <w:t>Año 2017</w:t>
            </w:r>
          </w:p>
        </w:tc>
        <w:tc>
          <w:tcPr>
            <w:tcW w:w="992" w:type="dxa"/>
            <w:tcBorders>
              <w:top w:val="single" w:sz="4" w:space="0" w:color="000000"/>
              <w:left w:val="single" w:sz="12" w:space="0" w:color="FFFFFF"/>
              <w:bottom w:val="nil"/>
              <w:right w:val="single" w:sz="8" w:space="0" w:color="FFFFFF"/>
            </w:tcBorders>
            <w:shd w:val="clear" w:color="auto" w:fill="B8CCE4"/>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20"/>
                <w:szCs w:val="20"/>
                <w:u w:color="000000"/>
                <w:bdr w:val="nil"/>
                <w:lang w:val="es-ES_tradnl" w:eastAsia="es-CL"/>
              </w:rPr>
            </w:pPr>
            <w:r>
              <w:rPr>
                <w:bCs/>
                <w:color w:val="000000"/>
                <w:kern w:val="24"/>
                <w:sz w:val="20"/>
                <w:szCs w:val="20"/>
                <w:u w:color="000000"/>
                <w:bdr w:val="nil"/>
                <w:lang w:val="es-ES_tradnl" w:eastAsia="es-CL"/>
              </w:rPr>
              <w:t>Año 2018</w:t>
            </w:r>
          </w:p>
        </w:tc>
        <w:tc>
          <w:tcPr>
            <w:tcW w:w="1134" w:type="dxa"/>
            <w:tcBorders>
              <w:top w:val="single" w:sz="4" w:space="0" w:color="000000"/>
              <w:left w:val="single" w:sz="8" w:space="0" w:color="FFFFFF"/>
              <w:bottom w:val="nil"/>
              <w:right w:val="single" w:sz="8" w:space="0" w:color="FFFFFF"/>
            </w:tcBorders>
            <w:shd w:val="clear" w:color="auto" w:fill="B8CCE4"/>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20"/>
                <w:szCs w:val="20"/>
                <w:u w:color="000000"/>
                <w:bdr w:val="nil"/>
                <w:lang w:val="es-ES_tradnl" w:eastAsia="es-CL"/>
              </w:rPr>
            </w:pPr>
            <w:r>
              <w:rPr>
                <w:bCs/>
                <w:color w:val="000000"/>
                <w:kern w:val="24"/>
                <w:sz w:val="20"/>
                <w:szCs w:val="20"/>
                <w:u w:color="000000"/>
                <w:bdr w:val="nil"/>
                <w:lang w:val="es-ES_tradnl" w:eastAsia="es-CL"/>
              </w:rPr>
              <w:t>Año 2019</w:t>
            </w:r>
          </w:p>
        </w:tc>
        <w:tc>
          <w:tcPr>
            <w:tcW w:w="1088" w:type="dxa"/>
            <w:vMerge w:val="restart"/>
            <w:tcBorders>
              <w:top w:val="single" w:sz="4" w:space="0" w:color="000000"/>
              <w:left w:val="single" w:sz="8" w:space="0" w:color="FFFFFF"/>
              <w:bottom w:val="single" w:sz="4" w:space="0" w:color="000000"/>
              <w:right w:val="single" w:sz="4" w:space="0" w:color="000000"/>
            </w:tcBorders>
            <w:shd w:val="clear" w:color="auto" w:fill="B8CCE4"/>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20"/>
                <w:szCs w:val="20"/>
                <w:u w:color="000000"/>
                <w:bdr w:val="nil"/>
                <w:lang w:val="es-ES_tradnl" w:eastAsia="es-CL"/>
              </w:rPr>
            </w:pPr>
            <w:r>
              <w:rPr>
                <w:rFonts w:ascii="Calibri" w:hAnsi="Calibri" w:cs="Calibri"/>
                <w:bCs/>
                <w:color w:val="000000"/>
                <w:kern w:val="24"/>
                <w:sz w:val="20"/>
                <w:szCs w:val="20"/>
                <w:u w:color="000000"/>
                <w:bdr w:val="nil"/>
                <w:lang w:val="es-ES_tradnl" w:eastAsia="es-CL"/>
              </w:rPr>
              <w:t>Total</w:t>
            </w:r>
            <w:r>
              <w:rPr>
                <w:rFonts w:ascii="Calibri" w:hAnsi="Calibri" w:cs="Calibri"/>
                <w:bCs/>
                <w:color w:val="000000"/>
                <w:kern w:val="24"/>
                <w:sz w:val="20"/>
                <w:szCs w:val="20"/>
                <w:u w:color="000000"/>
                <w:bdr w:val="nil"/>
                <w:lang w:val="es-ES_tradnl" w:eastAsia="es-CL"/>
              </w:rPr>
              <w:br/>
              <w:t>M$</w:t>
            </w:r>
          </w:p>
        </w:tc>
      </w:tr>
      <w:tr>
        <w:tblPrEx>
          <w:tblCellMar>
            <w:top w:w="0" w:type="dxa"/>
            <w:left w:w="0" w:type="dxa"/>
            <w:bottom w:w="0" w:type="dxa"/>
            <w:right w:w="0" w:type="dxa"/>
          </w:tblCellMar>
        </w:tblPrEx>
        <w:trPr>
          <w:trHeight w:val="445"/>
          <w:jc w:val="center"/>
        </w:trPr>
        <w:tc>
          <w:tcPr>
            <w:tcW w:w="1717" w:type="dxa"/>
            <w:gridSpan w:val="2"/>
            <w:vMerge/>
            <w:tcBorders>
              <w:top w:val="single" w:sz="4" w:space="0" w:color="000000"/>
              <w:left w:val="single" w:sz="4" w:space="0" w:color="000000"/>
              <w:bottom w:val="single" w:sz="4" w:space="0" w:color="000000"/>
              <w:right w:val="single" w:sz="12" w:space="0" w:color="FFFFFF"/>
            </w:tcBorders>
            <w:shd w:val="clear" w:color="auto" w:fill="B8CCE4"/>
          </w:tcPr>
          <w:p>
            <w:pPr>
              <w:pBdr>
                <w:top w:val="nil"/>
                <w:left w:val="nil"/>
                <w:bottom w:val="nil"/>
                <w:right w:val="nil"/>
                <w:between w:val="nil"/>
                <w:bar w:val="nil"/>
              </w:pBdr>
              <w:rPr>
                <w:rFonts w:eastAsia="Arial"/>
                <w:b w:val="0"/>
                <w:color w:val="000000"/>
                <w:sz w:val="20"/>
                <w:szCs w:val="20"/>
                <w:u w:color="000000"/>
                <w:bdr w:val="nil"/>
                <w:lang w:val="es-ES_tradnl" w:eastAsia="es-CL"/>
              </w:rPr>
            </w:pPr>
          </w:p>
        </w:tc>
        <w:tc>
          <w:tcPr>
            <w:tcW w:w="946" w:type="dxa"/>
            <w:tcBorders>
              <w:top w:val="nil"/>
              <w:left w:val="single" w:sz="12" w:space="0" w:color="FFFFFF"/>
              <w:bottom w:val="single" w:sz="4" w:space="0" w:color="000000"/>
              <w:right w:val="single" w:sz="12" w:space="0" w:color="FFFFFF"/>
            </w:tcBorders>
            <w:shd w:val="clear" w:color="auto" w:fill="F2F2F2"/>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20"/>
                <w:szCs w:val="20"/>
                <w:u w:color="000000"/>
                <w:bdr w:val="nil"/>
                <w:lang w:val="es-ES_tradnl" w:eastAsia="es-CL"/>
              </w:rPr>
            </w:pPr>
            <w:r>
              <w:rPr>
                <w:b w:val="0"/>
                <w:color w:val="000000"/>
                <w:kern w:val="24"/>
                <w:sz w:val="20"/>
                <w:szCs w:val="20"/>
                <w:u w:color="000000"/>
                <w:bdr w:val="nil"/>
                <w:lang w:val="es-ES_tradnl" w:eastAsia="es-CL"/>
              </w:rPr>
              <w:t>Presupuesto</w:t>
            </w:r>
          </w:p>
        </w:tc>
        <w:tc>
          <w:tcPr>
            <w:tcW w:w="1068" w:type="dxa"/>
            <w:tcBorders>
              <w:top w:val="nil"/>
              <w:left w:val="single" w:sz="12" w:space="0" w:color="FFFFFF"/>
              <w:bottom w:val="single" w:sz="4" w:space="0" w:color="000000"/>
              <w:right w:val="single" w:sz="12" w:space="0" w:color="FFFFFF"/>
            </w:tcBorders>
            <w:shd w:val="clear" w:color="auto" w:fill="F2F2F2"/>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20"/>
                <w:szCs w:val="20"/>
                <w:u w:color="000000"/>
                <w:bdr w:val="nil"/>
                <w:lang w:val="es-ES_tradnl" w:eastAsia="es-CL"/>
              </w:rPr>
            </w:pPr>
            <w:r>
              <w:rPr>
                <w:b w:val="0"/>
                <w:color w:val="000000"/>
                <w:kern w:val="24"/>
                <w:sz w:val="20"/>
                <w:szCs w:val="20"/>
                <w:u w:color="000000"/>
                <w:bdr w:val="nil"/>
                <w:lang w:val="es-ES_tradnl" w:eastAsia="es-CL"/>
              </w:rPr>
              <w:t>Presupuesto</w:t>
            </w:r>
          </w:p>
        </w:tc>
        <w:tc>
          <w:tcPr>
            <w:tcW w:w="993" w:type="dxa"/>
            <w:tcBorders>
              <w:top w:val="nil"/>
              <w:left w:val="single" w:sz="12" w:space="0" w:color="FFFFFF"/>
              <w:bottom w:val="single" w:sz="4" w:space="0" w:color="000000"/>
              <w:right w:val="single" w:sz="12" w:space="0" w:color="FFFFFF"/>
            </w:tcBorders>
            <w:shd w:val="clear" w:color="auto" w:fill="F2F2F2"/>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20"/>
                <w:szCs w:val="20"/>
                <w:u w:color="000000"/>
                <w:bdr w:val="nil"/>
                <w:lang w:val="es-ES_tradnl" w:eastAsia="es-CL"/>
              </w:rPr>
            </w:pPr>
            <w:r>
              <w:rPr>
                <w:b w:val="0"/>
                <w:color w:val="000000"/>
                <w:kern w:val="24"/>
                <w:sz w:val="20"/>
                <w:szCs w:val="20"/>
                <w:u w:color="000000"/>
                <w:bdr w:val="nil"/>
                <w:lang w:val="es-ES_tradnl" w:eastAsia="es-CL"/>
              </w:rPr>
              <w:t>Presupuesto</w:t>
            </w:r>
          </w:p>
        </w:tc>
        <w:tc>
          <w:tcPr>
            <w:tcW w:w="992" w:type="dxa"/>
            <w:tcBorders>
              <w:top w:val="nil"/>
              <w:left w:val="single" w:sz="12" w:space="0" w:color="FFFFFF"/>
              <w:bottom w:val="single" w:sz="4" w:space="0" w:color="000000"/>
              <w:right w:val="single" w:sz="12" w:space="0" w:color="FFFFFF"/>
            </w:tcBorders>
            <w:shd w:val="clear" w:color="auto" w:fill="F2F2F2"/>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20"/>
                <w:szCs w:val="20"/>
                <w:u w:color="000000"/>
                <w:bdr w:val="nil"/>
                <w:lang w:val="es-ES_tradnl" w:eastAsia="es-CL"/>
              </w:rPr>
            </w:pPr>
            <w:r>
              <w:rPr>
                <w:b w:val="0"/>
                <w:color w:val="000000"/>
                <w:kern w:val="24"/>
                <w:sz w:val="20"/>
                <w:szCs w:val="20"/>
                <w:u w:color="000000"/>
                <w:bdr w:val="nil"/>
                <w:lang w:val="es-ES_tradnl" w:eastAsia="es-CL"/>
              </w:rPr>
              <w:t>Presupuesto</w:t>
            </w:r>
          </w:p>
        </w:tc>
        <w:tc>
          <w:tcPr>
            <w:tcW w:w="992" w:type="dxa"/>
            <w:tcBorders>
              <w:top w:val="nil"/>
              <w:left w:val="single" w:sz="12" w:space="0" w:color="FFFFFF"/>
              <w:bottom w:val="single" w:sz="4" w:space="0" w:color="000000"/>
              <w:right w:val="single" w:sz="8" w:space="0" w:color="FFFFFF"/>
            </w:tcBorders>
            <w:shd w:val="clear" w:color="auto" w:fill="F2F2F2"/>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20"/>
                <w:szCs w:val="20"/>
                <w:u w:color="000000"/>
                <w:bdr w:val="nil"/>
                <w:lang w:val="es-ES_tradnl" w:eastAsia="es-CL"/>
              </w:rPr>
            </w:pPr>
            <w:r>
              <w:rPr>
                <w:b w:val="0"/>
                <w:color w:val="000000"/>
                <w:kern w:val="24"/>
                <w:sz w:val="20"/>
                <w:szCs w:val="20"/>
                <w:u w:color="000000"/>
                <w:bdr w:val="nil"/>
                <w:lang w:val="es-ES_tradnl" w:eastAsia="es-CL"/>
              </w:rPr>
              <w:t>Presupuesto</w:t>
            </w:r>
          </w:p>
        </w:tc>
        <w:tc>
          <w:tcPr>
            <w:tcW w:w="1134" w:type="dxa"/>
            <w:tcBorders>
              <w:top w:val="nil"/>
              <w:left w:val="single" w:sz="8" w:space="0" w:color="FFFFFF"/>
              <w:bottom w:val="single" w:sz="4" w:space="0" w:color="000000"/>
              <w:right w:val="single" w:sz="8" w:space="0" w:color="FFFFFF"/>
            </w:tcBorders>
            <w:shd w:val="clear" w:color="auto" w:fill="F2F2F2"/>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20"/>
                <w:szCs w:val="20"/>
                <w:u w:color="000000"/>
                <w:bdr w:val="nil"/>
                <w:lang w:val="es-ES_tradnl" w:eastAsia="es-CL"/>
              </w:rPr>
            </w:pPr>
            <w:r>
              <w:rPr>
                <w:b w:val="0"/>
                <w:color w:val="000000"/>
                <w:kern w:val="24"/>
                <w:sz w:val="20"/>
                <w:szCs w:val="20"/>
                <w:u w:color="000000"/>
                <w:bdr w:val="nil"/>
                <w:lang w:val="es-ES_tradnl" w:eastAsia="es-CL"/>
              </w:rPr>
              <w:t>Presupuesto</w:t>
            </w:r>
          </w:p>
        </w:tc>
        <w:tc>
          <w:tcPr>
            <w:tcW w:w="1088" w:type="dxa"/>
            <w:vMerge/>
            <w:tcBorders>
              <w:top w:val="single" w:sz="4" w:space="0" w:color="000000"/>
              <w:left w:val="single" w:sz="8" w:space="0" w:color="FFFFFF"/>
              <w:bottom w:val="single" w:sz="4" w:space="0" w:color="000000"/>
              <w:right w:val="single" w:sz="4" w:space="0" w:color="000000"/>
            </w:tcBorders>
            <w:shd w:val="clear" w:color="auto" w:fill="B8CCE4"/>
          </w:tcPr>
          <w:p>
            <w:pPr>
              <w:pBdr>
                <w:top w:val="nil"/>
                <w:left w:val="nil"/>
                <w:bottom w:val="nil"/>
                <w:right w:val="nil"/>
                <w:between w:val="nil"/>
                <w:bar w:val="nil"/>
              </w:pBdr>
              <w:rPr>
                <w:rFonts w:eastAsia="Arial"/>
                <w:b w:val="0"/>
                <w:color w:val="000000"/>
                <w:sz w:val="20"/>
                <w:szCs w:val="20"/>
                <w:u w:color="000000"/>
                <w:bdr w:val="nil"/>
                <w:lang w:val="es-ES_tradnl" w:eastAsia="es-CL"/>
              </w:rPr>
            </w:pPr>
          </w:p>
        </w:tc>
      </w:tr>
      <w:tr>
        <w:tblPrEx>
          <w:tblCellMar>
            <w:top w:w="0" w:type="dxa"/>
            <w:left w:w="0" w:type="dxa"/>
            <w:bottom w:w="0" w:type="dxa"/>
            <w:right w:w="0" w:type="dxa"/>
          </w:tblCellMar>
        </w:tblPrEx>
        <w:trPr>
          <w:trHeight w:val="701"/>
          <w:jc w:val="center"/>
        </w:trPr>
        <w:tc>
          <w:tcPr>
            <w:tcW w:w="659"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20"/>
                <w:szCs w:val="20"/>
                <w:u w:color="000000"/>
                <w:bdr w:val="nil"/>
                <w:lang w:val="es-ES_tradnl" w:eastAsia="es-CL"/>
              </w:rPr>
            </w:pPr>
            <w:r>
              <w:rPr>
                <w:rFonts w:ascii="Calibri" w:hAnsi="Calibri" w:cs="Calibri"/>
                <w:bCs/>
                <w:color w:val="1F497D"/>
                <w:kern w:val="24"/>
                <w:sz w:val="20"/>
                <w:szCs w:val="20"/>
                <w:u w:color="1F497D"/>
                <w:bdr w:val="nil"/>
                <w:lang w:val="es-ES_tradnl" w:eastAsia="es-CL"/>
              </w:rPr>
              <w:t>CORE</w:t>
            </w:r>
          </w:p>
        </w:tc>
        <w:tc>
          <w:tcPr>
            <w:tcW w:w="1058" w:type="dxa"/>
            <w:tcBorders>
              <w:top w:val="single" w:sz="4" w:space="0" w:color="000000"/>
              <w:left w:val="single" w:sz="4" w:space="0" w:color="000000"/>
              <w:bottom w:val="single" w:sz="4" w:space="0" w:color="FFFFFF"/>
              <w:right w:val="single" w:sz="12" w:space="0" w:color="FFFFFF"/>
            </w:tcBorders>
            <w:shd w:val="clear" w:color="auto" w:fill="F2F2F2"/>
            <w:tcMar>
              <w:top w:w="80" w:type="dxa"/>
              <w:left w:w="80" w:type="dxa"/>
              <w:bottom w:w="80" w:type="dxa"/>
              <w:right w:w="80" w:type="dxa"/>
            </w:tcMar>
            <w:vAlign w:val="center"/>
          </w:tcPr>
          <w:p>
            <w:pPr>
              <w:pBdr>
                <w:top w:val="nil"/>
                <w:left w:val="nil"/>
                <w:bottom w:val="nil"/>
                <w:right w:val="nil"/>
                <w:between w:val="nil"/>
                <w:bar w:val="nil"/>
              </w:pBdr>
              <w:tabs>
                <w:tab w:val="clear" w:pos="2835"/>
              </w:tabs>
              <w:jc w:val="left"/>
              <w:rPr>
                <w:rFonts w:eastAsia="Arial"/>
                <w:b w:val="0"/>
                <w:color w:val="000000"/>
                <w:sz w:val="20"/>
                <w:szCs w:val="20"/>
                <w:u w:color="000000"/>
                <w:bdr w:val="nil"/>
                <w:lang w:val="es-ES_tradnl" w:eastAsia="es-CL"/>
              </w:rPr>
            </w:pPr>
            <w:r>
              <w:rPr>
                <w:rFonts w:ascii="Calibri" w:hAnsi="Calibri" w:cs="Calibri"/>
                <w:b w:val="0"/>
                <w:color w:val="000000"/>
                <w:kern w:val="24"/>
                <w:sz w:val="20"/>
                <w:szCs w:val="20"/>
                <w:u w:color="000000"/>
                <w:bdr w:val="nil"/>
                <w:lang w:val="es-ES_tradnl" w:eastAsia="es-CL"/>
              </w:rPr>
              <w:t>Subtítulo 21</w:t>
            </w:r>
          </w:p>
        </w:tc>
        <w:tc>
          <w:tcPr>
            <w:tcW w:w="946" w:type="dxa"/>
            <w:tcBorders>
              <w:top w:val="single" w:sz="4" w:space="0" w:color="000000"/>
              <w:left w:val="single" w:sz="12" w:space="0" w:color="FFFFFF"/>
              <w:bottom w:val="single" w:sz="4" w:space="0" w:color="FFFFFF"/>
              <w:right w:val="single" w:sz="12" w:space="0" w:color="FFFFFF"/>
            </w:tcBorders>
            <w:shd w:val="clear" w:color="auto" w:fill="F2F2F2"/>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20"/>
                <w:szCs w:val="20"/>
                <w:u w:color="000000"/>
                <w:bdr w:val="nil"/>
                <w:lang w:val="es-ES_tradnl" w:eastAsia="es-CL"/>
              </w:rPr>
            </w:pPr>
            <w:r>
              <w:rPr>
                <w:rFonts w:ascii="Calibri" w:hAnsi="Calibri" w:cs="Calibri"/>
                <w:b w:val="0"/>
                <w:color w:val="000000"/>
                <w:kern w:val="24"/>
                <w:sz w:val="20"/>
                <w:szCs w:val="20"/>
                <w:u w:color="000000"/>
                <w:bdr w:val="nil"/>
                <w:lang w:val="es-ES_tradnl" w:eastAsia="es-CL"/>
              </w:rPr>
              <w:t>0</w:t>
            </w:r>
          </w:p>
        </w:tc>
        <w:tc>
          <w:tcPr>
            <w:tcW w:w="1068" w:type="dxa"/>
            <w:tcBorders>
              <w:top w:val="single" w:sz="4" w:space="0" w:color="000000"/>
              <w:left w:val="single" w:sz="12" w:space="0" w:color="FFFFFF"/>
              <w:bottom w:val="single" w:sz="4" w:space="0" w:color="FFFFFF"/>
              <w:right w:val="single" w:sz="12" w:space="0" w:color="FFFFFF"/>
            </w:tcBorders>
            <w:shd w:val="clear" w:color="auto" w:fill="F2F2F2"/>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20"/>
                <w:szCs w:val="20"/>
                <w:u w:color="000000"/>
                <w:bdr w:val="nil"/>
                <w:lang w:val="es-ES_tradnl" w:eastAsia="es-CL"/>
              </w:rPr>
            </w:pPr>
            <w:r>
              <w:rPr>
                <w:rFonts w:ascii="Calibri" w:hAnsi="Calibri" w:cs="Calibri"/>
                <w:b w:val="0"/>
                <w:color w:val="000000"/>
                <w:kern w:val="24"/>
                <w:sz w:val="20"/>
                <w:szCs w:val="20"/>
                <w:u w:color="000000"/>
                <w:bdr w:val="nil"/>
                <w:lang w:val="es-ES_tradnl" w:eastAsia="es-CL"/>
              </w:rPr>
              <w:t>161.104</w:t>
            </w:r>
          </w:p>
        </w:tc>
        <w:tc>
          <w:tcPr>
            <w:tcW w:w="993" w:type="dxa"/>
            <w:tcBorders>
              <w:top w:val="single" w:sz="4" w:space="0" w:color="000000"/>
              <w:left w:val="single" w:sz="12" w:space="0" w:color="FFFFFF"/>
              <w:bottom w:val="single" w:sz="4" w:space="0" w:color="FFFFFF"/>
              <w:right w:val="single" w:sz="12" w:space="0" w:color="FFFFFF"/>
            </w:tcBorders>
            <w:shd w:val="clear" w:color="auto" w:fill="F2F2F2"/>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20"/>
                <w:szCs w:val="20"/>
                <w:u w:color="000000"/>
                <w:bdr w:val="nil"/>
                <w:lang w:val="es-ES_tradnl" w:eastAsia="es-CL"/>
              </w:rPr>
            </w:pPr>
            <w:r>
              <w:rPr>
                <w:rFonts w:ascii="Calibri" w:hAnsi="Calibri" w:cs="Calibri"/>
                <w:b w:val="0"/>
                <w:color w:val="000000"/>
                <w:kern w:val="24"/>
                <w:sz w:val="20"/>
                <w:szCs w:val="20"/>
                <w:u w:color="000000"/>
                <w:bdr w:val="nil"/>
                <w:lang w:val="es-ES_tradnl" w:eastAsia="es-CL"/>
              </w:rPr>
              <w:t>348.569</w:t>
            </w:r>
          </w:p>
        </w:tc>
        <w:tc>
          <w:tcPr>
            <w:tcW w:w="992" w:type="dxa"/>
            <w:tcBorders>
              <w:top w:val="single" w:sz="4" w:space="0" w:color="000000"/>
              <w:left w:val="single" w:sz="12" w:space="0" w:color="FFFFFF"/>
              <w:bottom w:val="single" w:sz="4" w:space="0" w:color="FFFFFF"/>
              <w:right w:val="single" w:sz="12" w:space="0" w:color="FFFFFF"/>
            </w:tcBorders>
            <w:shd w:val="clear" w:color="auto" w:fill="F2F2F2"/>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20"/>
                <w:szCs w:val="20"/>
                <w:u w:color="000000"/>
                <w:bdr w:val="nil"/>
                <w:lang w:val="es-ES_tradnl" w:eastAsia="es-CL"/>
              </w:rPr>
            </w:pPr>
            <w:r>
              <w:rPr>
                <w:rFonts w:ascii="Calibri" w:hAnsi="Calibri" w:cs="Calibri"/>
                <w:b w:val="0"/>
                <w:color w:val="000000"/>
                <w:kern w:val="24"/>
                <w:sz w:val="20"/>
                <w:szCs w:val="20"/>
                <w:u w:color="000000"/>
                <w:bdr w:val="nil"/>
                <w:lang w:val="es-ES_tradnl" w:eastAsia="es-CL"/>
              </w:rPr>
              <w:t>348.569</w:t>
            </w:r>
          </w:p>
        </w:tc>
        <w:tc>
          <w:tcPr>
            <w:tcW w:w="992" w:type="dxa"/>
            <w:tcBorders>
              <w:top w:val="single" w:sz="4" w:space="0" w:color="000000"/>
              <w:left w:val="single" w:sz="12" w:space="0" w:color="FFFFFF"/>
              <w:bottom w:val="single" w:sz="4" w:space="0" w:color="FFFFFF"/>
              <w:right w:val="single" w:sz="8" w:space="0" w:color="FFFFFF"/>
            </w:tcBorders>
            <w:shd w:val="clear" w:color="auto" w:fill="F2F2F2"/>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20"/>
                <w:szCs w:val="20"/>
                <w:u w:color="000000"/>
                <w:bdr w:val="nil"/>
                <w:lang w:val="es-ES_tradnl" w:eastAsia="es-CL"/>
              </w:rPr>
            </w:pPr>
            <w:r>
              <w:rPr>
                <w:rFonts w:ascii="Calibri" w:hAnsi="Calibri" w:cs="Calibri"/>
                <w:b w:val="0"/>
                <w:color w:val="000000"/>
                <w:kern w:val="24"/>
                <w:sz w:val="20"/>
                <w:szCs w:val="20"/>
                <w:u w:color="000000"/>
                <w:bdr w:val="nil"/>
                <w:lang w:val="es-ES_tradnl" w:eastAsia="es-CL"/>
              </w:rPr>
              <w:t>348.569</w:t>
            </w:r>
          </w:p>
        </w:tc>
        <w:tc>
          <w:tcPr>
            <w:tcW w:w="1134" w:type="dxa"/>
            <w:tcBorders>
              <w:top w:val="single" w:sz="4" w:space="0" w:color="000000"/>
              <w:left w:val="single" w:sz="8" w:space="0" w:color="FFFFFF"/>
              <w:bottom w:val="single" w:sz="4" w:space="0" w:color="FFFFFF"/>
              <w:right w:val="single" w:sz="12" w:space="0" w:color="FFFFFF"/>
            </w:tcBorders>
            <w:shd w:val="clear" w:color="auto" w:fill="F2F2F2"/>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20"/>
                <w:szCs w:val="20"/>
                <w:u w:color="000000"/>
                <w:bdr w:val="nil"/>
                <w:lang w:val="es-ES_tradnl" w:eastAsia="es-CL"/>
              </w:rPr>
            </w:pPr>
            <w:r>
              <w:rPr>
                <w:rFonts w:ascii="Calibri" w:hAnsi="Calibri" w:cs="Calibri"/>
                <w:b w:val="0"/>
                <w:color w:val="000000"/>
                <w:kern w:val="24"/>
                <w:sz w:val="20"/>
                <w:szCs w:val="20"/>
                <w:u w:color="000000"/>
                <w:bdr w:val="nil"/>
                <w:lang w:val="es-ES_tradnl" w:eastAsia="es-CL"/>
              </w:rPr>
              <w:t>348.569</w:t>
            </w:r>
          </w:p>
        </w:tc>
        <w:tc>
          <w:tcPr>
            <w:tcW w:w="1088" w:type="dxa"/>
            <w:tcBorders>
              <w:top w:val="single" w:sz="4" w:space="0" w:color="000000"/>
              <w:left w:val="single" w:sz="12" w:space="0" w:color="FFFFFF"/>
              <w:bottom w:val="single" w:sz="4" w:space="0" w:color="FFFFFF"/>
              <w:right w:val="single" w:sz="4" w:space="0" w:color="000000"/>
            </w:tcBorders>
            <w:shd w:val="clear" w:color="auto" w:fill="F2F2F2"/>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20"/>
                <w:szCs w:val="20"/>
                <w:u w:color="000000"/>
                <w:bdr w:val="nil"/>
                <w:lang w:val="es-ES_tradnl" w:eastAsia="es-CL"/>
              </w:rPr>
            </w:pPr>
            <w:r>
              <w:rPr>
                <w:rFonts w:ascii="Calibri" w:hAnsi="Calibri" w:cs="Calibri"/>
                <w:b w:val="0"/>
                <w:color w:val="000000"/>
                <w:kern w:val="24"/>
                <w:sz w:val="20"/>
                <w:szCs w:val="20"/>
                <w:u w:color="000000"/>
                <w:bdr w:val="nil"/>
                <w:lang w:val="es-ES_tradnl" w:eastAsia="es-CL"/>
              </w:rPr>
              <w:t>1.555.379</w:t>
            </w:r>
          </w:p>
        </w:tc>
      </w:tr>
      <w:tr>
        <w:tblPrEx>
          <w:tblCellMar>
            <w:top w:w="0" w:type="dxa"/>
            <w:left w:w="0" w:type="dxa"/>
            <w:bottom w:w="0" w:type="dxa"/>
            <w:right w:w="0" w:type="dxa"/>
          </w:tblCellMar>
        </w:tblPrEx>
        <w:trPr>
          <w:trHeight w:val="450"/>
          <w:jc w:val="center"/>
        </w:trPr>
        <w:tc>
          <w:tcPr>
            <w:tcW w:w="659" w:type="dxa"/>
            <w:vMerge/>
            <w:tcBorders>
              <w:top w:val="single" w:sz="4" w:space="0" w:color="000000"/>
              <w:left w:val="single" w:sz="4" w:space="0" w:color="000000"/>
              <w:bottom w:val="single" w:sz="4" w:space="0" w:color="000000"/>
              <w:right w:val="single" w:sz="4" w:space="0" w:color="000000"/>
            </w:tcBorders>
            <w:shd w:val="clear" w:color="auto" w:fill="auto"/>
          </w:tcPr>
          <w:p>
            <w:pPr>
              <w:pBdr>
                <w:top w:val="nil"/>
                <w:left w:val="nil"/>
                <w:bottom w:val="nil"/>
                <w:right w:val="nil"/>
                <w:between w:val="nil"/>
                <w:bar w:val="nil"/>
              </w:pBdr>
              <w:rPr>
                <w:rFonts w:eastAsia="Arial"/>
                <w:b w:val="0"/>
                <w:color w:val="000000"/>
                <w:sz w:val="20"/>
                <w:szCs w:val="20"/>
                <w:u w:color="000000"/>
                <w:bdr w:val="nil"/>
                <w:lang w:val="es-ES_tradnl" w:eastAsia="es-CL"/>
              </w:rPr>
            </w:pPr>
          </w:p>
        </w:tc>
        <w:tc>
          <w:tcPr>
            <w:tcW w:w="1058" w:type="dxa"/>
            <w:tcBorders>
              <w:top w:val="single" w:sz="4" w:space="0" w:color="FFFFFF"/>
              <w:left w:val="single" w:sz="4" w:space="0" w:color="000000"/>
              <w:bottom w:val="single" w:sz="4" w:space="0" w:color="FFFFFF"/>
              <w:right w:val="single" w:sz="12" w:space="0" w:color="FFFFFF"/>
            </w:tcBorders>
            <w:shd w:val="clear" w:color="auto" w:fill="F2F2F2"/>
            <w:tcMar>
              <w:top w:w="80" w:type="dxa"/>
              <w:left w:w="80" w:type="dxa"/>
              <w:bottom w:w="80" w:type="dxa"/>
              <w:right w:w="80" w:type="dxa"/>
            </w:tcMar>
            <w:vAlign w:val="center"/>
          </w:tcPr>
          <w:p>
            <w:pPr>
              <w:pBdr>
                <w:top w:val="nil"/>
                <w:left w:val="nil"/>
                <w:bottom w:val="nil"/>
                <w:right w:val="nil"/>
                <w:between w:val="nil"/>
                <w:bar w:val="nil"/>
              </w:pBdr>
              <w:tabs>
                <w:tab w:val="clear" w:pos="2835"/>
              </w:tabs>
              <w:jc w:val="left"/>
              <w:rPr>
                <w:rFonts w:eastAsia="Arial"/>
                <w:b w:val="0"/>
                <w:color w:val="000000"/>
                <w:sz w:val="20"/>
                <w:szCs w:val="20"/>
                <w:u w:color="000000"/>
                <w:bdr w:val="nil"/>
                <w:lang w:val="es-ES_tradnl" w:eastAsia="es-CL"/>
              </w:rPr>
            </w:pPr>
            <w:r>
              <w:rPr>
                <w:rFonts w:ascii="Calibri" w:hAnsi="Calibri" w:cs="Calibri"/>
                <w:b w:val="0"/>
                <w:color w:val="000000"/>
                <w:kern w:val="24"/>
                <w:sz w:val="20"/>
                <w:szCs w:val="20"/>
                <w:u w:color="000000"/>
                <w:bdr w:val="nil"/>
                <w:lang w:val="es-ES_tradnl" w:eastAsia="es-CL"/>
              </w:rPr>
              <w:t>Subtítulo 22</w:t>
            </w:r>
          </w:p>
        </w:tc>
        <w:tc>
          <w:tcPr>
            <w:tcW w:w="946" w:type="dxa"/>
            <w:tcBorders>
              <w:top w:val="single" w:sz="4" w:space="0" w:color="FFFFFF"/>
              <w:left w:val="single" w:sz="12" w:space="0" w:color="FFFFFF"/>
              <w:bottom w:val="single" w:sz="4" w:space="0" w:color="FFFFFF"/>
              <w:right w:val="single" w:sz="12" w:space="0" w:color="FFFFFF"/>
            </w:tcBorders>
            <w:shd w:val="clear" w:color="auto" w:fill="F2F2F2"/>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20"/>
                <w:szCs w:val="20"/>
                <w:u w:color="000000"/>
                <w:bdr w:val="nil"/>
                <w:lang w:val="es-ES_tradnl" w:eastAsia="es-CL"/>
              </w:rPr>
            </w:pPr>
            <w:r>
              <w:rPr>
                <w:rFonts w:ascii="Calibri" w:hAnsi="Calibri" w:cs="Calibri"/>
                <w:b w:val="0"/>
                <w:color w:val="000000"/>
                <w:kern w:val="24"/>
                <w:sz w:val="20"/>
                <w:szCs w:val="20"/>
                <w:u w:color="000000"/>
                <w:bdr w:val="nil"/>
                <w:lang w:val="es-ES_tradnl" w:eastAsia="es-CL"/>
              </w:rPr>
              <w:t>119.102</w:t>
            </w:r>
          </w:p>
        </w:tc>
        <w:tc>
          <w:tcPr>
            <w:tcW w:w="1068" w:type="dxa"/>
            <w:tcBorders>
              <w:top w:val="single" w:sz="4" w:space="0" w:color="FFFFFF"/>
              <w:left w:val="single" w:sz="12" w:space="0" w:color="FFFFFF"/>
              <w:bottom w:val="single" w:sz="4" w:space="0" w:color="FFFFFF"/>
              <w:right w:val="single" w:sz="12" w:space="0" w:color="FFFFFF"/>
            </w:tcBorders>
            <w:shd w:val="clear" w:color="auto" w:fill="F2F2F2"/>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20"/>
                <w:szCs w:val="20"/>
                <w:u w:color="000000"/>
                <w:bdr w:val="nil"/>
                <w:lang w:val="es-ES_tradnl" w:eastAsia="es-CL"/>
              </w:rPr>
            </w:pPr>
            <w:r>
              <w:rPr>
                <w:rFonts w:ascii="Calibri" w:hAnsi="Calibri" w:cs="Calibri"/>
                <w:b w:val="0"/>
                <w:color w:val="000000"/>
                <w:kern w:val="24"/>
                <w:sz w:val="20"/>
                <w:szCs w:val="20"/>
                <w:u w:color="000000"/>
                <w:bdr w:val="nil"/>
                <w:lang w:val="es-ES_tradnl" w:eastAsia="es-CL"/>
              </w:rPr>
              <w:t>35.628</w:t>
            </w:r>
          </w:p>
        </w:tc>
        <w:tc>
          <w:tcPr>
            <w:tcW w:w="993" w:type="dxa"/>
            <w:tcBorders>
              <w:top w:val="single" w:sz="4" w:space="0" w:color="FFFFFF"/>
              <w:left w:val="single" w:sz="12" w:space="0" w:color="FFFFFF"/>
              <w:bottom w:val="single" w:sz="4" w:space="0" w:color="FFFFFF"/>
              <w:right w:val="single" w:sz="12" w:space="0" w:color="FFFFFF"/>
            </w:tcBorders>
            <w:shd w:val="clear" w:color="auto" w:fill="F2F2F2"/>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20"/>
                <w:szCs w:val="20"/>
                <w:u w:color="000000"/>
                <w:bdr w:val="nil"/>
                <w:lang w:val="es-ES_tradnl" w:eastAsia="es-CL"/>
              </w:rPr>
            </w:pPr>
            <w:r>
              <w:rPr>
                <w:rFonts w:ascii="Calibri" w:hAnsi="Calibri" w:cs="Calibri"/>
                <w:b w:val="0"/>
                <w:color w:val="000000"/>
                <w:kern w:val="24"/>
                <w:sz w:val="20"/>
                <w:szCs w:val="20"/>
                <w:u w:color="000000"/>
                <w:bdr w:val="nil"/>
                <w:lang w:val="es-ES_tradnl" w:eastAsia="es-CL"/>
              </w:rPr>
              <w:t>164.551</w:t>
            </w:r>
          </w:p>
        </w:tc>
        <w:tc>
          <w:tcPr>
            <w:tcW w:w="992" w:type="dxa"/>
            <w:tcBorders>
              <w:top w:val="single" w:sz="4" w:space="0" w:color="FFFFFF"/>
              <w:left w:val="single" w:sz="12" w:space="0" w:color="FFFFFF"/>
              <w:bottom w:val="single" w:sz="4" w:space="0" w:color="FFFFFF"/>
              <w:right w:val="single" w:sz="12" w:space="0" w:color="FFFFFF"/>
            </w:tcBorders>
            <w:shd w:val="clear" w:color="auto" w:fill="F2F2F2"/>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20"/>
                <w:szCs w:val="20"/>
                <w:u w:color="000000"/>
                <w:bdr w:val="nil"/>
                <w:lang w:val="es-ES_tradnl" w:eastAsia="es-CL"/>
              </w:rPr>
            </w:pPr>
            <w:r>
              <w:rPr>
                <w:rFonts w:ascii="Calibri" w:hAnsi="Calibri" w:cs="Calibri"/>
                <w:b w:val="0"/>
                <w:color w:val="000000"/>
                <w:kern w:val="24"/>
                <w:sz w:val="20"/>
                <w:szCs w:val="20"/>
                <w:u w:color="000000"/>
                <w:bdr w:val="nil"/>
                <w:lang w:val="es-ES_tradnl" w:eastAsia="es-CL"/>
              </w:rPr>
              <w:t>164.551</w:t>
            </w:r>
          </w:p>
        </w:tc>
        <w:tc>
          <w:tcPr>
            <w:tcW w:w="992" w:type="dxa"/>
            <w:tcBorders>
              <w:top w:val="single" w:sz="4" w:space="0" w:color="FFFFFF"/>
              <w:left w:val="single" w:sz="12" w:space="0" w:color="FFFFFF"/>
              <w:bottom w:val="single" w:sz="4" w:space="0" w:color="FFFFFF"/>
              <w:right w:val="single" w:sz="8" w:space="0" w:color="FFFFFF"/>
            </w:tcBorders>
            <w:shd w:val="clear" w:color="auto" w:fill="F2F2F2"/>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20"/>
                <w:szCs w:val="20"/>
                <w:u w:color="000000"/>
                <w:bdr w:val="nil"/>
                <w:lang w:val="es-ES_tradnl" w:eastAsia="es-CL"/>
              </w:rPr>
            </w:pPr>
            <w:r>
              <w:rPr>
                <w:rFonts w:ascii="Calibri" w:hAnsi="Calibri" w:cs="Calibri"/>
                <w:b w:val="0"/>
                <w:color w:val="000000"/>
                <w:kern w:val="24"/>
                <w:sz w:val="20"/>
                <w:szCs w:val="20"/>
                <w:u w:color="000000"/>
                <w:bdr w:val="nil"/>
                <w:lang w:val="es-ES_tradnl" w:eastAsia="es-CL"/>
              </w:rPr>
              <w:t>164.551</w:t>
            </w:r>
          </w:p>
        </w:tc>
        <w:tc>
          <w:tcPr>
            <w:tcW w:w="1134" w:type="dxa"/>
            <w:tcBorders>
              <w:top w:val="single" w:sz="4" w:space="0" w:color="FFFFFF"/>
              <w:left w:val="single" w:sz="8" w:space="0" w:color="FFFFFF"/>
              <w:bottom w:val="single" w:sz="4" w:space="0" w:color="FFFFFF"/>
              <w:right w:val="single" w:sz="12" w:space="0" w:color="FFFFFF"/>
            </w:tcBorders>
            <w:shd w:val="clear" w:color="auto" w:fill="F2F2F2"/>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20"/>
                <w:szCs w:val="20"/>
                <w:u w:color="000000"/>
                <w:bdr w:val="nil"/>
                <w:lang w:val="es-ES_tradnl" w:eastAsia="es-CL"/>
              </w:rPr>
            </w:pPr>
            <w:r>
              <w:rPr>
                <w:rFonts w:ascii="Calibri" w:hAnsi="Calibri" w:cs="Calibri"/>
                <w:b w:val="0"/>
                <w:color w:val="000000"/>
                <w:kern w:val="24"/>
                <w:sz w:val="20"/>
                <w:szCs w:val="20"/>
                <w:u w:color="000000"/>
                <w:bdr w:val="nil"/>
                <w:lang w:val="es-ES_tradnl" w:eastAsia="es-CL"/>
              </w:rPr>
              <w:t>0</w:t>
            </w:r>
          </w:p>
        </w:tc>
        <w:tc>
          <w:tcPr>
            <w:tcW w:w="1088" w:type="dxa"/>
            <w:tcBorders>
              <w:top w:val="single" w:sz="4" w:space="0" w:color="FFFFFF"/>
              <w:left w:val="single" w:sz="12" w:space="0" w:color="FFFFFF"/>
              <w:bottom w:val="single" w:sz="4" w:space="0" w:color="FFFFFF"/>
              <w:right w:val="single" w:sz="4" w:space="0" w:color="000000"/>
            </w:tcBorders>
            <w:shd w:val="clear" w:color="auto" w:fill="F2F2F2"/>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20"/>
                <w:szCs w:val="20"/>
                <w:u w:color="000000"/>
                <w:bdr w:val="nil"/>
                <w:lang w:val="es-ES_tradnl" w:eastAsia="es-CL"/>
              </w:rPr>
            </w:pPr>
            <w:r>
              <w:rPr>
                <w:rFonts w:ascii="Calibri" w:hAnsi="Calibri" w:cs="Calibri"/>
                <w:b w:val="0"/>
                <w:color w:val="000000"/>
                <w:kern w:val="24"/>
                <w:sz w:val="20"/>
                <w:szCs w:val="20"/>
                <w:u w:color="000000"/>
                <w:bdr w:val="nil"/>
                <w:lang w:val="es-ES_tradnl" w:eastAsia="es-CL"/>
              </w:rPr>
              <w:t>648.384</w:t>
            </w:r>
          </w:p>
        </w:tc>
      </w:tr>
      <w:tr>
        <w:tblPrEx>
          <w:tblCellMar>
            <w:top w:w="0" w:type="dxa"/>
            <w:left w:w="0" w:type="dxa"/>
            <w:bottom w:w="0" w:type="dxa"/>
            <w:right w:w="0" w:type="dxa"/>
          </w:tblCellMar>
        </w:tblPrEx>
        <w:trPr>
          <w:trHeight w:val="450"/>
          <w:jc w:val="center"/>
        </w:trPr>
        <w:tc>
          <w:tcPr>
            <w:tcW w:w="659" w:type="dxa"/>
            <w:vMerge/>
            <w:tcBorders>
              <w:top w:val="single" w:sz="4" w:space="0" w:color="000000"/>
              <w:left w:val="single" w:sz="4" w:space="0" w:color="000000"/>
              <w:bottom w:val="single" w:sz="4" w:space="0" w:color="000000"/>
              <w:right w:val="single" w:sz="4" w:space="0" w:color="000000"/>
            </w:tcBorders>
            <w:shd w:val="clear" w:color="auto" w:fill="auto"/>
          </w:tcPr>
          <w:p>
            <w:pPr>
              <w:pBdr>
                <w:top w:val="nil"/>
                <w:left w:val="nil"/>
                <w:bottom w:val="nil"/>
                <w:right w:val="nil"/>
                <w:between w:val="nil"/>
                <w:bar w:val="nil"/>
              </w:pBdr>
              <w:rPr>
                <w:rFonts w:eastAsia="Arial"/>
                <w:b w:val="0"/>
                <w:color w:val="000000"/>
                <w:sz w:val="20"/>
                <w:szCs w:val="20"/>
                <w:u w:color="000000"/>
                <w:bdr w:val="nil"/>
                <w:lang w:val="es-ES_tradnl" w:eastAsia="es-CL"/>
              </w:rPr>
            </w:pPr>
          </w:p>
        </w:tc>
        <w:tc>
          <w:tcPr>
            <w:tcW w:w="1058" w:type="dxa"/>
            <w:tcBorders>
              <w:top w:val="single" w:sz="4" w:space="0" w:color="FFFFFF"/>
              <w:left w:val="single" w:sz="4" w:space="0" w:color="000000"/>
              <w:bottom w:val="single" w:sz="4" w:space="0" w:color="FFFFFF"/>
              <w:right w:val="single" w:sz="12" w:space="0" w:color="FFFFFF"/>
            </w:tcBorders>
            <w:shd w:val="clear" w:color="auto" w:fill="F2F2F2"/>
            <w:tcMar>
              <w:top w:w="80" w:type="dxa"/>
              <w:left w:w="80" w:type="dxa"/>
              <w:bottom w:w="80" w:type="dxa"/>
              <w:right w:w="80" w:type="dxa"/>
            </w:tcMar>
            <w:vAlign w:val="center"/>
          </w:tcPr>
          <w:p>
            <w:pPr>
              <w:pBdr>
                <w:top w:val="nil"/>
                <w:left w:val="nil"/>
                <w:bottom w:val="nil"/>
                <w:right w:val="nil"/>
                <w:between w:val="nil"/>
                <w:bar w:val="nil"/>
              </w:pBdr>
              <w:tabs>
                <w:tab w:val="clear" w:pos="2835"/>
              </w:tabs>
              <w:jc w:val="left"/>
              <w:rPr>
                <w:rFonts w:eastAsia="Arial"/>
                <w:b w:val="0"/>
                <w:color w:val="000000"/>
                <w:sz w:val="20"/>
                <w:szCs w:val="20"/>
                <w:u w:color="000000"/>
                <w:bdr w:val="nil"/>
                <w:lang w:val="es-ES_tradnl" w:eastAsia="es-CL"/>
              </w:rPr>
            </w:pPr>
            <w:r>
              <w:rPr>
                <w:rFonts w:ascii="Calibri" w:hAnsi="Calibri" w:cs="Calibri"/>
                <w:b w:val="0"/>
                <w:color w:val="000000"/>
                <w:kern w:val="24"/>
                <w:sz w:val="20"/>
                <w:szCs w:val="20"/>
                <w:u w:color="000000"/>
                <w:bdr w:val="nil"/>
                <w:lang w:val="es-ES_tradnl" w:eastAsia="es-CL"/>
              </w:rPr>
              <w:t>Subtítulo 29</w:t>
            </w:r>
          </w:p>
        </w:tc>
        <w:tc>
          <w:tcPr>
            <w:tcW w:w="946" w:type="dxa"/>
            <w:tcBorders>
              <w:top w:val="single" w:sz="4" w:space="0" w:color="FFFFFF"/>
              <w:left w:val="single" w:sz="12" w:space="0" w:color="FFFFFF"/>
              <w:bottom w:val="single" w:sz="4" w:space="0" w:color="FFFFFF"/>
              <w:right w:val="single" w:sz="4" w:space="0" w:color="FFFFFF"/>
            </w:tcBorders>
            <w:shd w:val="clear" w:color="auto" w:fill="F2F2F2"/>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20"/>
                <w:szCs w:val="20"/>
                <w:u w:color="000000"/>
                <w:bdr w:val="nil"/>
                <w:lang w:val="es-ES_tradnl" w:eastAsia="es-CL"/>
              </w:rPr>
            </w:pPr>
            <w:r>
              <w:rPr>
                <w:rFonts w:ascii="Calibri" w:hAnsi="Calibri" w:cs="Calibri"/>
                <w:b w:val="0"/>
                <w:color w:val="000000"/>
                <w:kern w:val="24"/>
                <w:sz w:val="20"/>
                <w:szCs w:val="20"/>
                <w:u w:color="000000"/>
                <w:bdr w:val="nil"/>
                <w:lang w:val="es-ES_tradnl" w:eastAsia="es-CL"/>
              </w:rPr>
              <w:t>379.943</w:t>
            </w:r>
          </w:p>
        </w:tc>
        <w:tc>
          <w:tcPr>
            <w:tcW w:w="1068" w:type="dxa"/>
            <w:tcBorders>
              <w:top w:val="single" w:sz="4" w:space="0" w:color="FFFFFF"/>
              <w:left w:val="single" w:sz="4" w:space="0" w:color="FFFFFF"/>
              <w:bottom w:val="single" w:sz="4" w:space="0" w:color="FFFFFF"/>
              <w:right w:val="single" w:sz="4" w:space="0" w:color="FFFFFF"/>
            </w:tcBorders>
            <w:shd w:val="clear" w:color="auto" w:fill="F2F2F2"/>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20"/>
                <w:szCs w:val="20"/>
                <w:u w:color="000000"/>
                <w:bdr w:val="nil"/>
                <w:lang w:val="es-ES_tradnl" w:eastAsia="es-CL"/>
              </w:rPr>
            </w:pPr>
            <w:r>
              <w:rPr>
                <w:rFonts w:ascii="Calibri" w:hAnsi="Calibri" w:cs="Calibri"/>
                <w:b w:val="0"/>
                <w:color w:val="000000"/>
                <w:kern w:val="24"/>
                <w:sz w:val="20"/>
                <w:szCs w:val="20"/>
                <w:u w:color="000000"/>
                <w:bdr w:val="nil"/>
                <w:lang w:val="es-ES_tradnl" w:eastAsia="es-CL"/>
              </w:rPr>
              <w:t>2.632.512</w:t>
            </w:r>
          </w:p>
        </w:tc>
        <w:tc>
          <w:tcPr>
            <w:tcW w:w="993" w:type="dxa"/>
            <w:tcBorders>
              <w:top w:val="single" w:sz="4" w:space="0" w:color="FFFFFF"/>
              <w:left w:val="single" w:sz="4" w:space="0" w:color="FFFFFF"/>
              <w:bottom w:val="single" w:sz="4" w:space="0" w:color="FFFFFF"/>
              <w:right w:val="single" w:sz="4" w:space="0" w:color="FFFFFF"/>
            </w:tcBorders>
            <w:shd w:val="clear" w:color="auto" w:fill="F2F2F2"/>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20"/>
                <w:szCs w:val="20"/>
                <w:u w:color="000000"/>
                <w:bdr w:val="nil"/>
                <w:lang w:val="es-ES_tradnl" w:eastAsia="es-CL"/>
              </w:rPr>
            </w:pPr>
            <w:r>
              <w:rPr>
                <w:rFonts w:ascii="Calibri" w:hAnsi="Calibri" w:cs="Calibri"/>
                <w:b w:val="0"/>
                <w:color w:val="000000"/>
                <w:kern w:val="24"/>
                <w:sz w:val="20"/>
                <w:szCs w:val="20"/>
                <w:u w:color="000000"/>
                <w:bdr w:val="nil"/>
                <w:lang w:val="es-ES_tradnl" w:eastAsia="es-CL"/>
              </w:rPr>
              <w:t>4.388.759</w:t>
            </w:r>
          </w:p>
        </w:tc>
        <w:tc>
          <w:tcPr>
            <w:tcW w:w="992" w:type="dxa"/>
            <w:tcBorders>
              <w:top w:val="single" w:sz="4" w:space="0" w:color="FFFFFF"/>
              <w:left w:val="single" w:sz="4" w:space="0" w:color="FFFFFF"/>
              <w:bottom w:val="single" w:sz="4" w:space="0" w:color="FFFFFF"/>
              <w:right w:val="single" w:sz="4" w:space="0" w:color="FFFFFF"/>
            </w:tcBorders>
            <w:shd w:val="clear" w:color="auto" w:fill="F2F2F2"/>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20"/>
                <w:szCs w:val="20"/>
                <w:u w:color="000000"/>
                <w:bdr w:val="nil"/>
                <w:lang w:val="es-ES_tradnl" w:eastAsia="es-CL"/>
              </w:rPr>
            </w:pPr>
            <w:r>
              <w:rPr>
                <w:rFonts w:ascii="Calibri" w:hAnsi="Calibri" w:cs="Calibri"/>
                <w:b w:val="0"/>
                <w:color w:val="000000"/>
                <w:kern w:val="24"/>
                <w:sz w:val="20"/>
                <w:szCs w:val="20"/>
                <w:u w:color="000000"/>
                <w:bdr w:val="nil"/>
                <w:lang w:val="es-ES_tradnl" w:eastAsia="es-CL"/>
              </w:rPr>
              <w:t>4.537.508</w:t>
            </w:r>
          </w:p>
        </w:tc>
        <w:tc>
          <w:tcPr>
            <w:tcW w:w="992" w:type="dxa"/>
            <w:tcBorders>
              <w:top w:val="single" w:sz="4" w:space="0" w:color="FFFFFF"/>
              <w:left w:val="single" w:sz="4" w:space="0" w:color="FFFFFF"/>
              <w:bottom w:val="single" w:sz="4" w:space="0" w:color="FFFFFF"/>
              <w:right w:val="single" w:sz="4" w:space="0" w:color="FFFFFF"/>
            </w:tcBorders>
            <w:shd w:val="clear" w:color="auto" w:fill="F2F2F2"/>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20"/>
                <w:szCs w:val="20"/>
                <w:u w:color="000000"/>
                <w:bdr w:val="nil"/>
                <w:lang w:val="es-ES_tradnl" w:eastAsia="es-CL"/>
              </w:rPr>
            </w:pPr>
            <w:r>
              <w:rPr>
                <w:rFonts w:ascii="Calibri" w:hAnsi="Calibri" w:cs="Calibri"/>
                <w:b w:val="0"/>
                <w:color w:val="000000"/>
                <w:kern w:val="24"/>
                <w:sz w:val="20"/>
                <w:szCs w:val="20"/>
                <w:u w:color="000000"/>
                <w:bdr w:val="nil"/>
                <w:lang w:val="es-ES_tradnl" w:eastAsia="es-CL"/>
              </w:rPr>
              <w:t>2.341.454</w:t>
            </w:r>
          </w:p>
        </w:tc>
        <w:tc>
          <w:tcPr>
            <w:tcW w:w="1134" w:type="dxa"/>
            <w:tcBorders>
              <w:top w:val="single" w:sz="4" w:space="0" w:color="FFFFFF"/>
              <w:left w:val="single" w:sz="4" w:space="0" w:color="FFFFFF"/>
              <w:bottom w:val="single" w:sz="4" w:space="0" w:color="FFFFFF"/>
              <w:right w:val="single" w:sz="12" w:space="0" w:color="FFFFFF"/>
            </w:tcBorders>
            <w:shd w:val="clear" w:color="auto" w:fill="F2F2F2"/>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20"/>
                <w:szCs w:val="20"/>
                <w:u w:color="000000"/>
                <w:bdr w:val="nil"/>
                <w:lang w:val="es-ES_tradnl" w:eastAsia="es-CL"/>
              </w:rPr>
            </w:pPr>
            <w:r>
              <w:rPr>
                <w:rFonts w:ascii="Calibri" w:hAnsi="Calibri" w:cs="Calibri"/>
                <w:b w:val="0"/>
                <w:color w:val="000000"/>
                <w:kern w:val="24"/>
                <w:sz w:val="20"/>
                <w:szCs w:val="20"/>
                <w:u w:color="000000"/>
                <w:bdr w:val="nil"/>
                <w:lang w:val="es-ES_tradnl" w:eastAsia="es-CL"/>
              </w:rPr>
              <w:t>1.020.138</w:t>
            </w:r>
          </w:p>
        </w:tc>
        <w:tc>
          <w:tcPr>
            <w:tcW w:w="1088" w:type="dxa"/>
            <w:tcBorders>
              <w:top w:val="single" w:sz="4" w:space="0" w:color="FFFFFF"/>
              <w:left w:val="single" w:sz="12" w:space="0" w:color="FFFFFF"/>
              <w:bottom w:val="single" w:sz="4" w:space="0" w:color="FFFFFF"/>
              <w:right w:val="single" w:sz="4" w:space="0" w:color="000000"/>
            </w:tcBorders>
            <w:shd w:val="clear" w:color="auto" w:fill="F2F2F2"/>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20"/>
                <w:szCs w:val="20"/>
                <w:u w:color="000000"/>
                <w:bdr w:val="nil"/>
                <w:lang w:val="es-ES_tradnl" w:eastAsia="es-CL"/>
              </w:rPr>
            </w:pPr>
            <w:r>
              <w:rPr>
                <w:rFonts w:ascii="Calibri" w:hAnsi="Calibri" w:cs="Calibri"/>
                <w:b w:val="0"/>
                <w:color w:val="000000"/>
                <w:kern w:val="24"/>
                <w:sz w:val="20"/>
                <w:szCs w:val="20"/>
                <w:u w:color="000000"/>
                <w:bdr w:val="nil"/>
                <w:lang w:val="es-ES_tradnl" w:eastAsia="es-CL"/>
              </w:rPr>
              <w:t>15.300.314</w:t>
            </w:r>
          </w:p>
        </w:tc>
      </w:tr>
      <w:tr>
        <w:tblPrEx>
          <w:tblCellMar>
            <w:top w:w="0" w:type="dxa"/>
            <w:left w:w="0" w:type="dxa"/>
            <w:bottom w:w="0" w:type="dxa"/>
            <w:right w:w="0" w:type="dxa"/>
          </w:tblCellMar>
        </w:tblPrEx>
        <w:trPr>
          <w:trHeight w:val="450"/>
          <w:jc w:val="center"/>
        </w:trPr>
        <w:tc>
          <w:tcPr>
            <w:tcW w:w="659" w:type="dxa"/>
            <w:vMerge/>
            <w:tcBorders>
              <w:top w:val="single" w:sz="4" w:space="0" w:color="000000"/>
              <w:left w:val="single" w:sz="4" w:space="0" w:color="000000"/>
              <w:bottom w:val="single" w:sz="4" w:space="0" w:color="000000"/>
              <w:right w:val="single" w:sz="4" w:space="0" w:color="000000"/>
            </w:tcBorders>
            <w:shd w:val="clear" w:color="auto" w:fill="auto"/>
          </w:tcPr>
          <w:p>
            <w:pPr>
              <w:pBdr>
                <w:top w:val="nil"/>
                <w:left w:val="nil"/>
                <w:bottom w:val="nil"/>
                <w:right w:val="nil"/>
                <w:between w:val="nil"/>
                <w:bar w:val="nil"/>
              </w:pBdr>
              <w:rPr>
                <w:rFonts w:eastAsia="Arial"/>
                <w:b w:val="0"/>
                <w:color w:val="000000"/>
                <w:sz w:val="20"/>
                <w:szCs w:val="20"/>
                <w:u w:color="000000"/>
                <w:bdr w:val="nil"/>
                <w:lang w:val="es-ES_tradnl" w:eastAsia="es-CL"/>
              </w:rPr>
            </w:pPr>
          </w:p>
        </w:tc>
        <w:tc>
          <w:tcPr>
            <w:tcW w:w="1058" w:type="dxa"/>
            <w:tcBorders>
              <w:top w:val="single" w:sz="4" w:space="0" w:color="FFFFFF"/>
              <w:left w:val="single" w:sz="4" w:space="0" w:color="000000"/>
              <w:bottom w:val="single" w:sz="4" w:space="0" w:color="000000"/>
              <w:right w:val="single" w:sz="12" w:space="0" w:color="FFFFFF"/>
            </w:tcBorders>
            <w:shd w:val="clear" w:color="auto" w:fill="B8CCE4"/>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20"/>
                <w:szCs w:val="20"/>
                <w:u w:color="000000"/>
                <w:bdr w:val="nil"/>
                <w:lang w:val="es-ES_tradnl" w:eastAsia="es-CL"/>
              </w:rPr>
            </w:pPr>
            <w:r>
              <w:rPr>
                <w:rFonts w:ascii="Calibri" w:hAnsi="Calibri" w:cs="Calibri"/>
                <w:bCs/>
                <w:color w:val="000000"/>
                <w:kern w:val="24"/>
                <w:sz w:val="20"/>
                <w:szCs w:val="20"/>
                <w:u w:color="000000"/>
                <w:bdr w:val="nil"/>
                <w:lang w:val="es-ES_tradnl" w:eastAsia="es-CL"/>
              </w:rPr>
              <w:t>TOTAL</w:t>
            </w:r>
          </w:p>
        </w:tc>
        <w:tc>
          <w:tcPr>
            <w:tcW w:w="946" w:type="dxa"/>
            <w:tcBorders>
              <w:top w:val="single" w:sz="4" w:space="0" w:color="FFFFFF"/>
              <w:left w:val="single" w:sz="12" w:space="0" w:color="FFFFFF"/>
              <w:bottom w:val="single" w:sz="4" w:space="0" w:color="000000"/>
              <w:right w:val="single" w:sz="12" w:space="0" w:color="FFFFFF"/>
            </w:tcBorders>
            <w:shd w:val="clear" w:color="auto" w:fill="B8CCE4"/>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20"/>
                <w:szCs w:val="20"/>
                <w:u w:color="000000"/>
                <w:bdr w:val="nil"/>
                <w:lang w:val="es-ES_tradnl" w:eastAsia="es-CL"/>
              </w:rPr>
            </w:pPr>
            <w:r>
              <w:rPr>
                <w:rFonts w:ascii="Calibri" w:hAnsi="Calibri" w:cs="Calibri"/>
                <w:bCs/>
                <w:color w:val="000000"/>
                <w:kern w:val="24"/>
                <w:sz w:val="20"/>
                <w:szCs w:val="20"/>
                <w:u w:color="000000"/>
                <w:bdr w:val="nil"/>
                <w:lang w:val="es-ES_tradnl" w:eastAsia="es-CL"/>
              </w:rPr>
              <w:t>499.045</w:t>
            </w:r>
          </w:p>
        </w:tc>
        <w:tc>
          <w:tcPr>
            <w:tcW w:w="1068" w:type="dxa"/>
            <w:tcBorders>
              <w:top w:val="single" w:sz="4" w:space="0" w:color="FFFFFF"/>
              <w:left w:val="single" w:sz="12" w:space="0" w:color="FFFFFF"/>
              <w:bottom w:val="single" w:sz="4" w:space="0" w:color="000000"/>
              <w:right w:val="single" w:sz="12" w:space="0" w:color="FFFFFF"/>
            </w:tcBorders>
            <w:shd w:val="clear" w:color="auto" w:fill="B8CCE4"/>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20"/>
                <w:szCs w:val="20"/>
                <w:u w:color="000000"/>
                <w:bdr w:val="nil"/>
                <w:lang w:val="es-ES_tradnl" w:eastAsia="es-CL"/>
              </w:rPr>
            </w:pPr>
            <w:r>
              <w:rPr>
                <w:rFonts w:ascii="Calibri" w:hAnsi="Calibri" w:cs="Calibri"/>
                <w:bCs/>
                <w:color w:val="000000"/>
                <w:kern w:val="24"/>
                <w:sz w:val="20"/>
                <w:szCs w:val="20"/>
                <w:u w:color="000000"/>
                <w:bdr w:val="nil"/>
                <w:lang w:val="es-ES_tradnl" w:eastAsia="es-CL"/>
              </w:rPr>
              <w:t>2.829.244</w:t>
            </w:r>
          </w:p>
        </w:tc>
        <w:tc>
          <w:tcPr>
            <w:tcW w:w="993" w:type="dxa"/>
            <w:tcBorders>
              <w:top w:val="single" w:sz="4" w:space="0" w:color="FFFFFF"/>
              <w:left w:val="single" w:sz="12" w:space="0" w:color="FFFFFF"/>
              <w:bottom w:val="single" w:sz="4" w:space="0" w:color="000000"/>
              <w:right w:val="single" w:sz="12" w:space="0" w:color="FFFFFF"/>
            </w:tcBorders>
            <w:shd w:val="clear" w:color="auto" w:fill="B8CCE4"/>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20"/>
                <w:szCs w:val="20"/>
                <w:u w:color="000000"/>
                <w:bdr w:val="nil"/>
                <w:lang w:val="es-ES_tradnl" w:eastAsia="es-CL"/>
              </w:rPr>
            </w:pPr>
            <w:r>
              <w:rPr>
                <w:rFonts w:ascii="Calibri" w:hAnsi="Calibri" w:cs="Calibri"/>
                <w:bCs/>
                <w:color w:val="000000"/>
                <w:kern w:val="24"/>
                <w:sz w:val="20"/>
                <w:szCs w:val="20"/>
                <w:u w:color="000000"/>
                <w:bdr w:val="nil"/>
                <w:lang w:val="es-ES_tradnl" w:eastAsia="es-CL"/>
              </w:rPr>
              <w:t>4.901.879</w:t>
            </w:r>
          </w:p>
        </w:tc>
        <w:tc>
          <w:tcPr>
            <w:tcW w:w="992" w:type="dxa"/>
            <w:tcBorders>
              <w:top w:val="single" w:sz="4" w:space="0" w:color="FFFFFF"/>
              <w:left w:val="single" w:sz="12" w:space="0" w:color="FFFFFF"/>
              <w:bottom w:val="single" w:sz="4" w:space="0" w:color="000000"/>
              <w:right w:val="single" w:sz="12" w:space="0" w:color="FFFFFF"/>
            </w:tcBorders>
            <w:shd w:val="clear" w:color="auto" w:fill="B8CCE4"/>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20"/>
                <w:szCs w:val="20"/>
                <w:u w:color="000000"/>
                <w:bdr w:val="nil"/>
                <w:lang w:val="es-ES_tradnl" w:eastAsia="es-CL"/>
              </w:rPr>
            </w:pPr>
            <w:r>
              <w:rPr>
                <w:rFonts w:ascii="Calibri" w:hAnsi="Calibri" w:cs="Calibri"/>
                <w:bCs/>
                <w:color w:val="000000"/>
                <w:kern w:val="24"/>
                <w:sz w:val="20"/>
                <w:szCs w:val="20"/>
                <w:u w:color="000000"/>
                <w:bdr w:val="nil"/>
                <w:lang w:val="es-ES_tradnl" w:eastAsia="es-CL"/>
              </w:rPr>
              <w:t>5.050.628</w:t>
            </w:r>
          </w:p>
        </w:tc>
        <w:tc>
          <w:tcPr>
            <w:tcW w:w="992" w:type="dxa"/>
            <w:tcBorders>
              <w:top w:val="single" w:sz="4" w:space="0" w:color="FFFFFF"/>
              <w:left w:val="single" w:sz="12" w:space="0" w:color="FFFFFF"/>
              <w:bottom w:val="single" w:sz="4" w:space="0" w:color="000000"/>
              <w:right w:val="single" w:sz="8" w:space="0" w:color="FFFFFF"/>
            </w:tcBorders>
            <w:shd w:val="clear" w:color="auto" w:fill="B8CCE4"/>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20"/>
                <w:szCs w:val="20"/>
                <w:u w:color="000000"/>
                <w:bdr w:val="nil"/>
                <w:lang w:val="es-ES_tradnl" w:eastAsia="es-CL"/>
              </w:rPr>
            </w:pPr>
            <w:r>
              <w:rPr>
                <w:rFonts w:ascii="Calibri" w:hAnsi="Calibri" w:cs="Calibri"/>
                <w:bCs/>
                <w:color w:val="000000"/>
                <w:kern w:val="24"/>
                <w:sz w:val="20"/>
                <w:szCs w:val="20"/>
                <w:u w:color="000000"/>
                <w:bdr w:val="nil"/>
                <w:lang w:val="es-ES_tradnl" w:eastAsia="es-CL"/>
              </w:rPr>
              <w:t>2.854.574</w:t>
            </w:r>
          </w:p>
        </w:tc>
        <w:tc>
          <w:tcPr>
            <w:tcW w:w="1134" w:type="dxa"/>
            <w:tcBorders>
              <w:top w:val="single" w:sz="4" w:space="0" w:color="FFFFFF"/>
              <w:left w:val="single" w:sz="8" w:space="0" w:color="FFFFFF"/>
              <w:bottom w:val="single" w:sz="4" w:space="0" w:color="000000"/>
              <w:right w:val="single" w:sz="12" w:space="0" w:color="FFFFFF"/>
            </w:tcBorders>
            <w:shd w:val="clear" w:color="auto" w:fill="B8CCE4"/>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20"/>
                <w:szCs w:val="20"/>
                <w:u w:color="000000"/>
                <w:bdr w:val="nil"/>
                <w:lang w:val="es-ES_tradnl" w:eastAsia="es-CL"/>
              </w:rPr>
            </w:pPr>
            <w:r>
              <w:rPr>
                <w:rFonts w:ascii="Calibri" w:hAnsi="Calibri" w:cs="Calibri"/>
                <w:bCs/>
                <w:color w:val="000000"/>
                <w:kern w:val="24"/>
                <w:sz w:val="20"/>
                <w:szCs w:val="20"/>
                <w:u w:color="000000"/>
                <w:bdr w:val="nil"/>
                <w:lang w:val="es-ES_tradnl" w:eastAsia="es-CL"/>
              </w:rPr>
              <w:t>1.368.707</w:t>
            </w:r>
          </w:p>
        </w:tc>
        <w:tc>
          <w:tcPr>
            <w:tcW w:w="1088" w:type="dxa"/>
            <w:tcBorders>
              <w:top w:val="single" w:sz="4" w:space="0" w:color="FFFFFF"/>
              <w:left w:val="single" w:sz="12" w:space="0" w:color="FFFFFF"/>
              <w:bottom w:val="single" w:sz="4" w:space="0" w:color="000000"/>
              <w:right w:val="single" w:sz="4" w:space="0" w:color="000000"/>
            </w:tcBorders>
            <w:shd w:val="clear" w:color="auto" w:fill="B8CCE4"/>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20"/>
                <w:szCs w:val="20"/>
                <w:u w:color="000000"/>
                <w:bdr w:val="nil"/>
                <w:lang w:val="es-ES_tradnl" w:eastAsia="es-CL"/>
              </w:rPr>
            </w:pPr>
            <w:r>
              <w:rPr>
                <w:rFonts w:ascii="Calibri" w:hAnsi="Calibri" w:cs="Calibri"/>
                <w:bCs/>
                <w:color w:val="000000"/>
                <w:kern w:val="24"/>
                <w:sz w:val="20"/>
                <w:szCs w:val="20"/>
                <w:u w:color="000000"/>
                <w:bdr w:val="nil"/>
                <w:lang w:val="es-ES_tradnl" w:eastAsia="es-CL"/>
              </w:rPr>
              <w:t>17.504.077</w:t>
            </w:r>
          </w:p>
        </w:tc>
      </w:tr>
      <w:tr>
        <w:tblPrEx>
          <w:tblCellMar>
            <w:top w:w="0" w:type="dxa"/>
            <w:left w:w="0" w:type="dxa"/>
            <w:bottom w:w="0" w:type="dxa"/>
            <w:right w:w="0" w:type="dxa"/>
          </w:tblCellMar>
        </w:tblPrEx>
        <w:trPr>
          <w:trHeight w:val="450"/>
          <w:jc w:val="center"/>
        </w:trPr>
        <w:tc>
          <w:tcPr>
            <w:tcW w:w="659"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20"/>
                <w:szCs w:val="20"/>
                <w:u w:color="000000"/>
                <w:bdr w:val="nil"/>
                <w:lang w:val="es-ES_tradnl" w:eastAsia="es-CL"/>
              </w:rPr>
            </w:pPr>
            <w:r>
              <w:rPr>
                <w:rFonts w:ascii="Calibri" w:hAnsi="Calibri" w:cs="Calibri"/>
                <w:bCs/>
                <w:color w:val="1F497D"/>
                <w:kern w:val="24"/>
                <w:sz w:val="20"/>
                <w:szCs w:val="20"/>
                <w:u w:color="1F497D"/>
                <w:bdr w:val="nil"/>
                <w:lang w:val="es-ES_tradnl" w:eastAsia="es-CL"/>
              </w:rPr>
              <w:t>SIC</w:t>
            </w:r>
          </w:p>
        </w:tc>
        <w:tc>
          <w:tcPr>
            <w:tcW w:w="1058" w:type="dxa"/>
            <w:tcBorders>
              <w:top w:val="single" w:sz="4" w:space="0" w:color="000000"/>
              <w:left w:val="single" w:sz="4" w:space="0" w:color="000000"/>
              <w:bottom w:val="single" w:sz="4" w:space="0" w:color="FFFFFF"/>
              <w:right w:val="single" w:sz="12" w:space="0" w:color="FFFFFF"/>
            </w:tcBorders>
            <w:shd w:val="clear" w:color="auto" w:fill="F2F2F2"/>
            <w:tcMar>
              <w:top w:w="80" w:type="dxa"/>
              <w:left w:w="80" w:type="dxa"/>
              <w:bottom w:w="80" w:type="dxa"/>
              <w:right w:w="80" w:type="dxa"/>
            </w:tcMar>
            <w:vAlign w:val="center"/>
          </w:tcPr>
          <w:p>
            <w:pPr>
              <w:pBdr>
                <w:top w:val="nil"/>
                <w:left w:val="nil"/>
                <w:bottom w:val="nil"/>
                <w:right w:val="nil"/>
                <w:between w:val="nil"/>
                <w:bar w:val="nil"/>
              </w:pBdr>
              <w:tabs>
                <w:tab w:val="clear" w:pos="2835"/>
              </w:tabs>
              <w:jc w:val="left"/>
              <w:rPr>
                <w:rFonts w:eastAsia="Arial"/>
                <w:b w:val="0"/>
                <w:color w:val="000000"/>
                <w:sz w:val="20"/>
                <w:szCs w:val="20"/>
                <w:u w:color="000000"/>
                <w:bdr w:val="nil"/>
                <w:lang w:val="es-ES_tradnl" w:eastAsia="es-CL"/>
              </w:rPr>
            </w:pPr>
            <w:r>
              <w:rPr>
                <w:rFonts w:ascii="Calibri" w:hAnsi="Calibri" w:cs="Calibri"/>
                <w:b w:val="0"/>
                <w:color w:val="000000"/>
                <w:kern w:val="24"/>
                <w:sz w:val="20"/>
                <w:szCs w:val="20"/>
                <w:u w:color="000000"/>
                <w:bdr w:val="nil"/>
                <w:lang w:val="es-ES_tradnl" w:eastAsia="es-CL"/>
              </w:rPr>
              <w:t>Subtítulo 21</w:t>
            </w:r>
          </w:p>
        </w:tc>
        <w:tc>
          <w:tcPr>
            <w:tcW w:w="946" w:type="dxa"/>
            <w:tcBorders>
              <w:top w:val="single" w:sz="4" w:space="0" w:color="000000"/>
              <w:left w:val="single" w:sz="12" w:space="0" w:color="FFFFFF"/>
              <w:bottom w:val="single" w:sz="4" w:space="0" w:color="FFFFFF"/>
              <w:right w:val="single" w:sz="12" w:space="0" w:color="FFFFFF"/>
            </w:tcBorders>
            <w:shd w:val="clear" w:color="auto" w:fill="F2F2F2"/>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20"/>
                <w:szCs w:val="20"/>
                <w:u w:color="000000"/>
                <w:bdr w:val="nil"/>
                <w:lang w:val="es-ES_tradnl" w:eastAsia="es-CL"/>
              </w:rPr>
            </w:pPr>
            <w:r>
              <w:rPr>
                <w:rFonts w:ascii="Calibri" w:hAnsi="Calibri" w:cs="Calibri"/>
                <w:b w:val="0"/>
                <w:color w:val="000000"/>
                <w:kern w:val="24"/>
                <w:sz w:val="20"/>
                <w:szCs w:val="20"/>
                <w:u w:color="000000"/>
                <w:bdr w:val="nil"/>
                <w:lang w:val="es-ES_tradnl" w:eastAsia="es-CL"/>
              </w:rPr>
              <w:t>0</w:t>
            </w:r>
          </w:p>
        </w:tc>
        <w:tc>
          <w:tcPr>
            <w:tcW w:w="1068" w:type="dxa"/>
            <w:tcBorders>
              <w:top w:val="single" w:sz="4" w:space="0" w:color="000000"/>
              <w:left w:val="single" w:sz="12" w:space="0" w:color="FFFFFF"/>
              <w:bottom w:val="single" w:sz="4" w:space="0" w:color="FFFFFF"/>
              <w:right w:val="single" w:sz="12" w:space="0" w:color="FFFFFF"/>
            </w:tcBorders>
            <w:shd w:val="clear" w:color="auto" w:fill="F2F2F2"/>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20"/>
                <w:szCs w:val="20"/>
                <w:u w:color="000000"/>
                <w:bdr w:val="nil"/>
                <w:lang w:val="es-ES_tradnl" w:eastAsia="es-CL"/>
              </w:rPr>
            </w:pPr>
            <w:r>
              <w:rPr>
                <w:rFonts w:ascii="Calibri" w:hAnsi="Calibri" w:cs="Calibri"/>
                <w:b w:val="0"/>
                <w:color w:val="000000"/>
                <w:kern w:val="24"/>
                <w:sz w:val="20"/>
                <w:szCs w:val="20"/>
                <w:u w:color="000000"/>
                <w:bdr w:val="nil"/>
                <w:lang w:val="es-ES_tradnl" w:eastAsia="es-CL"/>
              </w:rPr>
              <w:t>0</w:t>
            </w:r>
          </w:p>
        </w:tc>
        <w:tc>
          <w:tcPr>
            <w:tcW w:w="993" w:type="dxa"/>
            <w:tcBorders>
              <w:top w:val="single" w:sz="4" w:space="0" w:color="000000"/>
              <w:left w:val="single" w:sz="12" w:space="0" w:color="FFFFFF"/>
              <w:bottom w:val="single" w:sz="4" w:space="0" w:color="FFFFFF"/>
              <w:right w:val="single" w:sz="12" w:space="0" w:color="FFFFFF"/>
            </w:tcBorders>
            <w:shd w:val="clear" w:color="auto" w:fill="F2F2F2"/>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20"/>
                <w:szCs w:val="20"/>
                <w:u w:color="000000"/>
                <w:bdr w:val="nil"/>
                <w:lang w:val="es-ES_tradnl" w:eastAsia="es-CL"/>
              </w:rPr>
            </w:pPr>
            <w:r>
              <w:rPr>
                <w:rFonts w:ascii="Calibri" w:hAnsi="Calibri" w:cs="Calibri"/>
                <w:b w:val="0"/>
                <w:color w:val="000000"/>
                <w:kern w:val="24"/>
                <w:sz w:val="20"/>
                <w:szCs w:val="20"/>
                <w:u w:color="000000"/>
                <w:bdr w:val="nil"/>
                <w:lang w:val="es-ES_tradnl" w:eastAsia="es-CL"/>
              </w:rPr>
              <w:t>0</w:t>
            </w:r>
          </w:p>
        </w:tc>
        <w:tc>
          <w:tcPr>
            <w:tcW w:w="992" w:type="dxa"/>
            <w:tcBorders>
              <w:top w:val="single" w:sz="4" w:space="0" w:color="000000"/>
              <w:left w:val="single" w:sz="12" w:space="0" w:color="FFFFFF"/>
              <w:bottom w:val="single" w:sz="4" w:space="0" w:color="FFFFFF"/>
              <w:right w:val="single" w:sz="12" w:space="0" w:color="FFFFFF"/>
            </w:tcBorders>
            <w:shd w:val="clear" w:color="auto" w:fill="F2F2F2"/>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20"/>
                <w:szCs w:val="20"/>
                <w:u w:color="000000"/>
                <w:bdr w:val="nil"/>
                <w:lang w:val="es-ES_tradnl" w:eastAsia="es-CL"/>
              </w:rPr>
            </w:pPr>
            <w:r>
              <w:rPr>
                <w:rFonts w:ascii="Calibri" w:hAnsi="Calibri" w:cs="Calibri"/>
                <w:b w:val="0"/>
                <w:color w:val="000000"/>
                <w:kern w:val="24"/>
                <w:sz w:val="20"/>
                <w:szCs w:val="20"/>
                <w:u w:color="000000"/>
                <w:bdr w:val="nil"/>
                <w:lang w:val="es-ES_tradnl" w:eastAsia="es-CL"/>
              </w:rPr>
              <w:t>0</w:t>
            </w:r>
          </w:p>
        </w:tc>
        <w:tc>
          <w:tcPr>
            <w:tcW w:w="992" w:type="dxa"/>
            <w:tcBorders>
              <w:top w:val="single" w:sz="4" w:space="0" w:color="000000"/>
              <w:left w:val="single" w:sz="12" w:space="0" w:color="FFFFFF"/>
              <w:bottom w:val="single" w:sz="4" w:space="0" w:color="FFFFFF"/>
              <w:right w:val="single" w:sz="8" w:space="0" w:color="FFFFFF"/>
            </w:tcBorders>
            <w:shd w:val="clear" w:color="auto" w:fill="F2F2F2"/>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20"/>
                <w:szCs w:val="20"/>
                <w:u w:color="000000"/>
                <w:bdr w:val="nil"/>
                <w:lang w:val="es-ES_tradnl" w:eastAsia="es-CL"/>
              </w:rPr>
            </w:pPr>
            <w:r>
              <w:rPr>
                <w:rFonts w:ascii="Calibri" w:hAnsi="Calibri" w:cs="Calibri"/>
                <w:b w:val="0"/>
                <w:color w:val="000000"/>
                <w:kern w:val="24"/>
                <w:sz w:val="20"/>
                <w:szCs w:val="20"/>
                <w:u w:color="000000"/>
                <w:bdr w:val="nil"/>
                <w:lang w:val="es-ES_tradnl" w:eastAsia="es-CL"/>
              </w:rPr>
              <w:t>0</w:t>
            </w:r>
          </w:p>
        </w:tc>
        <w:tc>
          <w:tcPr>
            <w:tcW w:w="1134" w:type="dxa"/>
            <w:tcBorders>
              <w:top w:val="single" w:sz="4" w:space="0" w:color="000000"/>
              <w:left w:val="single" w:sz="8" w:space="0" w:color="FFFFFF"/>
              <w:bottom w:val="single" w:sz="4" w:space="0" w:color="FFFFFF"/>
              <w:right w:val="single" w:sz="12" w:space="0" w:color="FFFFFF"/>
            </w:tcBorders>
            <w:shd w:val="clear" w:color="auto" w:fill="F2F2F2"/>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20"/>
                <w:szCs w:val="20"/>
                <w:u w:color="000000"/>
                <w:bdr w:val="nil"/>
                <w:lang w:val="es-ES_tradnl" w:eastAsia="es-CL"/>
              </w:rPr>
            </w:pPr>
            <w:r>
              <w:rPr>
                <w:rFonts w:ascii="Calibri" w:hAnsi="Calibri" w:cs="Calibri"/>
                <w:b w:val="0"/>
                <w:color w:val="000000"/>
                <w:kern w:val="24"/>
                <w:sz w:val="20"/>
                <w:szCs w:val="20"/>
                <w:u w:color="000000"/>
                <w:bdr w:val="nil"/>
                <w:lang w:val="es-ES_tradnl" w:eastAsia="es-CL"/>
              </w:rPr>
              <w:t>0</w:t>
            </w:r>
          </w:p>
        </w:tc>
        <w:tc>
          <w:tcPr>
            <w:tcW w:w="1088" w:type="dxa"/>
            <w:tcBorders>
              <w:top w:val="single" w:sz="4" w:space="0" w:color="000000"/>
              <w:left w:val="single" w:sz="12" w:space="0" w:color="FFFFFF"/>
              <w:bottom w:val="single" w:sz="4" w:space="0" w:color="FFFFFF"/>
              <w:right w:val="single" w:sz="4" w:space="0" w:color="000000"/>
            </w:tcBorders>
            <w:shd w:val="clear" w:color="auto" w:fill="F2F2F2"/>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20"/>
                <w:szCs w:val="20"/>
                <w:u w:color="000000"/>
                <w:bdr w:val="nil"/>
                <w:lang w:val="es-ES_tradnl" w:eastAsia="es-CL"/>
              </w:rPr>
            </w:pPr>
            <w:r>
              <w:rPr>
                <w:rFonts w:ascii="Calibri" w:hAnsi="Calibri" w:cs="Calibri"/>
                <w:b w:val="0"/>
                <w:color w:val="000000"/>
                <w:kern w:val="24"/>
                <w:sz w:val="20"/>
                <w:szCs w:val="20"/>
                <w:u w:color="000000"/>
                <w:bdr w:val="nil"/>
                <w:lang w:val="es-ES_tradnl" w:eastAsia="es-CL"/>
              </w:rPr>
              <w:t>0</w:t>
            </w:r>
          </w:p>
        </w:tc>
      </w:tr>
      <w:tr>
        <w:tblPrEx>
          <w:tblCellMar>
            <w:top w:w="0" w:type="dxa"/>
            <w:left w:w="0" w:type="dxa"/>
            <w:bottom w:w="0" w:type="dxa"/>
            <w:right w:w="0" w:type="dxa"/>
          </w:tblCellMar>
        </w:tblPrEx>
        <w:trPr>
          <w:trHeight w:val="450"/>
          <w:jc w:val="center"/>
        </w:trPr>
        <w:tc>
          <w:tcPr>
            <w:tcW w:w="659" w:type="dxa"/>
            <w:vMerge/>
            <w:tcBorders>
              <w:top w:val="single" w:sz="4" w:space="0" w:color="000000"/>
              <w:left w:val="single" w:sz="4" w:space="0" w:color="000000"/>
              <w:bottom w:val="single" w:sz="4" w:space="0" w:color="000000"/>
              <w:right w:val="single" w:sz="4" w:space="0" w:color="000000"/>
            </w:tcBorders>
            <w:shd w:val="clear" w:color="auto" w:fill="auto"/>
          </w:tcPr>
          <w:p>
            <w:pPr>
              <w:pBdr>
                <w:top w:val="nil"/>
                <w:left w:val="nil"/>
                <w:bottom w:val="nil"/>
                <w:right w:val="nil"/>
                <w:between w:val="nil"/>
                <w:bar w:val="nil"/>
              </w:pBdr>
              <w:rPr>
                <w:rFonts w:eastAsia="Arial"/>
                <w:b w:val="0"/>
                <w:color w:val="000000"/>
                <w:sz w:val="20"/>
                <w:szCs w:val="20"/>
                <w:u w:color="000000"/>
                <w:bdr w:val="nil"/>
                <w:lang w:val="es-ES_tradnl" w:eastAsia="es-CL"/>
              </w:rPr>
            </w:pPr>
          </w:p>
        </w:tc>
        <w:tc>
          <w:tcPr>
            <w:tcW w:w="1058" w:type="dxa"/>
            <w:tcBorders>
              <w:top w:val="single" w:sz="4" w:space="0" w:color="FFFFFF"/>
              <w:left w:val="single" w:sz="4" w:space="0" w:color="000000"/>
              <w:bottom w:val="single" w:sz="4" w:space="0" w:color="FFFFFF"/>
              <w:right w:val="single" w:sz="12" w:space="0" w:color="FFFFFF"/>
            </w:tcBorders>
            <w:shd w:val="clear" w:color="auto" w:fill="F2F2F2"/>
            <w:tcMar>
              <w:top w:w="80" w:type="dxa"/>
              <w:left w:w="80" w:type="dxa"/>
              <w:bottom w:w="80" w:type="dxa"/>
              <w:right w:w="80" w:type="dxa"/>
            </w:tcMar>
            <w:vAlign w:val="center"/>
          </w:tcPr>
          <w:p>
            <w:pPr>
              <w:pBdr>
                <w:top w:val="nil"/>
                <w:left w:val="nil"/>
                <w:bottom w:val="nil"/>
                <w:right w:val="nil"/>
                <w:between w:val="nil"/>
                <w:bar w:val="nil"/>
              </w:pBdr>
              <w:tabs>
                <w:tab w:val="clear" w:pos="2835"/>
              </w:tabs>
              <w:jc w:val="left"/>
              <w:rPr>
                <w:rFonts w:eastAsia="Arial"/>
                <w:b w:val="0"/>
                <w:color w:val="000000"/>
                <w:sz w:val="20"/>
                <w:szCs w:val="20"/>
                <w:u w:color="000000"/>
                <w:bdr w:val="nil"/>
                <w:lang w:val="es-ES_tradnl" w:eastAsia="es-CL"/>
              </w:rPr>
            </w:pPr>
            <w:r>
              <w:rPr>
                <w:rFonts w:ascii="Calibri" w:hAnsi="Calibri" w:cs="Calibri"/>
                <w:b w:val="0"/>
                <w:color w:val="000000"/>
                <w:kern w:val="24"/>
                <w:sz w:val="20"/>
                <w:szCs w:val="20"/>
                <w:u w:color="000000"/>
                <w:bdr w:val="nil"/>
                <w:lang w:val="es-ES_tradnl" w:eastAsia="es-CL"/>
              </w:rPr>
              <w:t>Subtítulo 22</w:t>
            </w:r>
          </w:p>
        </w:tc>
        <w:tc>
          <w:tcPr>
            <w:tcW w:w="946" w:type="dxa"/>
            <w:tcBorders>
              <w:top w:val="single" w:sz="4" w:space="0" w:color="FFFFFF"/>
              <w:left w:val="single" w:sz="12" w:space="0" w:color="FFFFFF"/>
              <w:bottom w:val="single" w:sz="4" w:space="0" w:color="FFFFFF"/>
              <w:right w:val="single" w:sz="12" w:space="0" w:color="FFFFFF"/>
            </w:tcBorders>
            <w:shd w:val="clear" w:color="auto" w:fill="F2F2F2"/>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20"/>
                <w:szCs w:val="20"/>
                <w:u w:color="000000"/>
                <w:bdr w:val="nil"/>
                <w:lang w:val="es-ES_tradnl" w:eastAsia="es-CL"/>
              </w:rPr>
            </w:pPr>
            <w:r>
              <w:rPr>
                <w:rFonts w:ascii="Calibri" w:hAnsi="Calibri" w:cs="Calibri"/>
                <w:b w:val="0"/>
                <w:color w:val="000000"/>
                <w:kern w:val="24"/>
                <w:sz w:val="20"/>
                <w:szCs w:val="20"/>
                <w:u w:color="000000"/>
                <w:bdr w:val="nil"/>
                <w:lang w:val="es-ES_tradnl" w:eastAsia="es-CL"/>
              </w:rPr>
              <w:t>0</w:t>
            </w:r>
          </w:p>
        </w:tc>
        <w:tc>
          <w:tcPr>
            <w:tcW w:w="1068" w:type="dxa"/>
            <w:tcBorders>
              <w:top w:val="single" w:sz="4" w:space="0" w:color="FFFFFF"/>
              <w:left w:val="single" w:sz="12" w:space="0" w:color="FFFFFF"/>
              <w:bottom w:val="single" w:sz="4" w:space="0" w:color="FFFFFF"/>
              <w:right w:val="single" w:sz="12" w:space="0" w:color="FFFFFF"/>
            </w:tcBorders>
            <w:shd w:val="clear" w:color="auto" w:fill="F2F2F2"/>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20"/>
                <w:szCs w:val="20"/>
                <w:u w:color="000000"/>
                <w:bdr w:val="nil"/>
                <w:lang w:val="es-ES_tradnl" w:eastAsia="es-CL"/>
              </w:rPr>
            </w:pPr>
            <w:r>
              <w:rPr>
                <w:rFonts w:ascii="Calibri" w:hAnsi="Calibri" w:cs="Calibri"/>
                <w:b w:val="0"/>
                <w:color w:val="000000"/>
                <w:kern w:val="24"/>
                <w:sz w:val="20"/>
                <w:szCs w:val="20"/>
                <w:u w:color="000000"/>
                <w:bdr w:val="nil"/>
                <w:lang w:val="es-ES_tradnl" w:eastAsia="es-CL"/>
              </w:rPr>
              <w:t>0</w:t>
            </w:r>
          </w:p>
        </w:tc>
        <w:tc>
          <w:tcPr>
            <w:tcW w:w="993" w:type="dxa"/>
            <w:tcBorders>
              <w:top w:val="single" w:sz="4" w:space="0" w:color="FFFFFF"/>
              <w:left w:val="single" w:sz="12" w:space="0" w:color="FFFFFF"/>
              <w:bottom w:val="single" w:sz="4" w:space="0" w:color="FFFFFF"/>
              <w:right w:val="single" w:sz="12" w:space="0" w:color="FFFFFF"/>
            </w:tcBorders>
            <w:shd w:val="clear" w:color="auto" w:fill="F2F2F2"/>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20"/>
                <w:szCs w:val="20"/>
                <w:u w:color="000000"/>
                <w:bdr w:val="nil"/>
                <w:lang w:val="es-ES_tradnl" w:eastAsia="es-CL"/>
              </w:rPr>
            </w:pPr>
            <w:r>
              <w:rPr>
                <w:rFonts w:ascii="Calibri" w:hAnsi="Calibri" w:cs="Calibri"/>
                <w:b w:val="0"/>
                <w:color w:val="000000"/>
                <w:kern w:val="24"/>
                <w:sz w:val="20"/>
                <w:szCs w:val="20"/>
                <w:u w:color="000000"/>
                <w:bdr w:val="nil"/>
                <w:lang w:val="es-ES_tradnl" w:eastAsia="es-CL"/>
              </w:rPr>
              <w:t>0</w:t>
            </w:r>
          </w:p>
        </w:tc>
        <w:tc>
          <w:tcPr>
            <w:tcW w:w="992" w:type="dxa"/>
            <w:tcBorders>
              <w:top w:val="single" w:sz="4" w:space="0" w:color="FFFFFF"/>
              <w:left w:val="single" w:sz="12" w:space="0" w:color="FFFFFF"/>
              <w:bottom w:val="single" w:sz="4" w:space="0" w:color="FFFFFF"/>
              <w:right w:val="single" w:sz="12" w:space="0" w:color="FFFFFF"/>
            </w:tcBorders>
            <w:shd w:val="clear" w:color="auto" w:fill="F2F2F2"/>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20"/>
                <w:szCs w:val="20"/>
                <w:u w:color="000000"/>
                <w:bdr w:val="nil"/>
                <w:lang w:val="es-ES_tradnl" w:eastAsia="es-CL"/>
              </w:rPr>
            </w:pPr>
            <w:r>
              <w:rPr>
                <w:rFonts w:ascii="Calibri" w:hAnsi="Calibri" w:cs="Calibri"/>
                <w:b w:val="0"/>
                <w:color w:val="000000"/>
                <w:kern w:val="24"/>
                <w:sz w:val="20"/>
                <w:szCs w:val="20"/>
                <w:u w:color="000000"/>
                <w:bdr w:val="nil"/>
                <w:lang w:val="es-ES_tradnl" w:eastAsia="es-CL"/>
              </w:rPr>
              <w:t>0</w:t>
            </w:r>
          </w:p>
        </w:tc>
        <w:tc>
          <w:tcPr>
            <w:tcW w:w="992" w:type="dxa"/>
            <w:tcBorders>
              <w:top w:val="single" w:sz="4" w:space="0" w:color="FFFFFF"/>
              <w:left w:val="single" w:sz="12" w:space="0" w:color="FFFFFF"/>
              <w:bottom w:val="single" w:sz="4" w:space="0" w:color="FFFFFF"/>
              <w:right w:val="single" w:sz="8" w:space="0" w:color="FFFFFF"/>
            </w:tcBorders>
            <w:shd w:val="clear" w:color="auto" w:fill="F2F2F2"/>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20"/>
                <w:szCs w:val="20"/>
                <w:u w:color="000000"/>
                <w:bdr w:val="nil"/>
                <w:lang w:val="es-ES_tradnl" w:eastAsia="es-CL"/>
              </w:rPr>
            </w:pPr>
            <w:r>
              <w:rPr>
                <w:rFonts w:ascii="Calibri" w:hAnsi="Calibri" w:cs="Calibri"/>
                <w:b w:val="0"/>
                <w:color w:val="000000"/>
                <w:kern w:val="24"/>
                <w:sz w:val="20"/>
                <w:szCs w:val="20"/>
                <w:u w:color="000000"/>
                <w:bdr w:val="nil"/>
                <w:lang w:val="es-ES_tradnl" w:eastAsia="es-CL"/>
              </w:rPr>
              <w:t>0</w:t>
            </w:r>
          </w:p>
        </w:tc>
        <w:tc>
          <w:tcPr>
            <w:tcW w:w="1134" w:type="dxa"/>
            <w:tcBorders>
              <w:top w:val="single" w:sz="4" w:space="0" w:color="FFFFFF"/>
              <w:left w:val="single" w:sz="8" w:space="0" w:color="FFFFFF"/>
              <w:bottom w:val="single" w:sz="4" w:space="0" w:color="FFFFFF"/>
              <w:right w:val="single" w:sz="12" w:space="0" w:color="FFFFFF"/>
            </w:tcBorders>
            <w:shd w:val="clear" w:color="auto" w:fill="F2F2F2"/>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20"/>
                <w:szCs w:val="20"/>
                <w:u w:color="000000"/>
                <w:bdr w:val="nil"/>
                <w:lang w:val="es-ES_tradnl" w:eastAsia="es-CL"/>
              </w:rPr>
            </w:pPr>
            <w:r>
              <w:rPr>
                <w:rFonts w:ascii="Calibri" w:hAnsi="Calibri" w:cs="Calibri"/>
                <w:b w:val="0"/>
                <w:color w:val="000000"/>
                <w:kern w:val="24"/>
                <w:sz w:val="20"/>
                <w:szCs w:val="20"/>
                <w:u w:color="000000"/>
                <w:bdr w:val="nil"/>
                <w:lang w:val="es-ES_tradnl" w:eastAsia="es-CL"/>
              </w:rPr>
              <w:t>0</w:t>
            </w:r>
          </w:p>
        </w:tc>
        <w:tc>
          <w:tcPr>
            <w:tcW w:w="1088" w:type="dxa"/>
            <w:tcBorders>
              <w:top w:val="single" w:sz="4" w:space="0" w:color="FFFFFF"/>
              <w:left w:val="single" w:sz="12" w:space="0" w:color="FFFFFF"/>
              <w:bottom w:val="single" w:sz="4" w:space="0" w:color="FFFFFF"/>
              <w:right w:val="single" w:sz="4" w:space="0" w:color="000000"/>
            </w:tcBorders>
            <w:shd w:val="clear" w:color="auto" w:fill="F2F2F2"/>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20"/>
                <w:szCs w:val="20"/>
                <w:u w:color="000000"/>
                <w:bdr w:val="nil"/>
                <w:lang w:val="es-ES_tradnl" w:eastAsia="es-CL"/>
              </w:rPr>
            </w:pPr>
            <w:r>
              <w:rPr>
                <w:rFonts w:ascii="Calibri" w:hAnsi="Calibri" w:cs="Calibri"/>
                <w:b w:val="0"/>
                <w:color w:val="000000"/>
                <w:kern w:val="24"/>
                <w:sz w:val="20"/>
                <w:szCs w:val="20"/>
                <w:u w:color="000000"/>
                <w:bdr w:val="nil"/>
                <w:lang w:val="es-ES_tradnl" w:eastAsia="es-CL"/>
              </w:rPr>
              <w:t>208.294</w:t>
            </w:r>
          </w:p>
        </w:tc>
      </w:tr>
      <w:tr>
        <w:tblPrEx>
          <w:tblCellMar>
            <w:top w:w="0" w:type="dxa"/>
            <w:left w:w="0" w:type="dxa"/>
            <w:bottom w:w="0" w:type="dxa"/>
            <w:right w:w="0" w:type="dxa"/>
          </w:tblCellMar>
        </w:tblPrEx>
        <w:trPr>
          <w:trHeight w:val="450"/>
          <w:jc w:val="center"/>
        </w:trPr>
        <w:tc>
          <w:tcPr>
            <w:tcW w:w="659" w:type="dxa"/>
            <w:vMerge/>
            <w:tcBorders>
              <w:top w:val="single" w:sz="4" w:space="0" w:color="000000"/>
              <w:left w:val="single" w:sz="4" w:space="0" w:color="000000"/>
              <w:bottom w:val="single" w:sz="4" w:space="0" w:color="000000"/>
              <w:right w:val="single" w:sz="4" w:space="0" w:color="000000"/>
            </w:tcBorders>
            <w:shd w:val="clear" w:color="auto" w:fill="auto"/>
          </w:tcPr>
          <w:p>
            <w:pPr>
              <w:pBdr>
                <w:top w:val="nil"/>
                <w:left w:val="nil"/>
                <w:bottom w:val="nil"/>
                <w:right w:val="nil"/>
                <w:between w:val="nil"/>
                <w:bar w:val="nil"/>
              </w:pBdr>
              <w:rPr>
                <w:rFonts w:eastAsia="Arial"/>
                <w:b w:val="0"/>
                <w:color w:val="000000"/>
                <w:sz w:val="20"/>
                <w:szCs w:val="20"/>
                <w:u w:color="000000"/>
                <w:bdr w:val="nil"/>
                <w:lang w:val="es-ES_tradnl" w:eastAsia="es-CL"/>
              </w:rPr>
            </w:pPr>
          </w:p>
        </w:tc>
        <w:tc>
          <w:tcPr>
            <w:tcW w:w="1058" w:type="dxa"/>
            <w:tcBorders>
              <w:top w:val="single" w:sz="4" w:space="0" w:color="FFFFFF"/>
              <w:left w:val="single" w:sz="4" w:space="0" w:color="000000"/>
              <w:bottom w:val="single" w:sz="4" w:space="0" w:color="FFFFFF"/>
              <w:right w:val="single" w:sz="12" w:space="0" w:color="FFFFFF"/>
            </w:tcBorders>
            <w:shd w:val="clear" w:color="auto" w:fill="F2F2F2"/>
            <w:tcMar>
              <w:top w:w="80" w:type="dxa"/>
              <w:left w:w="80" w:type="dxa"/>
              <w:bottom w:w="80" w:type="dxa"/>
              <w:right w:w="80" w:type="dxa"/>
            </w:tcMar>
            <w:vAlign w:val="center"/>
          </w:tcPr>
          <w:p>
            <w:pPr>
              <w:pBdr>
                <w:top w:val="nil"/>
                <w:left w:val="nil"/>
                <w:bottom w:val="nil"/>
                <w:right w:val="nil"/>
                <w:between w:val="nil"/>
                <w:bar w:val="nil"/>
              </w:pBdr>
              <w:tabs>
                <w:tab w:val="clear" w:pos="2835"/>
              </w:tabs>
              <w:jc w:val="left"/>
              <w:rPr>
                <w:rFonts w:eastAsia="Arial"/>
                <w:b w:val="0"/>
                <w:color w:val="000000"/>
                <w:sz w:val="20"/>
                <w:szCs w:val="20"/>
                <w:u w:color="000000"/>
                <w:bdr w:val="nil"/>
                <w:lang w:val="es-ES_tradnl" w:eastAsia="es-CL"/>
              </w:rPr>
            </w:pPr>
            <w:r>
              <w:rPr>
                <w:rFonts w:ascii="Calibri" w:hAnsi="Calibri" w:cs="Calibri"/>
                <w:b w:val="0"/>
                <w:color w:val="000000"/>
                <w:kern w:val="24"/>
                <w:sz w:val="20"/>
                <w:szCs w:val="20"/>
                <w:u w:color="000000"/>
                <w:bdr w:val="nil"/>
                <w:lang w:val="es-ES_tradnl" w:eastAsia="es-CL"/>
              </w:rPr>
              <w:t>Subtítulo 29</w:t>
            </w:r>
          </w:p>
        </w:tc>
        <w:tc>
          <w:tcPr>
            <w:tcW w:w="946" w:type="dxa"/>
            <w:tcBorders>
              <w:top w:val="single" w:sz="4" w:space="0" w:color="FFFFFF"/>
              <w:left w:val="single" w:sz="12" w:space="0" w:color="FFFFFF"/>
              <w:bottom w:val="single" w:sz="4" w:space="0" w:color="FFFFFF"/>
              <w:right w:val="single" w:sz="12" w:space="0" w:color="FFFFFF"/>
            </w:tcBorders>
            <w:shd w:val="clear" w:color="auto" w:fill="F2F2F2"/>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20"/>
                <w:szCs w:val="20"/>
                <w:u w:color="000000"/>
                <w:bdr w:val="nil"/>
                <w:lang w:val="es-ES_tradnl" w:eastAsia="es-CL"/>
              </w:rPr>
            </w:pPr>
            <w:r>
              <w:rPr>
                <w:rFonts w:ascii="Calibri" w:hAnsi="Calibri" w:cs="Calibri"/>
                <w:b w:val="0"/>
                <w:color w:val="000000"/>
                <w:kern w:val="24"/>
                <w:sz w:val="20"/>
                <w:szCs w:val="20"/>
                <w:u w:color="000000"/>
                <w:bdr w:val="nil"/>
                <w:lang w:val="es-ES_tradnl" w:eastAsia="es-CL"/>
              </w:rPr>
              <w:t>0</w:t>
            </w:r>
          </w:p>
        </w:tc>
        <w:tc>
          <w:tcPr>
            <w:tcW w:w="1068" w:type="dxa"/>
            <w:tcBorders>
              <w:top w:val="single" w:sz="4" w:space="0" w:color="FFFFFF"/>
              <w:left w:val="single" w:sz="12" w:space="0" w:color="FFFFFF"/>
              <w:bottom w:val="single" w:sz="4" w:space="0" w:color="FFFFFF"/>
              <w:right w:val="single" w:sz="12" w:space="0" w:color="FFFFFF"/>
            </w:tcBorders>
            <w:shd w:val="clear" w:color="auto" w:fill="F2F2F2"/>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20"/>
                <w:szCs w:val="20"/>
                <w:u w:color="000000"/>
                <w:bdr w:val="nil"/>
                <w:lang w:val="es-ES_tradnl" w:eastAsia="es-CL"/>
              </w:rPr>
            </w:pPr>
            <w:r>
              <w:rPr>
                <w:rFonts w:ascii="Calibri" w:hAnsi="Calibri" w:cs="Calibri"/>
                <w:b w:val="0"/>
                <w:color w:val="000000"/>
                <w:kern w:val="24"/>
                <w:sz w:val="20"/>
                <w:szCs w:val="20"/>
                <w:u w:color="000000"/>
                <w:bdr w:val="nil"/>
                <w:lang w:val="es-ES_tradnl" w:eastAsia="es-CL"/>
              </w:rPr>
              <w:t>602.203</w:t>
            </w:r>
          </w:p>
        </w:tc>
        <w:tc>
          <w:tcPr>
            <w:tcW w:w="993" w:type="dxa"/>
            <w:tcBorders>
              <w:top w:val="single" w:sz="4" w:space="0" w:color="FFFFFF"/>
              <w:left w:val="single" w:sz="12" w:space="0" w:color="FFFFFF"/>
              <w:bottom w:val="single" w:sz="4" w:space="0" w:color="FFFFFF"/>
              <w:right w:val="single" w:sz="12" w:space="0" w:color="FFFFFF"/>
            </w:tcBorders>
            <w:shd w:val="clear" w:color="auto" w:fill="F2F2F2"/>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20"/>
                <w:szCs w:val="20"/>
                <w:u w:color="000000"/>
                <w:bdr w:val="nil"/>
                <w:lang w:val="es-ES_tradnl" w:eastAsia="es-CL"/>
              </w:rPr>
            </w:pPr>
            <w:r>
              <w:rPr>
                <w:rFonts w:ascii="Calibri" w:hAnsi="Calibri" w:cs="Calibri"/>
                <w:b w:val="0"/>
                <w:color w:val="000000"/>
                <w:kern w:val="24"/>
                <w:sz w:val="20"/>
                <w:szCs w:val="20"/>
                <w:u w:color="000000"/>
                <w:bdr w:val="nil"/>
                <w:lang w:val="es-ES_tradnl" w:eastAsia="es-CL"/>
              </w:rPr>
              <w:t>723.052</w:t>
            </w:r>
          </w:p>
        </w:tc>
        <w:tc>
          <w:tcPr>
            <w:tcW w:w="992" w:type="dxa"/>
            <w:tcBorders>
              <w:top w:val="single" w:sz="4" w:space="0" w:color="FFFFFF"/>
              <w:left w:val="single" w:sz="12" w:space="0" w:color="FFFFFF"/>
              <w:bottom w:val="single" w:sz="4" w:space="0" w:color="FFFFFF"/>
              <w:right w:val="single" w:sz="4" w:space="0" w:color="FFFFFF"/>
            </w:tcBorders>
            <w:shd w:val="clear" w:color="auto" w:fill="F2F2F2"/>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20"/>
                <w:szCs w:val="20"/>
                <w:u w:color="000000"/>
                <w:bdr w:val="nil"/>
                <w:lang w:val="es-ES_tradnl" w:eastAsia="es-CL"/>
              </w:rPr>
            </w:pPr>
            <w:r>
              <w:rPr>
                <w:rFonts w:ascii="Calibri" w:hAnsi="Calibri" w:cs="Calibri"/>
                <w:b w:val="0"/>
                <w:color w:val="000000"/>
                <w:kern w:val="24"/>
                <w:sz w:val="20"/>
                <w:szCs w:val="20"/>
                <w:u w:color="000000"/>
                <w:bdr w:val="nil"/>
                <w:lang w:val="es-ES_tradnl" w:eastAsia="es-CL"/>
              </w:rPr>
              <w:t>0</w:t>
            </w:r>
          </w:p>
        </w:tc>
        <w:tc>
          <w:tcPr>
            <w:tcW w:w="992" w:type="dxa"/>
            <w:tcBorders>
              <w:top w:val="single" w:sz="4" w:space="0" w:color="FFFFFF"/>
              <w:left w:val="single" w:sz="4" w:space="0" w:color="FFFFFF"/>
              <w:bottom w:val="single" w:sz="4" w:space="0" w:color="FFFFFF"/>
              <w:right w:val="single" w:sz="4" w:space="0" w:color="FFFFFF"/>
            </w:tcBorders>
            <w:shd w:val="clear" w:color="auto" w:fill="F2F2F2"/>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20"/>
                <w:szCs w:val="20"/>
                <w:u w:color="000000"/>
                <w:bdr w:val="nil"/>
                <w:lang w:val="es-ES_tradnl" w:eastAsia="es-CL"/>
              </w:rPr>
            </w:pPr>
            <w:r>
              <w:rPr>
                <w:rFonts w:ascii="Calibri" w:hAnsi="Calibri" w:cs="Calibri"/>
                <w:b w:val="0"/>
                <w:color w:val="000000"/>
                <w:kern w:val="24"/>
                <w:sz w:val="20"/>
                <w:szCs w:val="20"/>
                <w:u w:color="000000"/>
                <w:bdr w:val="nil"/>
                <w:lang w:val="es-ES_tradnl" w:eastAsia="es-CL"/>
              </w:rPr>
              <w:t>0</w:t>
            </w:r>
          </w:p>
        </w:tc>
        <w:tc>
          <w:tcPr>
            <w:tcW w:w="1134" w:type="dxa"/>
            <w:tcBorders>
              <w:top w:val="single" w:sz="4" w:space="0" w:color="FFFFFF"/>
              <w:left w:val="single" w:sz="4" w:space="0" w:color="FFFFFF"/>
              <w:bottom w:val="single" w:sz="4" w:space="0" w:color="FFFFFF"/>
              <w:right w:val="single" w:sz="12" w:space="0" w:color="FFFFFF"/>
            </w:tcBorders>
            <w:shd w:val="clear" w:color="auto" w:fill="F2F2F2"/>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20"/>
                <w:szCs w:val="20"/>
                <w:u w:color="000000"/>
                <w:bdr w:val="nil"/>
                <w:lang w:val="es-ES_tradnl" w:eastAsia="es-CL"/>
              </w:rPr>
            </w:pPr>
            <w:r>
              <w:rPr>
                <w:rFonts w:ascii="Calibri" w:hAnsi="Calibri" w:cs="Calibri"/>
                <w:b w:val="0"/>
                <w:color w:val="000000"/>
                <w:kern w:val="24"/>
                <w:sz w:val="20"/>
                <w:szCs w:val="20"/>
                <w:u w:color="000000"/>
                <w:bdr w:val="nil"/>
                <w:lang w:val="es-ES_tradnl" w:eastAsia="es-CL"/>
              </w:rPr>
              <w:t>0</w:t>
            </w:r>
          </w:p>
        </w:tc>
        <w:tc>
          <w:tcPr>
            <w:tcW w:w="1088" w:type="dxa"/>
            <w:tcBorders>
              <w:top w:val="single" w:sz="4" w:space="0" w:color="FFFFFF"/>
              <w:left w:val="single" w:sz="12" w:space="0" w:color="FFFFFF"/>
              <w:bottom w:val="single" w:sz="4" w:space="0" w:color="FFFFFF"/>
              <w:right w:val="single" w:sz="4" w:space="0" w:color="000000"/>
            </w:tcBorders>
            <w:shd w:val="clear" w:color="auto" w:fill="F2F2F2"/>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20"/>
                <w:szCs w:val="20"/>
                <w:u w:color="000000"/>
                <w:bdr w:val="nil"/>
                <w:lang w:val="es-ES_tradnl" w:eastAsia="es-CL"/>
              </w:rPr>
            </w:pPr>
            <w:r>
              <w:rPr>
                <w:rFonts w:ascii="Calibri" w:hAnsi="Calibri" w:cs="Calibri"/>
                <w:b w:val="0"/>
                <w:color w:val="000000"/>
                <w:kern w:val="24"/>
                <w:sz w:val="20"/>
                <w:szCs w:val="20"/>
                <w:u w:color="000000"/>
                <w:bdr w:val="nil"/>
                <w:lang w:val="es-ES_tradnl" w:eastAsia="es-CL"/>
              </w:rPr>
              <w:t>1.116.961</w:t>
            </w:r>
          </w:p>
        </w:tc>
      </w:tr>
      <w:tr>
        <w:tblPrEx>
          <w:tblCellMar>
            <w:top w:w="0" w:type="dxa"/>
            <w:left w:w="0" w:type="dxa"/>
            <w:bottom w:w="0" w:type="dxa"/>
            <w:right w:w="0" w:type="dxa"/>
          </w:tblCellMar>
        </w:tblPrEx>
        <w:trPr>
          <w:trHeight w:val="490"/>
          <w:jc w:val="center"/>
        </w:trPr>
        <w:tc>
          <w:tcPr>
            <w:tcW w:w="659" w:type="dxa"/>
            <w:vMerge/>
            <w:tcBorders>
              <w:top w:val="single" w:sz="4" w:space="0" w:color="000000"/>
              <w:left w:val="single" w:sz="4" w:space="0" w:color="000000"/>
              <w:bottom w:val="single" w:sz="4" w:space="0" w:color="000000"/>
              <w:right w:val="single" w:sz="4" w:space="0" w:color="000000"/>
            </w:tcBorders>
            <w:shd w:val="clear" w:color="auto" w:fill="auto"/>
          </w:tcPr>
          <w:p>
            <w:pPr>
              <w:pBdr>
                <w:top w:val="nil"/>
                <w:left w:val="nil"/>
                <w:bottom w:val="nil"/>
                <w:right w:val="nil"/>
                <w:between w:val="nil"/>
                <w:bar w:val="nil"/>
              </w:pBdr>
              <w:rPr>
                <w:rFonts w:eastAsia="Arial"/>
                <w:b w:val="0"/>
                <w:color w:val="000000"/>
                <w:sz w:val="20"/>
                <w:szCs w:val="20"/>
                <w:u w:color="000000"/>
                <w:bdr w:val="nil"/>
                <w:lang w:val="es-ES_tradnl" w:eastAsia="es-CL"/>
              </w:rPr>
            </w:pPr>
          </w:p>
        </w:tc>
        <w:tc>
          <w:tcPr>
            <w:tcW w:w="1058" w:type="dxa"/>
            <w:tcBorders>
              <w:top w:val="single" w:sz="4" w:space="0" w:color="FFFFFF"/>
              <w:left w:val="single" w:sz="4" w:space="0" w:color="000000"/>
              <w:bottom w:val="single" w:sz="4" w:space="0" w:color="000000"/>
              <w:right w:val="single" w:sz="12" w:space="0" w:color="FFFFFF"/>
            </w:tcBorders>
            <w:shd w:val="clear" w:color="auto" w:fill="B8CCE4"/>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20"/>
                <w:szCs w:val="20"/>
                <w:u w:color="000000"/>
                <w:bdr w:val="nil"/>
                <w:lang w:val="es-ES_tradnl" w:eastAsia="es-CL"/>
              </w:rPr>
            </w:pPr>
            <w:r>
              <w:rPr>
                <w:rFonts w:ascii="Calibri" w:hAnsi="Calibri" w:cs="Calibri"/>
                <w:bCs/>
                <w:color w:val="000000"/>
                <w:kern w:val="24"/>
                <w:sz w:val="20"/>
                <w:szCs w:val="20"/>
                <w:u w:color="000000"/>
                <w:bdr w:val="nil"/>
                <w:lang w:val="es-ES_tradnl" w:eastAsia="es-CL"/>
              </w:rPr>
              <w:t>TOTAL</w:t>
            </w:r>
          </w:p>
        </w:tc>
        <w:tc>
          <w:tcPr>
            <w:tcW w:w="946" w:type="dxa"/>
            <w:tcBorders>
              <w:top w:val="single" w:sz="4" w:space="0" w:color="FFFFFF"/>
              <w:left w:val="single" w:sz="12" w:space="0" w:color="FFFFFF"/>
              <w:bottom w:val="single" w:sz="4" w:space="0" w:color="000000"/>
              <w:right w:val="single" w:sz="12" w:space="0" w:color="FFFFFF"/>
            </w:tcBorders>
            <w:shd w:val="clear" w:color="auto" w:fill="B8CCE4"/>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20"/>
                <w:szCs w:val="20"/>
                <w:u w:color="000000"/>
                <w:bdr w:val="nil"/>
                <w:lang w:val="es-ES_tradnl" w:eastAsia="es-CL"/>
              </w:rPr>
            </w:pPr>
            <w:r>
              <w:rPr>
                <w:rFonts w:ascii="Calibri" w:hAnsi="Calibri" w:cs="Calibri"/>
                <w:bCs/>
                <w:color w:val="000000"/>
                <w:kern w:val="24"/>
                <w:sz w:val="20"/>
                <w:szCs w:val="20"/>
                <w:u w:color="000000"/>
                <w:bdr w:val="nil"/>
                <w:lang w:val="es-ES_tradnl" w:eastAsia="es-CL"/>
              </w:rPr>
              <w:t>0</w:t>
            </w:r>
          </w:p>
        </w:tc>
        <w:tc>
          <w:tcPr>
            <w:tcW w:w="1068" w:type="dxa"/>
            <w:tcBorders>
              <w:top w:val="single" w:sz="4" w:space="0" w:color="FFFFFF"/>
              <w:left w:val="single" w:sz="12" w:space="0" w:color="FFFFFF"/>
              <w:bottom w:val="single" w:sz="4" w:space="0" w:color="000000"/>
              <w:right w:val="single" w:sz="12" w:space="0" w:color="FFFFFF"/>
            </w:tcBorders>
            <w:shd w:val="clear" w:color="auto" w:fill="B8CCE4"/>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20"/>
                <w:szCs w:val="20"/>
                <w:u w:color="000000"/>
                <w:bdr w:val="nil"/>
                <w:lang w:val="es-ES_tradnl" w:eastAsia="es-CL"/>
              </w:rPr>
            </w:pPr>
            <w:r>
              <w:rPr>
                <w:rFonts w:ascii="Calibri" w:hAnsi="Calibri" w:cs="Calibri"/>
                <w:bCs/>
                <w:color w:val="000000"/>
                <w:kern w:val="24"/>
                <w:sz w:val="20"/>
                <w:szCs w:val="20"/>
                <w:u w:color="000000"/>
                <w:bdr w:val="nil"/>
                <w:lang w:val="es-ES_tradnl" w:eastAsia="es-CL"/>
              </w:rPr>
              <w:t>602.203</w:t>
            </w:r>
          </w:p>
        </w:tc>
        <w:tc>
          <w:tcPr>
            <w:tcW w:w="993" w:type="dxa"/>
            <w:tcBorders>
              <w:top w:val="single" w:sz="4" w:space="0" w:color="FFFFFF"/>
              <w:left w:val="single" w:sz="12" w:space="0" w:color="FFFFFF"/>
              <w:bottom w:val="single" w:sz="4" w:space="0" w:color="000000"/>
              <w:right w:val="single" w:sz="12" w:space="0" w:color="FFFFFF"/>
            </w:tcBorders>
            <w:shd w:val="clear" w:color="auto" w:fill="B8CCE4"/>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20"/>
                <w:szCs w:val="20"/>
                <w:u w:color="000000"/>
                <w:bdr w:val="nil"/>
                <w:lang w:val="es-ES_tradnl" w:eastAsia="es-CL"/>
              </w:rPr>
            </w:pPr>
            <w:r>
              <w:rPr>
                <w:rFonts w:ascii="Calibri" w:hAnsi="Calibri" w:cs="Calibri"/>
                <w:bCs/>
                <w:color w:val="000000"/>
                <w:kern w:val="24"/>
                <w:sz w:val="20"/>
                <w:szCs w:val="20"/>
                <w:u w:color="000000"/>
                <w:bdr w:val="nil"/>
                <w:lang w:val="es-ES_tradnl" w:eastAsia="es-CL"/>
              </w:rPr>
              <w:t>723.052</w:t>
            </w:r>
          </w:p>
        </w:tc>
        <w:tc>
          <w:tcPr>
            <w:tcW w:w="992" w:type="dxa"/>
            <w:tcBorders>
              <w:top w:val="single" w:sz="4" w:space="0" w:color="FFFFFF"/>
              <w:left w:val="single" w:sz="12" w:space="0" w:color="FFFFFF"/>
              <w:bottom w:val="single" w:sz="4" w:space="0" w:color="000000"/>
              <w:right w:val="single" w:sz="12" w:space="0" w:color="FFFFFF"/>
            </w:tcBorders>
            <w:shd w:val="clear" w:color="auto" w:fill="B8CCE4"/>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20"/>
                <w:szCs w:val="20"/>
                <w:u w:color="000000"/>
                <w:bdr w:val="nil"/>
                <w:lang w:val="es-ES_tradnl" w:eastAsia="es-CL"/>
              </w:rPr>
            </w:pPr>
            <w:r>
              <w:rPr>
                <w:rFonts w:ascii="Calibri" w:hAnsi="Calibri" w:cs="Calibri"/>
                <w:bCs/>
                <w:color w:val="000000"/>
                <w:kern w:val="24"/>
                <w:sz w:val="20"/>
                <w:szCs w:val="20"/>
                <w:u w:color="000000"/>
                <w:bdr w:val="nil"/>
                <w:lang w:val="es-ES_tradnl" w:eastAsia="es-CL"/>
              </w:rPr>
              <w:t>0</w:t>
            </w:r>
          </w:p>
        </w:tc>
        <w:tc>
          <w:tcPr>
            <w:tcW w:w="992" w:type="dxa"/>
            <w:tcBorders>
              <w:top w:val="single" w:sz="4" w:space="0" w:color="FFFFFF"/>
              <w:left w:val="single" w:sz="12" w:space="0" w:color="FFFFFF"/>
              <w:bottom w:val="single" w:sz="4" w:space="0" w:color="000000"/>
              <w:right w:val="single" w:sz="8" w:space="0" w:color="FFFFFF"/>
            </w:tcBorders>
            <w:shd w:val="clear" w:color="auto" w:fill="B8CCE4"/>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20"/>
                <w:szCs w:val="20"/>
                <w:u w:color="000000"/>
                <w:bdr w:val="nil"/>
                <w:lang w:val="es-ES_tradnl" w:eastAsia="es-CL"/>
              </w:rPr>
            </w:pPr>
            <w:r>
              <w:rPr>
                <w:rFonts w:ascii="Calibri" w:hAnsi="Calibri" w:cs="Calibri"/>
                <w:bCs/>
                <w:color w:val="000000"/>
                <w:kern w:val="24"/>
                <w:sz w:val="20"/>
                <w:szCs w:val="20"/>
                <w:u w:color="000000"/>
                <w:bdr w:val="nil"/>
                <w:lang w:val="es-ES_tradnl" w:eastAsia="es-CL"/>
              </w:rPr>
              <w:t>0</w:t>
            </w:r>
          </w:p>
        </w:tc>
        <w:tc>
          <w:tcPr>
            <w:tcW w:w="1134" w:type="dxa"/>
            <w:tcBorders>
              <w:top w:val="single" w:sz="4" w:space="0" w:color="FFFFFF"/>
              <w:left w:val="single" w:sz="8" w:space="0" w:color="FFFFFF"/>
              <w:bottom w:val="single" w:sz="4" w:space="0" w:color="000000"/>
              <w:right w:val="single" w:sz="12" w:space="0" w:color="FFFFFF"/>
            </w:tcBorders>
            <w:shd w:val="clear" w:color="auto" w:fill="B8CCE4"/>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20"/>
                <w:szCs w:val="20"/>
                <w:u w:color="000000"/>
                <w:bdr w:val="nil"/>
                <w:lang w:val="es-ES_tradnl" w:eastAsia="es-CL"/>
              </w:rPr>
            </w:pPr>
            <w:r>
              <w:rPr>
                <w:rFonts w:ascii="Calibri" w:hAnsi="Calibri" w:cs="Calibri"/>
                <w:bCs/>
                <w:color w:val="000000"/>
                <w:kern w:val="24"/>
                <w:sz w:val="20"/>
                <w:szCs w:val="20"/>
                <w:u w:color="000000"/>
                <w:bdr w:val="nil"/>
                <w:lang w:val="es-ES_tradnl" w:eastAsia="es-CL"/>
              </w:rPr>
              <w:t>0</w:t>
            </w:r>
          </w:p>
        </w:tc>
        <w:tc>
          <w:tcPr>
            <w:tcW w:w="1088" w:type="dxa"/>
            <w:tcBorders>
              <w:top w:val="single" w:sz="4" w:space="0" w:color="FFFFFF"/>
              <w:left w:val="single" w:sz="12" w:space="0" w:color="FFFFFF"/>
              <w:bottom w:val="single" w:sz="4" w:space="0" w:color="000000"/>
              <w:right w:val="single" w:sz="4" w:space="0" w:color="000000"/>
            </w:tcBorders>
            <w:shd w:val="clear" w:color="auto" w:fill="B8CCE4"/>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20"/>
                <w:szCs w:val="20"/>
                <w:u w:color="000000"/>
                <w:bdr w:val="nil"/>
                <w:lang w:val="es-ES_tradnl" w:eastAsia="es-CL"/>
              </w:rPr>
            </w:pPr>
            <w:r>
              <w:rPr>
                <w:rFonts w:ascii="Calibri" w:hAnsi="Calibri" w:cs="Calibri"/>
                <w:bCs/>
                <w:color w:val="000000"/>
                <w:kern w:val="24"/>
                <w:sz w:val="20"/>
                <w:szCs w:val="20"/>
                <w:u w:color="000000"/>
                <w:bdr w:val="nil"/>
                <w:lang w:val="es-ES_tradnl" w:eastAsia="es-CL"/>
              </w:rPr>
              <w:t>1.325.255</w:t>
            </w:r>
          </w:p>
        </w:tc>
      </w:tr>
    </w:tbl>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En este acápite, indicó que se observa que a partir del año 2019 existe una disminución de los recursos empleados en este ámbito, encontrándose el Servicio en el segundo año de la implementación de su Data Center, incorporándose nuevas licencias que permitan generar plataformas de bases de datos que sean congruentes con el aumento de transacciones y agentes que se encuentran registrados en el sistema</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Posteriormente, explicó los objetivos que pretenden alcanzar los proyectos CORE y SIC.</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w:bCs/>
          <w:color w:val="000000"/>
          <w:u w:color="000000"/>
          <w:bdr w:val="nil"/>
          <w:lang w:val="es-ES_tradnl" w:eastAsia="es-CL"/>
        </w:rPr>
        <w:tab/>
      </w:r>
      <w:r>
        <w:rPr>
          <w:rFonts w:eastAsia="Arial Unicode MS" w:cs="Arial Unicode MS"/>
          <w:b w:val="0"/>
          <w:color w:val="000000"/>
          <w:u w:color="000000"/>
          <w:bdr w:val="nil"/>
          <w:lang w:val="es-ES_tradnl" w:eastAsia="es-CL"/>
        </w:rPr>
        <w:t xml:space="preserve">- </w:t>
      </w:r>
      <w:r>
        <w:rPr>
          <w:rFonts w:eastAsia="Arial Unicode MS" w:cs="Arial Unicode MS"/>
          <w:bCs/>
          <w:color w:val="000000"/>
          <w:u w:color="000000"/>
          <w:bdr w:val="nil"/>
          <w:lang w:val="es-ES_tradnl" w:eastAsia="es-CL"/>
        </w:rPr>
        <w:t xml:space="preserve">CORE: </w:t>
      </w:r>
      <w:r>
        <w:rPr>
          <w:rFonts w:eastAsia="Arial Unicode MS" w:cs="Arial Unicode MS"/>
          <w:b w:val="0"/>
          <w:color w:val="000000"/>
          <w:u w:color="000000"/>
          <w:bdr w:val="nil"/>
          <w:lang w:val="es-ES_tradnl" w:eastAsia="es-CL"/>
        </w:rPr>
        <w:t>el núcleo de la plataforma tecnológica sustenta los distintos procesos de negocio de la Tesorería General de la República, lo que requiere un ciclo de renovación para garantizar su continuidad operacional, la capacidad de procesar el volumen creciente de transacciones e incorporar nuevas políticas y servicios, como es el caso de la Reforma Tributaria.</w:t>
      </w:r>
    </w:p>
    <w:p>
      <w:pPr>
        <w:pBdr>
          <w:top w:val="nil"/>
          <w:left w:val="nil"/>
          <w:bottom w:val="nil"/>
          <w:right w:val="nil"/>
          <w:between w:val="nil"/>
          <w:bar w:val="nil"/>
        </w:pBdr>
        <w:rPr>
          <w:rFonts w:eastAsia="Arial"/>
          <w:bCs/>
          <w:color w:val="000000"/>
          <w:u w:val="single"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 xml:space="preserve">- </w:t>
      </w:r>
      <w:r>
        <w:rPr>
          <w:rFonts w:eastAsia="Arial Unicode MS" w:cs="Arial Unicode MS"/>
          <w:bCs/>
          <w:color w:val="000000"/>
          <w:u w:color="000000"/>
          <w:bdr w:val="nil"/>
          <w:lang w:val="es-ES_tradnl" w:eastAsia="es-CL"/>
        </w:rPr>
        <w:t xml:space="preserve">SIC: </w:t>
      </w:r>
      <w:r>
        <w:rPr>
          <w:rFonts w:eastAsia="Arial Unicode MS" w:cs="Arial Unicode MS"/>
          <w:b w:val="0"/>
          <w:color w:val="000000"/>
          <w:u w:color="000000"/>
          <w:bdr w:val="nil"/>
          <w:lang w:val="es-ES_tradnl" w:eastAsia="es-CL"/>
        </w:rPr>
        <w:t>mejora la gestión del cobro administrativo y judicial, de manera de enfrentar la mayor morosidad que se genera producto de la Reforma Tributaria, incrementando la recaudación y optimizando los procesos que se realizan en el ámbito del cobro.</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En seguida, describió la ejecución presupuestaria de los proyectos en comento a través del siguiente recuadro.</w:t>
      </w:r>
    </w:p>
    <w:p>
      <w:pPr>
        <w:pBdr>
          <w:top w:val="nil"/>
          <w:left w:val="nil"/>
          <w:bottom w:val="nil"/>
          <w:right w:val="nil"/>
          <w:between w:val="nil"/>
          <w:bar w:val="nil"/>
        </w:pBdr>
        <w:rPr>
          <w:rFonts w:eastAsia="Arial"/>
          <w:b w:val="0"/>
          <w:color w:val="000000"/>
          <w:u w:color="000000"/>
          <w:bdr w:val="nil"/>
          <w:lang w:val="es-ES_tradnl" w:eastAsia="es-CL"/>
        </w:rPr>
      </w:pPr>
    </w:p>
    <w:tbl>
      <w:tblPr>
        <w:tblW w:w="8504" w:type="dxa"/>
        <w:jc w:val="center"/>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667"/>
        <w:gridCol w:w="1271"/>
        <w:gridCol w:w="872"/>
        <w:gridCol w:w="992"/>
        <w:gridCol w:w="995"/>
        <w:gridCol w:w="872"/>
        <w:gridCol w:w="872"/>
        <w:gridCol w:w="872"/>
        <w:gridCol w:w="1091"/>
      </w:tblGrid>
      <w:tr>
        <w:tblPrEx>
          <w:tblCellMar>
            <w:top w:w="0" w:type="dxa"/>
            <w:left w:w="0" w:type="dxa"/>
            <w:bottom w:w="0" w:type="dxa"/>
            <w:right w:w="0" w:type="dxa"/>
          </w:tblCellMar>
        </w:tblPrEx>
        <w:trPr>
          <w:trHeight w:val="445"/>
          <w:jc w:val="center"/>
        </w:trPr>
        <w:tc>
          <w:tcPr>
            <w:tcW w:w="1938" w:type="dxa"/>
            <w:gridSpan w:val="2"/>
            <w:vMerge w:val="restart"/>
            <w:tcBorders>
              <w:top w:val="single" w:sz="4" w:space="0" w:color="000000"/>
              <w:left w:val="single" w:sz="4" w:space="0" w:color="000000"/>
              <w:bottom w:val="single" w:sz="4" w:space="0" w:color="000000"/>
              <w:right w:val="single" w:sz="12" w:space="0" w:color="FFFFFF"/>
            </w:tcBorders>
            <w:shd w:val="clear" w:color="auto" w:fill="B8CCE4"/>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rFonts w:ascii="Calibri" w:hAnsi="Calibri" w:cs="Calibri"/>
                <w:bCs/>
                <w:color w:val="000000"/>
                <w:kern w:val="24"/>
                <w:sz w:val="18"/>
                <w:szCs w:val="18"/>
                <w:u w:color="000000"/>
                <w:bdr w:val="nil"/>
                <w:lang w:val="es-ES_tradnl" w:eastAsia="es-CL"/>
              </w:rPr>
              <w:t>EJECUCIÓN</w:t>
            </w:r>
            <w:r>
              <w:rPr>
                <w:rFonts w:ascii="Calibri" w:hAnsi="Calibri" w:cs="Calibri"/>
                <w:bCs/>
                <w:color w:val="000000"/>
                <w:kern w:val="24"/>
                <w:sz w:val="18"/>
                <w:szCs w:val="18"/>
                <w:u w:color="000000"/>
                <w:bdr w:val="nil"/>
                <w:lang w:val="es-ES_tradnl" w:eastAsia="es-CL"/>
              </w:rPr>
              <w:br/>
              <w:t>2014 -2016</w:t>
            </w:r>
          </w:p>
        </w:tc>
        <w:tc>
          <w:tcPr>
            <w:tcW w:w="872" w:type="dxa"/>
            <w:tcBorders>
              <w:top w:val="single" w:sz="4" w:space="0" w:color="000000"/>
              <w:left w:val="single" w:sz="12" w:space="0" w:color="FFFFFF"/>
              <w:bottom w:val="nil"/>
              <w:right w:val="single" w:sz="12" w:space="0" w:color="FFFFFF"/>
            </w:tcBorders>
            <w:shd w:val="clear" w:color="auto" w:fill="B8CCE4"/>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rFonts w:ascii="Calibri" w:hAnsi="Calibri" w:cs="Calibri"/>
                <w:bCs/>
                <w:color w:val="000000"/>
                <w:kern w:val="24"/>
                <w:sz w:val="18"/>
                <w:szCs w:val="18"/>
                <w:u w:color="000000"/>
                <w:bdr w:val="nil"/>
                <w:lang w:val="es-ES_tradnl" w:eastAsia="es-CL"/>
              </w:rPr>
              <w:t>Año 2014</w:t>
            </w:r>
          </w:p>
        </w:tc>
        <w:tc>
          <w:tcPr>
            <w:tcW w:w="992" w:type="dxa"/>
            <w:tcBorders>
              <w:top w:val="single" w:sz="4" w:space="0" w:color="000000"/>
              <w:left w:val="single" w:sz="12" w:space="0" w:color="FFFFFF"/>
              <w:bottom w:val="nil"/>
              <w:right w:val="single" w:sz="12" w:space="0" w:color="FFFFFF"/>
            </w:tcBorders>
            <w:shd w:val="clear" w:color="auto" w:fill="B8CCE4"/>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rFonts w:ascii="Calibri" w:hAnsi="Calibri" w:cs="Calibri"/>
                <w:bCs/>
                <w:color w:val="000000"/>
                <w:kern w:val="24"/>
                <w:sz w:val="18"/>
                <w:szCs w:val="18"/>
                <w:u w:color="000000"/>
                <w:bdr w:val="nil"/>
                <w:lang w:val="es-ES_tradnl" w:eastAsia="es-CL"/>
              </w:rPr>
              <w:t>Año 2015</w:t>
            </w:r>
          </w:p>
        </w:tc>
        <w:tc>
          <w:tcPr>
            <w:tcW w:w="995" w:type="dxa"/>
            <w:tcBorders>
              <w:top w:val="single" w:sz="4" w:space="0" w:color="000000"/>
              <w:left w:val="single" w:sz="12" w:space="0" w:color="FFFFFF"/>
              <w:bottom w:val="nil"/>
              <w:right w:val="single" w:sz="12" w:space="0" w:color="FFFFFF"/>
            </w:tcBorders>
            <w:shd w:val="clear" w:color="auto" w:fill="B8CCE4"/>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rFonts w:ascii="Calibri" w:hAnsi="Calibri" w:cs="Calibri"/>
                <w:bCs/>
                <w:color w:val="000000"/>
                <w:kern w:val="24"/>
                <w:sz w:val="18"/>
                <w:szCs w:val="18"/>
                <w:u w:color="000000"/>
                <w:bdr w:val="nil"/>
                <w:lang w:val="es-ES_tradnl" w:eastAsia="es-CL"/>
              </w:rPr>
              <w:t>Año 2016</w:t>
            </w:r>
          </w:p>
        </w:tc>
        <w:tc>
          <w:tcPr>
            <w:tcW w:w="872" w:type="dxa"/>
            <w:tcBorders>
              <w:top w:val="single" w:sz="4" w:space="0" w:color="000000"/>
              <w:left w:val="single" w:sz="12" w:space="0" w:color="FFFFFF"/>
              <w:bottom w:val="nil"/>
              <w:right w:val="single" w:sz="12" w:space="0" w:color="FFFFFF"/>
            </w:tcBorders>
            <w:shd w:val="clear" w:color="auto" w:fill="B8CCE4"/>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rFonts w:ascii="Calibri" w:hAnsi="Calibri" w:cs="Calibri"/>
                <w:bCs/>
                <w:color w:val="000000"/>
                <w:kern w:val="24"/>
                <w:sz w:val="18"/>
                <w:szCs w:val="18"/>
                <w:u w:color="000000"/>
                <w:bdr w:val="nil"/>
                <w:lang w:val="es-ES_tradnl" w:eastAsia="es-CL"/>
              </w:rPr>
              <w:t>sep-16</w:t>
            </w:r>
          </w:p>
        </w:tc>
        <w:tc>
          <w:tcPr>
            <w:tcW w:w="872" w:type="dxa"/>
            <w:tcBorders>
              <w:top w:val="single" w:sz="4" w:space="0" w:color="000000"/>
              <w:left w:val="single" w:sz="12" w:space="0" w:color="FFFFFF"/>
              <w:bottom w:val="nil"/>
              <w:right w:val="single" w:sz="12" w:space="0" w:color="FFFFFF"/>
            </w:tcBorders>
            <w:shd w:val="clear" w:color="auto" w:fill="B8CCE4"/>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rFonts w:ascii="Calibri" w:hAnsi="Calibri" w:cs="Calibri"/>
                <w:bCs/>
                <w:color w:val="000000"/>
                <w:kern w:val="24"/>
                <w:sz w:val="18"/>
                <w:szCs w:val="18"/>
                <w:u w:color="000000"/>
                <w:bdr w:val="nil"/>
                <w:lang w:val="es-ES_tradnl" w:eastAsia="es-CL"/>
              </w:rPr>
              <w:t>oct-16</w:t>
            </w:r>
          </w:p>
        </w:tc>
        <w:tc>
          <w:tcPr>
            <w:tcW w:w="872" w:type="dxa"/>
            <w:tcBorders>
              <w:top w:val="single" w:sz="4" w:space="0" w:color="000000"/>
              <w:left w:val="single" w:sz="12" w:space="0" w:color="FFFFFF"/>
              <w:bottom w:val="nil"/>
              <w:right w:val="single" w:sz="12" w:space="0" w:color="FFFFFF"/>
            </w:tcBorders>
            <w:shd w:val="clear" w:color="auto" w:fill="B8CCE4"/>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rFonts w:ascii="Calibri" w:hAnsi="Calibri" w:cs="Calibri"/>
                <w:bCs/>
                <w:color w:val="000000"/>
                <w:kern w:val="24"/>
                <w:sz w:val="18"/>
                <w:szCs w:val="18"/>
                <w:u w:color="000000"/>
                <w:bdr w:val="nil"/>
                <w:lang w:val="es-ES_tradnl" w:eastAsia="es-CL"/>
              </w:rPr>
              <w:t>nov-16</w:t>
            </w:r>
          </w:p>
        </w:tc>
        <w:tc>
          <w:tcPr>
            <w:tcW w:w="1091" w:type="dxa"/>
            <w:tcBorders>
              <w:top w:val="single" w:sz="4" w:space="0" w:color="000000"/>
              <w:left w:val="single" w:sz="12" w:space="0" w:color="FFFFFF"/>
              <w:bottom w:val="nil"/>
              <w:right w:val="single" w:sz="4" w:space="0" w:color="000000"/>
            </w:tcBorders>
            <w:shd w:val="clear" w:color="auto" w:fill="B8CCE4"/>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rFonts w:ascii="Calibri" w:hAnsi="Calibri" w:cs="Calibri"/>
                <w:bCs/>
                <w:color w:val="000000"/>
                <w:kern w:val="24"/>
                <w:sz w:val="18"/>
                <w:szCs w:val="18"/>
                <w:u w:color="000000"/>
                <w:bdr w:val="nil"/>
                <w:lang w:val="es-ES_tradnl" w:eastAsia="es-CL"/>
              </w:rPr>
              <w:t>dic-16</w:t>
            </w:r>
          </w:p>
        </w:tc>
      </w:tr>
      <w:tr>
        <w:tblPrEx>
          <w:tblCellMar>
            <w:top w:w="0" w:type="dxa"/>
            <w:left w:w="0" w:type="dxa"/>
            <w:bottom w:w="0" w:type="dxa"/>
            <w:right w:w="0" w:type="dxa"/>
          </w:tblCellMar>
        </w:tblPrEx>
        <w:trPr>
          <w:trHeight w:val="445"/>
          <w:jc w:val="center"/>
        </w:trPr>
        <w:tc>
          <w:tcPr>
            <w:tcW w:w="1938" w:type="dxa"/>
            <w:gridSpan w:val="2"/>
            <w:vMerge/>
            <w:tcBorders>
              <w:top w:val="single" w:sz="4" w:space="0" w:color="000000"/>
              <w:left w:val="single" w:sz="4" w:space="0" w:color="000000"/>
              <w:bottom w:val="single" w:sz="4" w:space="0" w:color="000000"/>
              <w:right w:val="single" w:sz="12" w:space="0" w:color="FFFFFF"/>
            </w:tcBorders>
            <w:shd w:val="clear" w:color="auto" w:fill="B8CCE4"/>
          </w:tcPr>
          <w:p>
            <w:pPr>
              <w:pBdr>
                <w:top w:val="nil"/>
                <w:left w:val="nil"/>
                <w:bottom w:val="nil"/>
                <w:right w:val="nil"/>
                <w:between w:val="nil"/>
                <w:bar w:val="nil"/>
              </w:pBdr>
              <w:rPr>
                <w:rFonts w:eastAsia="Arial"/>
                <w:b w:val="0"/>
                <w:color w:val="000000"/>
                <w:sz w:val="18"/>
                <w:szCs w:val="18"/>
                <w:u w:color="000000"/>
                <w:bdr w:val="nil"/>
                <w:lang w:val="es-ES_tradnl" w:eastAsia="es-CL"/>
              </w:rPr>
            </w:pPr>
          </w:p>
        </w:tc>
        <w:tc>
          <w:tcPr>
            <w:tcW w:w="872" w:type="dxa"/>
            <w:tcBorders>
              <w:top w:val="nil"/>
              <w:left w:val="single" w:sz="12" w:space="0" w:color="FFFFFF"/>
              <w:bottom w:val="single" w:sz="4" w:space="0" w:color="000000"/>
              <w:right w:val="nil"/>
            </w:tcBorders>
            <w:shd w:val="clear" w:color="auto" w:fill="F2F2F2"/>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rFonts w:ascii="Calibri" w:hAnsi="Calibri" w:cs="Calibri"/>
                <w:b w:val="0"/>
                <w:color w:val="000000"/>
                <w:kern w:val="24"/>
                <w:sz w:val="18"/>
                <w:szCs w:val="18"/>
                <w:u w:color="000000"/>
                <w:bdr w:val="nil"/>
                <w:lang w:val="es-ES_tradnl" w:eastAsia="es-CL"/>
              </w:rPr>
              <w:t>Ejecución</w:t>
            </w:r>
          </w:p>
        </w:tc>
        <w:tc>
          <w:tcPr>
            <w:tcW w:w="992" w:type="dxa"/>
            <w:tcBorders>
              <w:top w:val="nil"/>
              <w:left w:val="nil"/>
              <w:bottom w:val="single" w:sz="4" w:space="0" w:color="000000"/>
              <w:right w:val="nil"/>
            </w:tcBorders>
            <w:shd w:val="clear" w:color="auto" w:fill="F2F2F2"/>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rFonts w:ascii="Calibri" w:hAnsi="Calibri" w:cs="Calibri"/>
                <w:b w:val="0"/>
                <w:color w:val="000000"/>
                <w:kern w:val="24"/>
                <w:sz w:val="18"/>
                <w:szCs w:val="18"/>
                <w:u w:color="000000"/>
                <w:bdr w:val="nil"/>
                <w:lang w:val="es-ES_tradnl" w:eastAsia="es-CL"/>
              </w:rPr>
              <w:t>Ejecución</w:t>
            </w:r>
          </w:p>
        </w:tc>
        <w:tc>
          <w:tcPr>
            <w:tcW w:w="995" w:type="dxa"/>
            <w:tcBorders>
              <w:top w:val="nil"/>
              <w:left w:val="nil"/>
              <w:bottom w:val="single" w:sz="4" w:space="0" w:color="000000"/>
              <w:right w:val="nil"/>
            </w:tcBorders>
            <w:shd w:val="clear" w:color="auto" w:fill="F2F2F2"/>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rFonts w:ascii="Calibri" w:hAnsi="Calibri" w:cs="Calibri"/>
                <w:b w:val="0"/>
                <w:color w:val="000000"/>
                <w:kern w:val="24"/>
                <w:sz w:val="18"/>
                <w:szCs w:val="18"/>
                <w:u w:color="000000"/>
                <w:bdr w:val="nil"/>
                <w:lang w:val="es-ES_tradnl" w:eastAsia="es-CL"/>
              </w:rPr>
              <w:t xml:space="preserve">Ejecución </w:t>
            </w:r>
          </w:p>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rFonts w:ascii="Calibri" w:hAnsi="Calibri" w:cs="Calibri"/>
                <w:b w:val="0"/>
                <w:color w:val="000000"/>
                <w:kern w:val="24"/>
                <w:sz w:val="18"/>
                <w:szCs w:val="18"/>
                <w:u w:color="000000"/>
                <w:bdr w:val="nil"/>
                <w:lang w:val="es-ES_tradnl" w:eastAsia="es-CL"/>
              </w:rPr>
              <w:t>ene-ago</w:t>
            </w:r>
          </w:p>
        </w:tc>
        <w:tc>
          <w:tcPr>
            <w:tcW w:w="872" w:type="dxa"/>
            <w:tcBorders>
              <w:top w:val="nil"/>
              <w:left w:val="nil"/>
              <w:bottom w:val="single" w:sz="4" w:space="0" w:color="000000"/>
              <w:right w:val="nil"/>
            </w:tcBorders>
            <w:shd w:val="clear" w:color="auto" w:fill="F2F2F2"/>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rFonts w:ascii="Calibri" w:hAnsi="Calibri" w:cs="Calibri"/>
                <w:b w:val="0"/>
                <w:color w:val="000000"/>
                <w:kern w:val="24"/>
                <w:sz w:val="18"/>
                <w:szCs w:val="18"/>
                <w:u w:color="000000"/>
                <w:bdr w:val="nil"/>
                <w:lang w:val="es-ES_tradnl" w:eastAsia="es-CL"/>
              </w:rPr>
              <w:t>Ejecución</w:t>
            </w:r>
          </w:p>
        </w:tc>
        <w:tc>
          <w:tcPr>
            <w:tcW w:w="872" w:type="dxa"/>
            <w:tcBorders>
              <w:top w:val="nil"/>
              <w:left w:val="nil"/>
              <w:bottom w:val="single" w:sz="4" w:space="0" w:color="000000"/>
              <w:right w:val="nil"/>
            </w:tcBorders>
            <w:shd w:val="clear" w:color="auto" w:fill="F2F2F2"/>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rFonts w:ascii="Calibri" w:hAnsi="Calibri" w:cs="Calibri"/>
                <w:b w:val="0"/>
                <w:color w:val="000000"/>
                <w:kern w:val="24"/>
                <w:sz w:val="18"/>
                <w:szCs w:val="18"/>
                <w:u w:color="000000"/>
                <w:bdr w:val="nil"/>
                <w:lang w:val="es-ES_tradnl" w:eastAsia="es-CL"/>
              </w:rPr>
              <w:t>Ejecución</w:t>
            </w:r>
          </w:p>
        </w:tc>
        <w:tc>
          <w:tcPr>
            <w:tcW w:w="872" w:type="dxa"/>
            <w:tcBorders>
              <w:top w:val="nil"/>
              <w:left w:val="nil"/>
              <w:bottom w:val="single" w:sz="4" w:space="0" w:color="000000"/>
              <w:right w:val="nil"/>
            </w:tcBorders>
            <w:shd w:val="clear" w:color="auto" w:fill="F2F2F2"/>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rFonts w:ascii="Calibri" w:hAnsi="Calibri" w:cs="Calibri"/>
                <w:b w:val="0"/>
                <w:color w:val="000000"/>
                <w:kern w:val="24"/>
                <w:sz w:val="18"/>
                <w:szCs w:val="18"/>
                <w:u w:color="000000"/>
                <w:bdr w:val="nil"/>
                <w:lang w:val="es-ES_tradnl" w:eastAsia="es-CL"/>
              </w:rPr>
              <w:t>Ejecución</w:t>
            </w:r>
          </w:p>
        </w:tc>
        <w:tc>
          <w:tcPr>
            <w:tcW w:w="1091" w:type="dxa"/>
            <w:tcBorders>
              <w:top w:val="nil"/>
              <w:left w:val="nil"/>
              <w:bottom w:val="single" w:sz="4" w:space="0" w:color="000000"/>
              <w:right w:val="single" w:sz="4" w:space="0" w:color="000000"/>
            </w:tcBorders>
            <w:shd w:val="clear" w:color="auto" w:fill="F2F2F2"/>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rFonts w:ascii="Calibri" w:hAnsi="Calibri" w:cs="Calibri"/>
                <w:b w:val="0"/>
                <w:color w:val="000000"/>
                <w:kern w:val="24"/>
                <w:sz w:val="18"/>
                <w:szCs w:val="18"/>
                <w:u w:color="000000"/>
                <w:bdr w:val="nil"/>
                <w:lang w:val="es-ES_tradnl" w:eastAsia="es-CL"/>
              </w:rPr>
              <w:t>Ejecución</w:t>
            </w:r>
          </w:p>
        </w:tc>
      </w:tr>
      <w:tr>
        <w:tblPrEx>
          <w:tblCellMar>
            <w:top w:w="0" w:type="dxa"/>
            <w:left w:w="0" w:type="dxa"/>
            <w:bottom w:w="0" w:type="dxa"/>
            <w:right w:w="0" w:type="dxa"/>
          </w:tblCellMar>
        </w:tblPrEx>
        <w:trPr>
          <w:trHeight w:val="230"/>
          <w:jc w:val="center"/>
        </w:trPr>
        <w:tc>
          <w:tcPr>
            <w:tcW w:w="66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pPr>
              <w:pBdr>
                <w:top w:val="nil"/>
                <w:left w:val="nil"/>
                <w:bottom w:val="nil"/>
                <w:right w:val="nil"/>
                <w:between w:val="nil"/>
                <w:bar w:val="nil"/>
              </w:pBdr>
              <w:tabs>
                <w:tab w:val="clear" w:pos="2835"/>
              </w:tabs>
              <w:jc w:val="left"/>
              <w:rPr>
                <w:rFonts w:eastAsia="Arial"/>
                <w:b w:val="0"/>
                <w:color w:val="000000"/>
                <w:sz w:val="18"/>
                <w:szCs w:val="18"/>
                <w:u w:color="000000"/>
                <w:bdr w:val="nil"/>
                <w:lang w:val="es-ES_tradnl" w:eastAsia="es-CL"/>
              </w:rPr>
            </w:pPr>
            <w:r>
              <w:rPr>
                <w:rFonts w:ascii="Calibri" w:hAnsi="Calibri" w:cs="Calibri"/>
                <w:b w:val="0"/>
                <w:color w:val="000000"/>
                <w:kern w:val="24"/>
                <w:sz w:val="18"/>
                <w:szCs w:val="18"/>
                <w:u w:color="000000"/>
                <w:bdr w:val="nil"/>
                <w:lang w:val="es-ES_tradnl" w:eastAsia="es-CL"/>
              </w:rPr>
              <w:t> </w:t>
            </w:r>
          </w:p>
        </w:tc>
        <w:tc>
          <w:tcPr>
            <w:tcW w:w="127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pPr>
              <w:pBdr>
                <w:top w:val="nil"/>
                <w:left w:val="nil"/>
                <w:bottom w:val="nil"/>
                <w:right w:val="nil"/>
                <w:between w:val="nil"/>
                <w:bar w:val="nil"/>
              </w:pBdr>
              <w:tabs>
                <w:tab w:val="clear" w:pos="2835"/>
              </w:tabs>
              <w:jc w:val="left"/>
              <w:rPr>
                <w:rFonts w:eastAsia="Arial"/>
                <w:b w:val="0"/>
                <w:color w:val="000000"/>
                <w:sz w:val="18"/>
                <w:szCs w:val="18"/>
                <w:u w:color="000000"/>
                <w:bdr w:val="nil"/>
                <w:lang w:val="es-ES_tradnl" w:eastAsia="es-CL"/>
              </w:rPr>
            </w:pPr>
            <w:r>
              <w:rPr>
                <w:rFonts w:ascii="Calibri" w:hAnsi="Calibri" w:cs="Calibri"/>
                <w:b w:val="0"/>
                <w:color w:val="000000"/>
                <w:kern w:val="24"/>
                <w:sz w:val="18"/>
                <w:szCs w:val="18"/>
                <w:u w:color="000000"/>
                <w:bdr w:val="nil"/>
                <w:lang w:val="es-ES_tradnl" w:eastAsia="es-CL"/>
              </w:rPr>
              <w:t> </w:t>
            </w:r>
          </w:p>
        </w:tc>
        <w:tc>
          <w:tcPr>
            <w:tcW w:w="872"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rFonts w:ascii="Calibri" w:hAnsi="Calibri" w:cs="Calibri"/>
                <w:b w:val="0"/>
                <w:color w:val="000000"/>
                <w:kern w:val="24"/>
                <w:sz w:val="18"/>
                <w:szCs w:val="18"/>
                <w:u w:color="000000"/>
                <w:bdr w:val="nil"/>
                <w:lang w:val="es-ES_tradnl" w:eastAsia="es-CL"/>
              </w:rPr>
              <w:t> </w:t>
            </w:r>
          </w:p>
        </w:tc>
        <w:tc>
          <w:tcPr>
            <w:tcW w:w="992"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rFonts w:ascii="Calibri" w:hAnsi="Calibri" w:cs="Calibri"/>
                <w:b w:val="0"/>
                <w:color w:val="000000"/>
                <w:kern w:val="24"/>
                <w:sz w:val="18"/>
                <w:szCs w:val="18"/>
                <w:u w:color="000000"/>
                <w:bdr w:val="nil"/>
                <w:lang w:val="es-ES_tradnl" w:eastAsia="es-CL"/>
              </w:rPr>
              <w:t> </w:t>
            </w:r>
          </w:p>
        </w:tc>
        <w:tc>
          <w:tcPr>
            <w:tcW w:w="995"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rFonts w:ascii="Calibri" w:hAnsi="Calibri" w:cs="Calibri"/>
                <w:b w:val="0"/>
                <w:color w:val="000000"/>
                <w:kern w:val="24"/>
                <w:sz w:val="18"/>
                <w:szCs w:val="18"/>
                <w:u w:color="000000"/>
                <w:bdr w:val="nil"/>
                <w:lang w:val="es-ES_tradnl" w:eastAsia="es-CL"/>
              </w:rPr>
              <w:t> </w:t>
            </w:r>
          </w:p>
        </w:tc>
        <w:tc>
          <w:tcPr>
            <w:tcW w:w="872"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rFonts w:ascii="Calibri" w:hAnsi="Calibri" w:cs="Calibri"/>
                <w:b w:val="0"/>
                <w:color w:val="000000"/>
                <w:kern w:val="24"/>
                <w:sz w:val="18"/>
                <w:szCs w:val="18"/>
                <w:u w:color="000000"/>
                <w:bdr w:val="nil"/>
                <w:lang w:val="es-ES_tradnl" w:eastAsia="es-CL"/>
              </w:rPr>
              <w:t> </w:t>
            </w:r>
          </w:p>
        </w:tc>
        <w:tc>
          <w:tcPr>
            <w:tcW w:w="872"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rFonts w:ascii="Calibri" w:hAnsi="Calibri" w:cs="Calibri"/>
                <w:b w:val="0"/>
                <w:color w:val="000000"/>
                <w:kern w:val="24"/>
                <w:sz w:val="18"/>
                <w:szCs w:val="18"/>
                <w:u w:color="000000"/>
                <w:bdr w:val="nil"/>
                <w:lang w:val="es-ES_tradnl" w:eastAsia="es-CL"/>
              </w:rPr>
              <w:t> </w:t>
            </w:r>
          </w:p>
        </w:tc>
        <w:tc>
          <w:tcPr>
            <w:tcW w:w="872"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rFonts w:ascii="Calibri" w:hAnsi="Calibri" w:cs="Calibri"/>
                <w:b w:val="0"/>
                <w:color w:val="000000"/>
                <w:kern w:val="24"/>
                <w:sz w:val="18"/>
                <w:szCs w:val="18"/>
                <w:u w:color="000000"/>
                <w:bdr w:val="nil"/>
                <w:lang w:val="es-ES_tradnl" w:eastAsia="es-CL"/>
              </w:rPr>
              <w:t> </w:t>
            </w:r>
          </w:p>
        </w:tc>
        <w:tc>
          <w:tcPr>
            <w:tcW w:w="109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rFonts w:ascii="Calibri" w:hAnsi="Calibri" w:cs="Calibri"/>
                <w:b w:val="0"/>
                <w:color w:val="000000"/>
                <w:kern w:val="24"/>
                <w:sz w:val="18"/>
                <w:szCs w:val="18"/>
                <w:u w:color="000000"/>
                <w:bdr w:val="nil"/>
                <w:lang w:val="es-ES_tradnl" w:eastAsia="es-CL"/>
              </w:rPr>
              <w:t> </w:t>
            </w:r>
          </w:p>
        </w:tc>
      </w:tr>
      <w:tr>
        <w:tblPrEx>
          <w:tblCellMar>
            <w:top w:w="0" w:type="dxa"/>
            <w:left w:w="0" w:type="dxa"/>
            <w:bottom w:w="0" w:type="dxa"/>
            <w:right w:w="0" w:type="dxa"/>
          </w:tblCellMar>
        </w:tblPrEx>
        <w:trPr>
          <w:trHeight w:val="235"/>
          <w:jc w:val="center"/>
        </w:trPr>
        <w:tc>
          <w:tcPr>
            <w:tcW w:w="66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rFonts w:ascii="Calibri" w:hAnsi="Calibri" w:cs="Calibri"/>
                <w:bCs/>
                <w:color w:val="1F497D"/>
                <w:kern w:val="24"/>
                <w:sz w:val="18"/>
                <w:szCs w:val="18"/>
                <w:u w:color="1F497D"/>
                <w:bdr w:val="nil"/>
                <w:lang w:val="es-ES_tradnl" w:eastAsia="es-CL"/>
              </w:rPr>
              <w:t>CORE</w:t>
            </w:r>
          </w:p>
        </w:tc>
        <w:tc>
          <w:tcPr>
            <w:tcW w:w="1271" w:type="dxa"/>
            <w:tcBorders>
              <w:top w:val="single" w:sz="4" w:space="0" w:color="000000"/>
              <w:left w:val="single" w:sz="4" w:space="0" w:color="000000"/>
              <w:bottom w:val="single" w:sz="4" w:space="0" w:color="FFFFFF"/>
              <w:right w:val="single" w:sz="12" w:space="0" w:color="FFFFFF"/>
            </w:tcBorders>
            <w:shd w:val="clear" w:color="auto" w:fill="F2F2F2"/>
            <w:tcMar>
              <w:top w:w="80" w:type="dxa"/>
              <w:left w:w="80" w:type="dxa"/>
              <w:bottom w:w="80" w:type="dxa"/>
              <w:right w:w="80" w:type="dxa"/>
            </w:tcMar>
            <w:vAlign w:val="center"/>
          </w:tcPr>
          <w:p>
            <w:pPr>
              <w:pBdr>
                <w:top w:val="nil"/>
                <w:left w:val="nil"/>
                <w:bottom w:val="nil"/>
                <w:right w:val="nil"/>
                <w:between w:val="nil"/>
                <w:bar w:val="nil"/>
              </w:pBdr>
              <w:tabs>
                <w:tab w:val="clear" w:pos="2835"/>
              </w:tabs>
              <w:jc w:val="left"/>
              <w:rPr>
                <w:rFonts w:eastAsia="Arial"/>
                <w:b w:val="0"/>
                <w:color w:val="000000"/>
                <w:sz w:val="18"/>
                <w:szCs w:val="18"/>
                <w:u w:color="000000"/>
                <w:bdr w:val="nil"/>
                <w:lang w:val="es-ES_tradnl" w:eastAsia="es-CL"/>
              </w:rPr>
            </w:pPr>
            <w:r>
              <w:rPr>
                <w:rFonts w:ascii="Calibri" w:hAnsi="Calibri" w:cs="Calibri"/>
                <w:b w:val="0"/>
                <w:color w:val="000000"/>
                <w:kern w:val="24"/>
                <w:sz w:val="18"/>
                <w:szCs w:val="18"/>
                <w:u w:color="000000"/>
                <w:bdr w:val="nil"/>
                <w:lang w:val="es-ES_tradnl" w:eastAsia="es-CL"/>
              </w:rPr>
              <w:t>Subtítulo 21</w:t>
            </w:r>
          </w:p>
        </w:tc>
        <w:tc>
          <w:tcPr>
            <w:tcW w:w="872" w:type="dxa"/>
            <w:tcBorders>
              <w:top w:val="single" w:sz="4" w:space="0" w:color="000000"/>
              <w:left w:val="single" w:sz="12" w:space="0" w:color="FFFFFF"/>
              <w:bottom w:val="nil"/>
              <w:right w:val="nil"/>
            </w:tcBorders>
            <w:shd w:val="clear" w:color="auto" w:fill="F2F2F2"/>
            <w:tcMar>
              <w:top w:w="80" w:type="dxa"/>
              <w:left w:w="80" w:type="dxa"/>
              <w:bottom w:w="80" w:type="dxa"/>
              <w:right w:w="80" w:type="dxa"/>
            </w:tcMar>
            <w:vAlign w:val="bottom"/>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rFonts w:ascii="Calibri" w:hAnsi="Calibri" w:cs="Calibri"/>
                <w:b w:val="0"/>
                <w:color w:val="000000"/>
                <w:kern w:val="24"/>
                <w:sz w:val="18"/>
                <w:szCs w:val="18"/>
                <w:u w:color="000000"/>
                <w:bdr w:val="nil"/>
                <w:lang w:val="es-ES_tradnl" w:eastAsia="es-CL"/>
              </w:rPr>
              <w:t>-</w:t>
            </w:r>
          </w:p>
        </w:tc>
        <w:tc>
          <w:tcPr>
            <w:tcW w:w="992" w:type="dxa"/>
            <w:tcBorders>
              <w:top w:val="single" w:sz="4" w:space="0" w:color="000000"/>
              <w:left w:val="nil"/>
              <w:bottom w:val="nil"/>
              <w:right w:val="nil"/>
            </w:tcBorders>
            <w:shd w:val="clear" w:color="auto" w:fill="F2F2F2"/>
            <w:tcMar>
              <w:top w:w="80" w:type="dxa"/>
              <w:left w:w="80" w:type="dxa"/>
              <w:bottom w:w="80" w:type="dxa"/>
              <w:right w:w="80" w:type="dxa"/>
            </w:tcMar>
            <w:vAlign w:val="bottom"/>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rFonts w:ascii="Calibri" w:hAnsi="Calibri" w:cs="Calibri"/>
                <w:b w:val="0"/>
                <w:color w:val="000000"/>
                <w:kern w:val="24"/>
                <w:sz w:val="18"/>
                <w:szCs w:val="18"/>
                <w:u w:color="000000"/>
                <w:bdr w:val="nil"/>
                <w:lang w:val="es-ES_tradnl" w:eastAsia="es-CL"/>
              </w:rPr>
              <w:t>59%</w:t>
            </w:r>
          </w:p>
        </w:tc>
        <w:tc>
          <w:tcPr>
            <w:tcW w:w="995" w:type="dxa"/>
            <w:tcBorders>
              <w:top w:val="single" w:sz="4" w:space="0" w:color="000000"/>
              <w:left w:val="nil"/>
              <w:bottom w:val="nil"/>
              <w:right w:val="nil"/>
            </w:tcBorders>
            <w:shd w:val="clear" w:color="auto" w:fill="F2F2F2"/>
            <w:tcMar>
              <w:top w:w="80" w:type="dxa"/>
              <w:left w:w="80" w:type="dxa"/>
              <w:bottom w:w="80" w:type="dxa"/>
              <w:right w:w="80" w:type="dxa"/>
            </w:tcMar>
            <w:vAlign w:val="bottom"/>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rFonts w:ascii="Calibri" w:hAnsi="Calibri" w:cs="Calibri"/>
                <w:b w:val="0"/>
                <w:color w:val="000000"/>
                <w:kern w:val="24"/>
                <w:sz w:val="18"/>
                <w:szCs w:val="18"/>
                <w:u w:color="000000"/>
                <w:bdr w:val="nil"/>
                <w:lang w:val="es-ES_tradnl" w:eastAsia="es-CL"/>
              </w:rPr>
              <w:t>57%</w:t>
            </w:r>
          </w:p>
        </w:tc>
        <w:tc>
          <w:tcPr>
            <w:tcW w:w="872" w:type="dxa"/>
            <w:tcBorders>
              <w:top w:val="single" w:sz="4" w:space="0" w:color="000000"/>
              <w:left w:val="nil"/>
              <w:bottom w:val="nil"/>
              <w:right w:val="nil"/>
            </w:tcBorders>
            <w:shd w:val="clear" w:color="auto" w:fill="F2F2F2"/>
            <w:tcMar>
              <w:top w:w="80" w:type="dxa"/>
              <w:left w:w="80" w:type="dxa"/>
              <w:bottom w:w="80" w:type="dxa"/>
              <w:right w:w="80" w:type="dxa"/>
            </w:tcMar>
            <w:vAlign w:val="bottom"/>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rFonts w:ascii="Calibri" w:hAnsi="Calibri" w:cs="Calibri"/>
                <w:b w:val="0"/>
                <w:color w:val="000000"/>
                <w:kern w:val="24"/>
                <w:sz w:val="18"/>
                <w:szCs w:val="18"/>
                <w:u w:color="000000"/>
                <w:bdr w:val="nil"/>
                <w:lang w:val="es-ES_tradnl" w:eastAsia="es-CL"/>
              </w:rPr>
              <w:t>13%</w:t>
            </w:r>
          </w:p>
        </w:tc>
        <w:tc>
          <w:tcPr>
            <w:tcW w:w="872" w:type="dxa"/>
            <w:tcBorders>
              <w:top w:val="single" w:sz="4" w:space="0" w:color="000000"/>
              <w:left w:val="nil"/>
              <w:bottom w:val="nil"/>
              <w:right w:val="nil"/>
            </w:tcBorders>
            <w:shd w:val="clear" w:color="auto" w:fill="F2F2F2"/>
            <w:tcMar>
              <w:top w:w="80" w:type="dxa"/>
              <w:left w:w="80" w:type="dxa"/>
              <w:bottom w:w="80" w:type="dxa"/>
              <w:right w:w="80" w:type="dxa"/>
            </w:tcMar>
            <w:vAlign w:val="bottom"/>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rFonts w:ascii="Calibri" w:hAnsi="Calibri" w:cs="Calibri"/>
                <w:b w:val="0"/>
                <w:color w:val="000000"/>
                <w:kern w:val="24"/>
                <w:sz w:val="18"/>
                <w:szCs w:val="18"/>
                <w:u w:color="000000"/>
                <w:bdr w:val="nil"/>
                <w:lang w:val="es-ES_tradnl" w:eastAsia="es-CL"/>
              </w:rPr>
              <w:t>5%</w:t>
            </w:r>
          </w:p>
        </w:tc>
        <w:tc>
          <w:tcPr>
            <w:tcW w:w="872" w:type="dxa"/>
            <w:tcBorders>
              <w:top w:val="single" w:sz="4" w:space="0" w:color="000000"/>
              <w:left w:val="nil"/>
              <w:bottom w:val="nil"/>
              <w:right w:val="nil"/>
            </w:tcBorders>
            <w:shd w:val="clear" w:color="auto" w:fill="F2F2F2"/>
            <w:tcMar>
              <w:top w:w="80" w:type="dxa"/>
              <w:left w:w="80" w:type="dxa"/>
              <w:bottom w:w="80" w:type="dxa"/>
              <w:right w:w="80" w:type="dxa"/>
            </w:tcMar>
            <w:vAlign w:val="bottom"/>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rFonts w:ascii="Calibri" w:hAnsi="Calibri" w:cs="Calibri"/>
                <w:b w:val="0"/>
                <w:color w:val="000000"/>
                <w:kern w:val="24"/>
                <w:sz w:val="18"/>
                <w:szCs w:val="18"/>
                <w:u w:color="000000"/>
                <w:bdr w:val="nil"/>
                <w:lang w:val="es-ES_tradnl" w:eastAsia="es-CL"/>
              </w:rPr>
              <w:t>10%</w:t>
            </w:r>
          </w:p>
        </w:tc>
        <w:tc>
          <w:tcPr>
            <w:tcW w:w="1091" w:type="dxa"/>
            <w:tcBorders>
              <w:top w:val="single" w:sz="4" w:space="0" w:color="000000"/>
              <w:left w:val="nil"/>
              <w:bottom w:val="nil"/>
              <w:right w:val="single" w:sz="4" w:space="0" w:color="000000"/>
            </w:tcBorders>
            <w:shd w:val="clear" w:color="auto" w:fill="F2F2F2"/>
            <w:tcMar>
              <w:top w:w="80" w:type="dxa"/>
              <w:left w:w="80" w:type="dxa"/>
              <w:bottom w:w="80" w:type="dxa"/>
              <w:right w:w="80" w:type="dxa"/>
            </w:tcMar>
            <w:vAlign w:val="bottom"/>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rFonts w:ascii="Calibri" w:hAnsi="Calibri" w:cs="Calibri"/>
                <w:b w:val="0"/>
                <w:color w:val="000000"/>
                <w:kern w:val="24"/>
                <w:sz w:val="18"/>
                <w:szCs w:val="18"/>
                <w:u w:color="000000"/>
                <w:bdr w:val="nil"/>
                <w:lang w:val="es-ES_tradnl" w:eastAsia="es-CL"/>
              </w:rPr>
              <w:t>15%</w:t>
            </w:r>
          </w:p>
        </w:tc>
      </w:tr>
      <w:tr>
        <w:tblPrEx>
          <w:tblCellMar>
            <w:top w:w="0" w:type="dxa"/>
            <w:left w:w="0" w:type="dxa"/>
            <w:bottom w:w="0" w:type="dxa"/>
            <w:right w:w="0" w:type="dxa"/>
          </w:tblCellMar>
        </w:tblPrEx>
        <w:trPr>
          <w:trHeight w:val="240"/>
          <w:jc w:val="center"/>
        </w:trPr>
        <w:tc>
          <w:tcPr>
            <w:tcW w:w="667" w:type="dxa"/>
            <w:vMerge/>
            <w:tcBorders>
              <w:top w:val="single" w:sz="4" w:space="0" w:color="000000"/>
              <w:left w:val="single" w:sz="4" w:space="0" w:color="000000"/>
              <w:bottom w:val="single" w:sz="4" w:space="0" w:color="000000"/>
              <w:right w:val="single" w:sz="4" w:space="0" w:color="000000"/>
            </w:tcBorders>
            <w:shd w:val="clear" w:color="auto" w:fill="auto"/>
          </w:tcPr>
          <w:p>
            <w:pPr>
              <w:pBdr>
                <w:top w:val="nil"/>
                <w:left w:val="nil"/>
                <w:bottom w:val="nil"/>
                <w:right w:val="nil"/>
                <w:between w:val="nil"/>
                <w:bar w:val="nil"/>
              </w:pBdr>
              <w:rPr>
                <w:rFonts w:eastAsia="Arial"/>
                <w:b w:val="0"/>
                <w:color w:val="000000"/>
                <w:sz w:val="18"/>
                <w:szCs w:val="18"/>
                <w:u w:color="000000"/>
                <w:bdr w:val="nil"/>
                <w:lang w:val="es-ES_tradnl" w:eastAsia="es-CL"/>
              </w:rPr>
            </w:pPr>
          </w:p>
        </w:tc>
        <w:tc>
          <w:tcPr>
            <w:tcW w:w="1271" w:type="dxa"/>
            <w:tcBorders>
              <w:top w:val="single" w:sz="4" w:space="0" w:color="FFFFFF"/>
              <w:left w:val="single" w:sz="4" w:space="0" w:color="000000"/>
              <w:bottom w:val="single" w:sz="4" w:space="0" w:color="FFFFFF"/>
              <w:right w:val="single" w:sz="12" w:space="0" w:color="FFFFFF"/>
            </w:tcBorders>
            <w:shd w:val="clear" w:color="auto" w:fill="F2F2F2"/>
            <w:tcMar>
              <w:top w:w="80" w:type="dxa"/>
              <w:left w:w="80" w:type="dxa"/>
              <w:bottom w:w="80" w:type="dxa"/>
              <w:right w:w="80" w:type="dxa"/>
            </w:tcMar>
            <w:vAlign w:val="center"/>
          </w:tcPr>
          <w:p>
            <w:pPr>
              <w:pBdr>
                <w:top w:val="nil"/>
                <w:left w:val="nil"/>
                <w:bottom w:val="nil"/>
                <w:right w:val="nil"/>
                <w:between w:val="nil"/>
                <w:bar w:val="nil"/>
              </w:pBdr>
              <w:tabs>
                <w:tab w:val="clear" w:pos="2835"/>
              </w:tabs>
              <w:jc w:val="left"/>
              <w:rPr>
                <w:rFonts w:eastAsia="Arial"/>
                <w:b w:val="0"/>
                <w:color w:val="000000"/>
                <w:sz w:val="18"/>
                <w:szCs w:val="18"/>
                <w:u w:color="000000"/>
                <w:bdr w:val="nil"/>
                <w:lang w:val="es-ES_tradnl" w:eastAsia="es-CL"/>
              </w:rPr>
            </w:pPr>
            <w:r>
              <w:rPr>
                <w:rFonts w:ascii="Calibri" w:hAnsi="Calibri" w:cs="Calibri"/>
                <w:b w:val="0"/>
                <w:color w:val="000000"/>
                <w:kern w:val="24"/>
                <w:sz w:val="18"/>
                <w:szCs w:val="18"/>
                <w:u w:color="000000"/>
                <w:bdr w:val="nil"/>
                <w:lang w:val="es-ES_tradnl" w:eastAsia="es-CL"/>
              </w:rPr>
              <w:t>Subtítulo 22</w:t>
            </w:r>
          </w:p>
        </w:tc>
        <w:tc>
          <w:tcPr>
            <w:tcW w:w="872" w:type="dxa"/>
            <w:tcBorders>
              <w:top w:val="nil"/>
              <w:left w:val="single" w:sz="12" w:space="0" w:color="FFFFFF"/>
              <w:bottom w:val="nil"/>
              <w:right w:val="nil"/>
            </w:tcBorders>
            <w:shd w:val="clear" w:color="auto" w:fill="F2F2F2"/>
            <w:tcMar>
              <w:top w:w="80" w:type="dxa"/>
              <w:left w:w="80" w:type="dxa"/>
              <w:bottom w:w="80" w:type="dxa"/>
              <w:right w:w="80" w:type="dxa"/>
            </w:tcMar>
            <w:vAlign w:val="bottom"/>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rFonts w:ascii="Calibri" w:hAnsi="Calibri" w:cs="Calibri"/>
                <w:b w:val="0"/>
                <w:color w:val="000000"/>
                <w:kern w:val="24"/>
                <w:sz w:val="18"/>
                <w:szCs w:val="18"/>
                <w:u w:color="000000"/>
                <w:bdr w:val="nil"/>
                <w:lang w:val="es-ES_tradnl" w:eastAsia="es-CL"/>
              </w:rPr>
              <w:t>100%</w:t>
            </w:r>
          </w:p>
        </w:tc>
        <w:tc>
          <w:tcPr>
            <w:tcW w:w="992" w:type="dxa"/>
            <w:tcBorders>
              <w:top w:val="nil"/>
              <w:left w:val="nil"/>
              <w:bottom w:val="nil"/>
              <w:right w:val="nil"/>
            </w:tcBorders>
            <w:shd w:val="clear" w:color="auto" w:fill="F2F2F2"/>
            <w:tcMar>
              <w:top w:w="80" w:type="dxa"/>
              <w:left w:w="80" w:type="dxa"/>
              <w:bottom w:w="80" w:type="dxa"/>
              <w:right w:w="80" w:type="dxa"/>
            </w:tcMar>
            <w:vAlign w:val="bottom"/>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rFonts w:ascii="Calibri" w:hAnsi="Calibri" w:cs="Calibri"/>
                <w:b w:val="0"/>
                <w:color w:val="000000"/>
                <w:kern w:val="24"/>
                <w:sz w:val="18"/>
                <w:szCs w:val="18"/>
                <w:u w:color="000000"/>
                <w:bdr w:val="nil"/>
                <w:lang w:val="es-ES_tradnl" w:eastAsia="es-CL"/>
              </w:rPr>
              <w:t>100%</w:t>
            </w:r>
          </w:p>
        </w:tc>
        <w:tc>
          <w:tcPr>
            <w:tcW w:w="995" w:type="dxa"/>
            <w:tcBorders>
              <w:top w:val="nil"/>
              <w:left w:val="nil"/>
              <w:bottom w:val="nil"/>
              <w:right w:val="nil"/>
            </w:tcBorders>
            <w:shd w:val="clear" w:color="auto" w:fill="F2F2F2"/>
            <w:tcMar>
              <w:top w:w="80" w:type="dxa"/>
              <w:left w:w="80" w:type="dxa"/>
              <w:bottom w:w="80" w:type="dxa"/>
              <w:right w:w="80" w:type="dxa"/>
            </w:tcMar>
            <w:vAlign w:val="bottom"/>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rFonts w:ascii="Calibri" w:hAnsi="Calibri" w:cs="Calibri"/>
                <w:b w:val="0"/>
                <w:color w:val="000000"/>
                <w:kern w:val="24"/>
                <w:sz w:val="18"/>
                <w:szCs w:val="18"/>
                <w:u w:color="000000"/>
                <w:bdr w:val="nil"/>
                <w:lang w:val="es-ES_tradnl" w:eastAsia="es-CL"/>
              </w:rPr>
              <w:t>7%</w:t>
            </w:r>
          </w:p>
        </w:tc>
        <w:tc>
          <w:tcPr>
            <w:tcW w:w="872" w:type="dxa"/>
            <w:tcBorders>
              <w:top w:val="nil"/>
              <w:left w:val="nil"/>
              <w:bottom w:val="nil"/>
              <w:right w:val="nil"/>
            </w:tcBorders>
            <w:shd w:val="clear" w:color="auto" w:fill="F2F2F2"/>
            <w:tcMar>
              <w:top w:w="80" w:type="dxa"/>
              <w:left w:w="80" w:type="dxa"/>
              <w:bottom w:w="80" w:type="dxa"/>
              <w:right w:w="80" w:type="dxa"/>
            </w:tcMar>
            <w:vAlign w:val="bottom"/>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rFonts w:ascii="Calibri" w:hAnsi="Calibri" w:cs="Calibri"/>
                <w:b w:val="0"/>
                <w:color w:val="000000"/>
                <w:kern w:val="24"/>
                <w:sz w:val="18"/>
                <w:szCs w:val="18"/>
                <w:u w:color="000000"/>
                <w:bdr w:val="nil"/>
                <w:lang w:val="es-ES_tradnl" w:eastAsia="es-CL"/>
              </w:rPr>
              <w:t>3%</w:t>
            </w:r>
          </w:p>
        </w:tc>
        <w:tc>
          <w:tcPr>
            <w:tcW w:w="872" w:type="dxa"/>
            <w:tcBorders>
              <w:top w:val="nil"/>
              <w:left w:val="nil"/>
              <w:bottom w:val="nil"/>
              <w:right w:val="nil"/>
            </w:tcBorders>
            <w:shd w:val="clear" w:color="auto" w:fill="F2F2F2"/>
            <w:tcMar>
              <w:top w:w="80" w:type="dxa"/>
              <w:left w:w="80" w:type="dxa"/>
              <w:bottom w:w="80" w:type="dxa"/>
              <w:right w:w="80" w:type="dxa"/>
            </w:tcMar>
            <w:vAlign w:val="bottom"/>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rFonts w:ascii="Calibri" w:hAnsi="Calibri" w:cs="Calibri"/>
                <w:b w:val="0"/>
                <w:color w:val="000000"/>
                <w:kern w:val="24"/>
                <w:sz w:val="18"/>
                <w:szCs w:val="18"/>
                <w:u w:color="000000"/>
                <w:bdr w:val="nil"/>
                <w:lang w:val="es-ES_tradnl" w:eastAsia="es-CL"/>
              </w:rPr>
              <w:t>15%</w:t>
            </w:r>
          </w:p>
        </w:tc>
        <w:tc>
          <w:tcPr>
            <w:tcW w:w="872" w:type="dxa"/>
            <w:tcBorders>
              <w:top w:val="nil"/>
              <w:left w:val="nil"/>
              <w:bottom w:val="nil"/>
              <w:right w:val="nil"/>
            </w:tcBorders>
            <w:shd w:val="clear" w:color="auto" w:fill="F2F2F2"/>
            <w:tcMar>
              <w:top w:w="80" w:type="dxa"/>
              <w:left w:w="80" w:type="dxa"/>
              <w:bottom w:w="80" w:type="dxa"/>
              <w:right w:w="80" w:type="dxa"/>
            </w:tcMar>
            <w:vAlign w:val="bottom"/>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rFonts w:ascii="Calibri" w:hAnsi="Calibri" w:cs="Calibri"/>
                <w:b w:val="0"/>
                <w:color w:val="000000"/>
                <w:kern w:val="24"/>
                <w:sz w:val="18"/>
                <w:szCs w:val="18"/>
                <w:u w:color="000000"/>
                <w:bdr w:val="nil"/>
                <w:lang w:val="es-ES_tradnl" w:eastAsia="es-CL"/>
              </w:rPr>
              <w:t>35%</w:t>
            </w:r>
          </w:p>
        </w:tc>
        <w:tc>
          <w:tcPr>
            <w:tcW w:w="1091" w:type="dxa"/>
            <w:tcBorders>
              <w:top w:val="nil"/>
              <w:left w:val="nil"/>
              <w:bottom w:val="nil"/>
              <w:right w:val="single" w:sz="4" w:space="0" w:color="000000"/>
            </w:tcBorders>
            <w:shd w:val="clear" w:color="auto" w:fill="F2F2F2"/>
            <w:tcMar>
              <w:top w:w="80" w:type="dxa"/>
              <w:left w:w="80" w:type="dxa"/>
              <w:bottom w:w="80" w:type="dxa"/>
              <w:right w:w="80" w:type="dxa"/>
            </w:tcMar>
            <w:vAlign w:val="bottom"/>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rFonts w:ascii="Calibri" w:hAnsi="Calibri" w:cs="Calibri"/>
                <w:b w:val="0"/>
                <w:color w:val="000000"/>
                <w:kern w:val="24"/>
                <w:sz w:val="18"/>
                <w:szCs w:val="18"/>
                <w:u w:color="000000"/>
                <w:bdr w:val="nil"/>
                <w:lang w:val="es-ES_tradnl" w:eastAsia="es-CL"/>
              </w:rPr>
              <w:t>40%</w:t>
            </w:r>
          </w:p>
        </w:tc>
      </w:tr>
      <w:tr>
        <w:tblPrEx>
          <w:tblCellMar>
            <w:top w:w="0" w:type="dxa"/>
            <w:left w:w="0" w:type="dxa"/>
            <w:bottom w:w="0" w:type="dxa"/>
            <w:right w:w="0" w:type="dxa"/>
          </w:tblCellMar>
        </w:tblPrEx>
        <w:trPr>
          <w:trHeight w:val="235"/>
          <w:jc w:val="center"/>
        </w:trPr>
        <w:tc>
          <w:tcPr>
            <w:tcW w:w="667" w:type="dxa"/>
            <w:vMerge/>
            <w:tcBorders>
              <w:top w:val="single" w:sz="4" w:space="0" w:color="000000"/>
              <w:left w:val="single" w:sz="4" w:space="0" w:color="000000"/>
              <w:bottom w:val="single" w:sz="4" w:space="0" w:color="000000"/>
              <w:right w:val="single" w:sz="4" w:space="0" w:color="000000"/>
            </w:tcBorders>
            <w:shd w:val="clear" w:color="auto" w:fill="auto"/>
          </w:tcPr>
          <w:p>
            <w:pPr>
              <w:pBdr>
                <w:top w:val="nil"/>
                <w:left w:val="nil"/>
                <w:bottom w:val="nil"/>
                <w:right w:val="nil"/>
                <w:between w:val="nil"/>
                <w:bar w:val="nil"/>
              </w:pBdr>
              <w:rPr>
                <w:rFonts w:eastAsia="Arial"/>
                <w:b w:val="0"/>
                <w:color w:val="000000"/>
                <w:sz w:val="18"/>
                <w:szCs w:val="18"/>
                <w:u w:color="000000"/>
                <w:bdr w:val="nil"/>
                <w:lang w:val="es-ES_tradnl" w:eastAsia="es-CL"/>
              </w:rPr>
            </w:pPr>
          </w:p>
        </w:tc>
        <w:tc>
          <w:tcPr>
            <w:tcW w:w="1271" w:type="dxa"/>
            <w:tcBorders>
              <w:top w:val="single" w:sz="4" w:space="0" w:color="FFFFFF"/>
              <w:left w:val="single" w:sz="4" w:space="0" w:color="000000"/>
              <w:bottom w:val="single" w:sz="4" w:space="0" w:color="FFFFFF"/>
              <w:right w:val="single" w:sz="12" w:space="0" w:color="FFFFFF"/>
            </w:tcBorders>
            <w:shd w:val="clear" w:color="auto" w:fill="F2F2F2"/>
            <w:tcMar>
              <w:top w:w="80" w:type="dxa"/>
              <w:left w:w="80" w:type="dxa"/>
              <w:bottom w:w="80" w:type="dxa"/>
              <w:right w:w="80" w:type="dxa"/>
            </w:tcMar>
            <w:vAlign w:val="center"/>
          </w:tcPr>
          <w:p>
            <w:pPr>
              <w:pBdr>
                <w:top w:val="nil"/>
                <w:left w:val="nil"/>
                <w:bottom w:val="nil"/>
                <w:right w:val="nil"/>
                <w:between w:val="nil"/>
                <w:bar w:val="nil"/>
              </w:pBdr>
              <w:tabs>
                <w:tab w:val="clear" w:pos="2835"/>
              </w:tabs>
              <w:jc w:val="left"/>
              <w:rPr>
                <w:rFonts w:eastAsia="Arial"/>
                <w:b w:val="0"/>
                <w:color w:val="000000"/>
                <w:sz w:val="18"/>
                <w:szCs w:val="18"/>
                <w:u w:color="000000"/>
                <w:bdr w:val="nil"/>
                <w:lang w:val="es-ES_tradnl" w:eastAsia="es-CL"/>
              </w:rPr>
            </w:pPr>
            <w:r>
              <w:rPr>
                <w:rFonts w:ascii="Calibri" w:hAnsi="Calibri" w:cs="Calibri"/>
                <w:b w:val="0"/>
                <w:color w:val="000000"/>
                <w:kern w:val="24"/>
                <w:sz w:val="18"/>
                <w:szCs w:val="18"/>
                <w:u w:color="000000"/>
                <w:bdr w:val="nil"/>
                <w:lang w:val="es-ES_tradnl" w:eastAsia="es-CL"/>
              </w:rPr>
              <w:t>Subtítulo 29</w:t>
            </w:r>
          </w:p>
        </w:tc>
        <w:tc>
          <w:tcPr>
            <w:tcW w:w="872" w:type="dxa"/>
            <w:tcBorders>
              <w:top w:val="nil"/>
              <w:left w:val="single" w:sz="12" w:space="0" w:color="FFFFFF"/>
              <w:bottom w:val="single" w:sz="4" w:space="0" w:color="FFFFFF"/>
              <w:right w:val="nil"/>
            </w:tcBorders>
            <w:shd w:val="clear" w:color="auto" w:fill="F2F2F2"/>
            <w:tcMar>
              <w:top w:w="80" w:type="dxa"/>
              <w:left w:w="80" w:type="dxa"/>
              <w:bottom w:w="80" w:type="dxa"/>
              <w:right w:w="80" w:type="dxa"/>
            </w:tcMar>
            <w:vAlign w:val="bottom"/>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rFonts w:ascii="Calibri" w:hAnsi="Calibri" w:cs="Calibri"/>
                <w:b w:val="0"/>
                <w:color w:val="000000"/>
                <w:kern w:val="24"/>
                <w:sz w:val="18"/>
                <w:szCs w:val="18"/>
                <w:u w:color="000000"/>
                <w:bdr w:val="nil"/>
                <w:lang w:val="es-ES_tradnl" w:eastAsia="es-CL"/>
              </w:rPr>
              <w:t>100%</w:t>
            </w:r>
          </w:p>
        </w:tc>
        <w:tc>
          <w:tcPr>
            <w:tcW w:w="992" w:type="dxa"/>
            <w:tcBorders>
              <w:top w:val="nil"/>
              <w:left w:val="nil"/>
              <w:bottom w:val="single" w:sz="4" w:space="0" w:color="FFFFFF"/>
              <w:right w:val="nil"/>
            </w:tcBorders>
            <w:shd w:val="clear" w:color="auto" w:fill="F2F2F2"/>
            <w:tcMar>
              <w:top w:w="80" w:type="dxa"/>
              <w:left w:w="80" w:type="dxa"/>
              <w:bottom w:w="80" w:type="dxa"/>
              <w:right w:w="80" w:type="dxa"/>
            </w:tcMar>
            <w:vAlign w:val="bottom"/>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rFonts w:ascii="Calibri" w:hAnsi="Calibri" w:cs="Calibri"/>
                <w:b w:val="0"/>
                <w:color w:val="000000"/>
                <w:kern w:val="24"/>
                <w:sz w:val="18"/>
                <w:szCs w:val="18"/>
                <w:u w:color="000000"/>
                <w:bdr w:val="nil"/>
                <w:lang w:val="es-ES_tradnl" w:eastAsia="es-CL"/>
              </w:rPr>
              <w:t>100%</w:t>
            </w:r>
          </w:p>
        </w:tc>
        <w:tc>
          <w:tcPr>
            <w:tcW w:w="995" w:type="dxa"/>
            <w:tcBorders>
              <w:top w:val="nil"/>
              <w:left w:val="nil"/>
              <w:bottom w:val="single" w:sz="4" w:space="0" w:color="FFFFFF"/>
              <w:right w:val="nil"/>
            </w:tcBorders>
            <w:shd w:val="clear" w:color="auto" w:fill="F2F2F2"/>
            <w:tcMar>
              <w:top w:w="80" w:type="dxa"/>
              <w:left w:w="80" w:type="dxa"/>
              <w:bottom w:w="80" w:type="dxa"/>
              <w:right w:w="80" w:type="dxa"/>
            </w:tcMar>
            <w:vAlign w:val="bottom"/>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rFonts w:ascii="Calibri" w:hAnsi="Calibri" w:cs="Calibri"/>
                <w:b w:val="0"/>
                <w:color w:val="000000"/>
                <w:kern w:val="24"/>
                <w:sz w:val="18"/>
                <w:szCs w:val="18"/>
                <w:u w:color="000000"/>
                <w:bdr w:val="nil"/>
                <w:lang w:val="es-ES_tradnl" w:eastAsia="es-CL"/>
              </w:rPr>
              <w:t>25%</w:t>
            </w:r>
          </w:p>
        </w:tc>
        <w:tc>
          <w:tcPr>
            <w:tcW w:w="872" w:type="dxa"/>
            <w:tcBorders>
              <w:top w:val="nil"/>
              <w:left w:val="nil"/>
              <w:bottom w:val="single" w:sz="4" w:space="0" w:color="FFFFFF"/>
              <w:right w:val="nil"/>
            </w:tcBorders>
            <w:shd w:val="clear" w:color="auto" w:fill="F2F2F2"/>
            <w:tcMar>
              <w:top w:w="80" w:type="dxa"/>
              <w:left w:w="80" w:type="dxa"/>
              <w:bottom w:w="80" w:type="dxa"/>
              <w:right w:w="80" w:type="dxa"/>
            </w:tcMar>
            <w:vAlign w:val="bottom"/>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rFonts w:ascii="Calibri" w:hAnsi="Calibri" w:cs="Calibri"/>
                <w:b w:val="0"/>
                <w:color w:val="000000"/>
                <w:kern w:val="24"/>
                <w:sz w:val="18"/>
                <w:szCs w:val="18"/>
                <w:u w:color="000000"/>
                <w:bdr w:val="nil"/>
                <w:lang w:val="es-ES_tradnl" w:eastAsia="es-CL"/>
              </w:rPr>
              <w:t>8%</w:t>
            </w:r>
          </w:p>
        </w:tc>
        <w:tc>
          <w:tcPr>
            <w:tcW w:w="872" w:type="dxa"/>
            <w:tcBorders>
              <w:top w:val="nil"/>
              <w:left w:val="nil"/>
              <w:bottom w:val="single" w:sz="4" w:space="0" w:color="FFFFFF"/>
              <w:right w:val="nil"/>
            </w:tcBorders>
            <w:shd w:val="clear" w:color="auto" w:fill="F2F2F2"/>
            <w:tcMar>
              <w:top w:w="80" w:type="dxa"/>
              <w:left w:w="80" w:type="dxa"/>
              <w:bottom w:w="80" w:type="dxa"/>
              <w:right w:w="80" w:type="dxa"/>
            </w:tcMar>
            <w:vAlign w:val="bottom"/>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rFonts w:ascii="Calibri" w:hAnsi="Calibri" w:cs="Calibri"/>
                <w:b w:val="0"/>
                <w:color w:val="000000"/>
                <w:kern w:val="24"/>
                <w:sz w:val="18"/>
                <w:szCs w:val="18"/>
                <w:u w:color="000000"/>
                <w:bdr w:val="nil"/>
                <w:lang w:val="es-ES_tradnl" w:eastAsia="es-CL"/>
              </w:rPr>
              <w:t>15%</w:t>
            </w:r>
          </w:p>
        </w:tc>
        <w:tc>
          <w:tcPr>
            <w:tcW w:w="872" w:type="dxa"/>
            <w:tcBorders>
              <w:top w:val="nil"/>
              <w:left w:val="nil"/>
              <w:bottom w:val="single" w:sz="4" w:space="0" w:color="FFFFFF"/>
              <w:right w:val="nil"/>
            </w:tcBorders>
            <w:shd w:val="clear" w:color="auto" w:fill="F2F2F2"/>
            <w:tcMar>
              <w:top w:w="80" w:type="dxa"/>
              <w:left w:w="80" w:type="dxa"/>
              <w:bottom w:w="80" w:type="dxa"/>
              <w:right w:w="80" w:type="dxa"/>
            </w:tcMar>
            <w:vAlign w:val="bottom"/>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rFonts w:ascii="Calibri" w:hAnsi="Calibri" w:cs="Calibri"/>
                <w:b w:val="0"/>
                <w:color w:val="000000"/>
                <w:kern w:val="24"/>
                <w:sz w:val="18"/>
                <w:szCs w:val="18"/>
                <w:u w:color="000000"/>
                <w:bdr w:val="nil"/>
                <w:lang w:val="es-ES_tradnl" w:eastAsia="es-CL"/>
              </w:rPr>
              <w:t>20%</w:t>
            </w:r>
          </w:p>
        </w:tc>
        <w:tc>
          <w:tcPr>
            <w:tcW w:w="1091" w:type="dxa"/>
            <w:tcBorders>
              <w:top w:val="nil"/>
              <w:left w:val="nil"/>
              <w:bottom w:val="single" w:sz="4" w:space="0" w:color="FFFFFF"/>
              <w:right w:val="single" w:sz="4" w:space="0" w:color="000000"/>
            </w:tcBorders>
            <w:shd w:val="clear" w:color="auto" w:fill="F2F2F2"/>
            <w:tcMar>
              <w:top w:w="80" w:type="dxa"/>
              <w:left w:w="80" w:type="dxa"/>
              <w:bottom w:w="80" w:type="dxa"/>
              <w:right w:w="80" w:type="dxa"/>
            </w:tcMar>
            <w:vAlign w:val="bottom"/>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rFonts w:ascii="Calibri" w:hAnsi="Calibri" w:cs="Calibri"/>
                <w:b w:val="0"/>
                <w:color w:val="000000"/>
                <w:kern w:val="24"/>
                <w:sz w:val="18"/>
                <w:szCs w:val="18"/>
                <w:u w:color="000000"/>
                <w:bdr w:val="nil"/>
                <w:lang w:val="es-ES_tradnl" w:eastAsia="es-CL"/>
              </w:rPr>
              <w:t>32%</w:t>
            </w:r>
          </w:p>
        </w:tc>
      </w:tr>
      <w:tr>
        <w:tblPrEx>
          <w:tblCellMar>
            <w:top w:w="0" w:type="dxa"/>
            <w:left w:w="0" w:type="dxa"/>
            <w:bottom w:w="0" w:type="dxa"/>
            <w:right w:w="0" w:type="dxa"/>
          </w:tblCellMar>
        </w:tblPrEx>
        <w:trPr>
          <w:trHeight w:val="450"/>
          <w:jc w:val="center"/>
        </w:trPr>
        <w:tc>
          <w:tcPr>
            <w:tcW w:w="667" w:type="dxa"/>
            <w:vMerge/>
            <w:tcBorders>
              <w:top w:val="single" w:sz="4" w:space="0" w:color="000000"/>
              <w:left w:val="single" w:sz="4" w:space="0" w:color="000000"/>
              <w:bottom w:val="single" w:sz="4" w:space="0" w:color="000000"/>
              <w:right w:val="single" w:sz="4" w:space="0" w:color="000000"/>
            </w:tcBorders>
            <w:shd w:val="clear" w:color="auto" w:fill="auto"/>
          </w:tcPr>
          <w:p>
            <w:pPr>
              <w:pBdr>
                <w:top w:val="nil"/>
                <w:left w:val="nil"/>
                <w:bottom w:val="nil"/>
                <w:right w:val="nil"/>
                <w:between w:val="nil"/>
                <w:bar w:val="nil"/>
              </w:pBdr>
              <w:rPr>
                <w:rFonts w:eastAsia="Arial"/>
                <w:b w:val="0"/>
                <w:color w:val="000000"/>
                <w:sz w:val="18"/>
                <w:szCs w:val="18"/>
                <w:u w:color="000000"/>
                <w:bdr w:val="nil"/>
                <w:lang w:val="es-ES_tradnl" w:eastAsia="es-CL"/>
              </w:rPr>
            </w:pPr>
          </w:p>
        </w:tc>
        <w:tc>
          <w:tcPr>
            <w:tcW w:w="1271" w:type="dxa"/>
            <w:tcBorders>
              <w:top w:val="single" w:sz="4" w:space="0" w:color="FFFFFF"/>
              <w:left w:val="single" w:sz="4" w:space="0" w:color="000000"/>
              <w:bottom w:val="single" w:sz="4" w:space="0" w:color="000000"/>
              <w:right w:val="single" w:sz="12" w:space="0" w:color="FFFFFF"/>
            </w:tcBorders>
            <w:shd w:val="clear" w:color="auto" w:fill="B8CCE4"/>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rFonts w:ascii="Calibri" w:hAnsi="Calibri" w:cs="Calibri"/>
                <w:bCs/>
                <w:color w:val="000000"/>
                <w:kern w:val="24"/>
                <w:sz w:val="18"/>
                <w:szCs w:val="18"/>
                <w:u w:color="000000"/>
                <w:bdr w:val="nil"/>
                <w:lang w:val="es-ES_tradnl" w:eastAsia="es-CL"/>
              </w:rPr>
              <w:t>TOTAL</w:t>
            </w:r>
          </w:p>
        </w:tc>
        <w:tc>
          <w:tcPr>
            <w:tcW w:w="872" w:type="dxa"/>
            <w:tcBorders>
              <w:top w:val="single" w:sz="4" w:space="0" w:color="FFFFFF"/>
              <w:left w:val="single" w:sz="12" w:space="0" w:color="FFFFFF"/>
              <w:bottom w:val="single" w:sz="4" w:space="0" w:color="000000"/>
              <w:right w:val="single" w:sz="12" w:space="0" w:color="FFFFFF"/>
            </w:tcBorders>
            <w:shd w:val="clear" w:color="auto" w:fill="B8CCE4"/>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rFonts w:ascii="Calibri" w:hAnsi="Calibri" w:cs="Calibri"/>
                <w:bCs/>
                <w:color w:val="000000"/>
                <w:kern w:val="24"/>
                <w:sz w:val="18"/>
                <w:szCs w:val="18"/>
                <w:u w:color="000000"/>
                <w:bdr w:val="nil"/>
                <w:lang w:val="es-ES_tradnl" w:eastAsia="es-CL"/>
              </w:rPr>
              <w:t>499.045</w:t>
            </w:r>
          </w:p>
        </w:tc>
        <w:tc>
          <w:tcPr>
            <w:tcW w:w="992" w:type="dxa"/>
            <w:tcBorders>
              <w:top w:val="single" w:sz="4" w:space="0" w:color="FFFFFF"/>
              <w:left w:val="single" w:sz="12" w:space="0" w:color="FFFFFF"/>
              <w:bottom w:val="single" w:sz="4" w:space="0" w:color="000000"/>
              <w:right w:val="single" w:sz="12" w:space="0" w:color="FFFFFF"/>
            </w:tcBorders>
            <w:shd w:val="clear" w:color="auto" w:fill="B8CCE4"/>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rFonts w:ascii="Calibri" w:hAnsi="Calibri" w:cs="Calibri"/>
                <w:bCs/>
                <w:color w:val="000000"/>
                <w:kern w:val="24"/>
                <w:sz w:val="18"/>
                <w:szCs w:val="18"/>
                <w:u w:color="000000"/>
                <w:bdr w:val="nil"/>
                <w:lang w:val="es-ES_tradnl" w:eastAsia="es-CL"/>
              </w:rPr>
              <w:t>2.829.244</w:t>
            </w:r>
          </w:p>
        </w:tc>
        <w:tc>
          <w:tcPr>
            <w:tcW w:w="995" w:type="dxa"/>
            <w:tcBorders>
              <w:top w:val="single" w:sz="4" w:space="0" w:color="FFFFFF"/>
              <w:left w:val="single" w:sz="12" w:space="0" w:color="FFFFFF"/>
              <w:bottom w:val="single" w:sz="4" w:space="0" w:color="000000"/>
              <w:right w:val="single" w:sz="12" w:space="0" w:color="FFFFFF"/>
            </w:tcBorders>
            <w:shd w:val="clear" w:color="auto" w:fill="B8CCE4"/>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rFonts w:ascii="Calibri" w:hAnsi="Calibri" w:cs="Calibri"/>
                <w:bCs/>
                <w:color w:val="000000"/>
                <w:kern w:val="24"/>
                <w:sz w:val="18"/>
                <w:szCs w:val="18"/>
                <w:u w:color="000000"/>
                <w:bdr w:val="nil"/>
                <w:lang w:val="es-ES_tradnl" w:eastAsia="es-CL"/>
              </w:rPr>
              <w:t>1.299.473</w:t>
            </w:r>
          </w:p>
        </w:tc>
        <w:tc>
          <w:tcPr>
            <w:tcW w:w="872" w:type="dxa"/>
            <w:tcBorders>
              <w:top w:val="single" w:sz="4" w:space="0" w:color="FFFFFF"/>
              <w:left w:val="single" w:sz="12" w:space="0" w:color="FFFFFF"/>
              <w:bottom w:val="single" w:sz="4" w:space="0" w:color="000000"/>
              <w:right w:val="single" w:sz="12" w:space="0" w:color="FFFFFF"/>
            </w:tcBorders>
            <w:shd w:val="clear" w:color="auto" w:fill="B8CCE4"/>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rFonts w:ascii="Calibri" w:hAnsi="Calibri" w:cs="Calibri"/>
                <w:bCs/>
                <w:color w:val="000000"/>
                <w:kern w:val="24"/>
                <w:sz w:val="18"/>
                <w:szCs w:val="18"/>
                <w:u w:color="000000"/>
                <w:bdr w:val="nil"/>
                <w:lang w:val="es-ES_tradnl" w:eastAsia="es-CL"/>
              </w:rPr>
              <w:t>401.351</w:t>
            </w:r>
          </w:p>
        </w:tc>
        <w:tc>
          <w:tcPr>
            <w:tcW w:w="872" w:type="dxa"/>
            <w:tcBorders>
              <w:top w:val="single" w:sz="4" w:space="0" w:color="FFFFFF"/>
              <w:left w:val="single" w:sz="12" w:space="0" w:color="FFFFFF"/>
              <w:bottom w:val="single" w:sz="4" w:space="0" w:color="000000"/>
              <w:right w:val="single" w:sz="12" w:space="0" w:color="FFFFFF"/>
            </w:tcBorders>
            <w:shd w:val="clear" w:color="auto" w:fill="B8CCE4"/>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rFonts w:ascii="Calibri" w:hAnsi="Calibri" w:cs="Calibri"/>
                <w:bCs/>
                <w:color w:val="000000"/>
                <w:kern w:val="24"/>
                <w:sz w:val="18"/>
                <w:szCs w:val="18"/>
                <w:u w:color="000000"/>
                <w:bdr w:val="nil"/>
                <w:lang w:val="es-ES_tradnl" w:eastAsia="es-CL"/>
              </w:rPr>
              <w:t>700.425</w:t>
            </w:r>
          </w:p>
        </w:tc>
        <w:tc>
          <w:tcPr>
            <w:tcW w:w="872" w:type="dxa"/>
            <w:tcBorders>
              <w:top w:val="single" w:sz="4" w:space="0" w:color="FFFFFF"/>
              <w:left w:val="single" w:sz="12" w:space="0" w:color="FFFFFF"/>
              <w:bottom w:val="single" w:sz="4" w:space="0" w:color="000000"/>
              <w:right w:val="single" w:sz="12" w:space="0" w:color="FFFFFF"/>
            </w:tcBorders>
            <w:shd w:val="clear" w:color="auto" w:fill="B8CCE4"/>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rFonts w:ascii="Calibri" w:hAnsi="Calibri" w:cs="Calibri"/>
                <w:bCs/>
                <w:color w:val="000000"/>
                <w:kern w:val="24"/>
                <w:sz w:val="18"/>
                <w:szCs w:val="18"/>
                <w:u w:color="000000"/>
                <w:bdr w:val="nil"/>
                <w:lang w:val="es-ES_tradnl" w:eastAsia="es-CL"/>
              </w:rPr>
              <w:t>970.202</w:t>
            </w:r>
          </w:p>
        </w:tc>
        <w:tc>
          <w:tcPr>
            <w:tcW w:w="1091" w:type="dxa"/>
            <w:tcBorders>
              <w:top w:val="single" w:sz="4" w:space="0" w:color="FFFFFF"/>
              <w:left w:val="single" w:sz="12" w:space="0" w:color="FFFFFF"/>
              <w:bottom w:val="single" w:sz="4" w:space="0" w:color="000000"/>
              <w:right w:val="single" w:sz="4" w:space="0" w:color="000000"/>
            </w:tcBorders>
            <w:shd w:val="clear" w:color="auto" w:fill="B8CCE4"/>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rFonts w:ascii="Calibri" w:hAnsi="Calibri" w:cs="Calibri"/>
                <w:bCs/>
                <w:color w:val="000000"/>
                <w:kern w:val="24"/>
                <w:sz w:val="18"/>
                <w:szCs w:val="18"/>
                <w:u w:color="000000"/>
                <w:bdr w:val="nil"/>
                <w:lang w:val="es-ES_tradnl" w:eastAsia="es-CL"/>
              </w:rPr>
              <w:t>1.530.428</w:t>
            </w:r>
          </w:p>
        </w:tc>
      </w:tr>
      <w:tr>
        <w:tblPrEx>
          <w:tblCellMar>
            <w:top w:w="0" w:type="dxa"/>
            <w:left w:w="0" w:type="dxa"/>
            <w:bottom w:w="0" w:type="dxa"/>
            <w:right w:w="0" w:type="dxa"/>
          </w:tblCellMar>
        </w:tblPrEx>
        <w:trPr>
          <w:trHeight w:val="230"/>
          <w:jc w:val="center"/>
        </w:trPr>
        <w:tc>
          <w:tcPr>
            <w:tcW w:w="667" w:type="dxa"/>
            <w:tcBorders>
              <w:top w:val="single" w:sz="4" w:space="0" w:color="000000"/>
              <w:left w:val="nil"/>
              <w:bottom w:val="single" w:sz="4" w:space="0" w:color="000000"/>
              <w:right w:val="single" w:sz="8" w:space="0" w:color="FFFFFF"/>
            </w:tcBorders>
            <w:shd w:val="clear" w:color="auto" w:fill="auto"/>
            <w:tcMar>
              <w:top w:w="80" w:type="dxa"/>
              <w:left w:w="80" w:type="dxa"/>
              <w:bottom w:w="80" w:type="dxa"/>
              <w:right w:w="80" w:type="dxa"/>
            </w:tcMar>
            <w:vAlign w:val="bottom"/>
          </w:tcPr>
          <w:p>
            <w:pPr>
              <w:pBdr>
                <w:top w:val="nil"/>
                <w:left w:val="nil"/>
                <w:bottom w:val="nil"/>
                <w:right w:val="nil"/>
                <w:between w:val="nil"/>
                <w:bar w:val="nil"/>
              </w:pBdr>
              <w:tabs>
                <w:tab w:val="clear" w:pos="2835"/>
              </w:tabs>
              <w:jc w:val="left"/>
              <w:rPr>
                <w:rFonts w:eastAsia="Arial"/>
                <w:b w:val="0"/>
                <w:color w:val="000000"/>
                <w:sz w:val="18"/>
                <w:szCs w:val="18"/>
                <w:u w:color="000000"/>
                <w:bdr w:val="nil"/>
                <w:lang w:val="es-ES_tradnl" w:eastAsia="es-CL"/>
              </w:rPr>
            </w:pPr>
            <w:r>
              <w:rPr>
                <w:rFonts w:ascii="Calibri" w:hAnsi="Calibri" w:cs="Calibri"/>
                <w:b w:val="0"/>
                <w:color w:val="000000"/>
                <w:kern w:val="24"/>
                <w:sz w:val="18"/>
                <w:szCs w:val="18"/>
                <w:u w:color="000000"/>
                <w:bdr w:val="nil"/>
                <w:lang w:val="es-ES_tradnl" w:eastAsia="es-CL"/>
              </w:rPr>
              <w:t> </w:t>
            </w:r>
          </w:p>
        </w:tc>
        <w:tc>
          <w:tcPr>
            <w:tcW w:w="1271" w:type="dxa"/>
            <w:tcBorders>
              <w:top w:val="single" w:sz="4" w:space="0" w:color="000000"/>
              <w:left w:val="single" w:sz="8" w:space="0" w:color="FFFFFF"/>
              <w:bottom w:val="single" w:sz="4" w:space="0" w:color="000000"/>
              <w:right w:val="single" w:sz="12" w:space="0" w:color="FFFFFF"/>
            </w:tcBorders>
            <w:shd w:val="clear" w:color="auto" w:fill="auto"/>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rFonts w:ascii="Calibri" w:hAnsi="Calibri" w:cs="Calibri"/>
                <w:bCs/>
                <w:color w:val="000000"/>
                <w:kern w:val="24"/>
                <w:sz w:val="18"/>
                <w:szCs w:val="18"/>
                <w:u w:color="000000"/>
                <w:bdr w:val="nil"/>
                <w:lang w:val="es-ES_tradnl" w:eastAsia="es-CL"/>
              </w:rPr>
              <w:t> </w:t>
            </w:r>
          </w:p>
        </w:tc>
        <w:tc>
          <w:tcPr>
            <w:tcW w:w="872" w:type="dxa"/>
            <w:tcBorders>
              <w:top w:val="single" w:sz="4" w:space="0" w:color="000000"/>
              <w:left w:val="single" w:sz="12" w:space="0" w:color="FFFFFF"/>
              <w:bottom w:val="single" w:sz="4" w:space="0" w:color="000000"/>
              <w:right w:val="nil"/>
            </w:tcBorders>
            <w:shd w:val="clear" w:color="auto" w:fill="auto"/>
            <w:tcMar>
              <w:top w:w="80" w:type="dxa"/>
              <w:left w:w="80" w:type="dxa"/>
              <w:bottom w:w="80" w:type="dxa"/>
              <w:right w:w="80" w:type="dxa"/>
            </w:tcMar>
            <w:vAlign w:val="bottom"/>
          </w:tcPr>
          <w:p>
            <w:pPr>
              <w:pBdr>
                <w:top w:val="nil"/>
                <w:left w:val="nil"/>
                <w:bottom w:val="nil"/>
                <w:right w:val="nil"/>
                <w:between w:val="nil"/>
                <w:bar w:val="nil"/>
              </w:pBdr>
              <w:tabs>
                <w:tab w:val="clear" w:pos="2835"/>
              </w:tabs>
              <w:jc w:val="left"/>
              <w:rPr>
                <w:rFonts w:eastAsia="Arial"/>
                <w:b w:val="0"/>
                <w:color w:val="000000"/>
                <w:sz w:val="18"/>
                <w:szCs w:val="18"/>
                <w:u w:color="000000"/>
                <w:bdr w:val="nil"/>
                <w:lang w:val="es-ES_tradnl" w:eastAsia="es-CL"/>
              </w:rPr>
            </w:pPr>
            <w:r>
              <w:rPr>
                <w:rFonts w:ascii="Calibri" w:hAnsi="Calibri" w:cs="Calibri"/>
                <w:b w:val="0"/>
                <w:color w:val="000000"/>
                <w:kern w:val="24"/>
                <w:sz w:val="18"/>
                <w:szCs w:val="18"/>
                <w:u w:color="000000"/>
                <w:bdr w:val="nil"/>
                <w:lang w:val="es-ES_tradnl" w:eastAsia="es-CL"/>
              </w:rPr>
              <w:t> </w:t>
            </w:r>
          </w:p>
        </w:tc>
        <w:tc>
          <w:tcPr>
            <w:tcW w:w="992"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rFonts w:ascii="Calibri" w:hAnsi="Calibri" w:cs="Calibri"/>
                <w:b w:val="0"/>
                <w:color w:val="000000"/>
                <w:kern w:val="24"/>
                <w:sz w:val="18"/>
                <w:szCs w:val="18"/>
                <w:u w:color="000000"/>
                <w:bdr w:val="nil"/>
                <w:lang w:val="es-ES_tradnl" w:eastAsia="es-CL"/>
              </w:rPr>
              <w:t> </w:t>
            </w:r>
          </w:p>
        </w:tc>
        <w:tc>
          <w:tcPr>
            <w:tcW w:w="995"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rFonts w:ascii="Calibri" w:hAnsi="Calibri" w:cs="Calibri"/>
                <w:b w:val="0"/>
                <w:color w:val="000000"/>
                <w:kern w:val="24"/>
                <w:sz w:val="18"/>
                <w:szCs w:val="18"/>
                <w:u w:color="000000"/>
                <w:bdr w:val="nil"/>
                <w:lang w:val="es-ES_tradnl" w:eastAsia="es-CL"/>
              </w:rPr>
              <w:t> </w:t>
            </w:r>
          </w:p>
        </w:tc>
        <w:tc>
          <w:tcPr>
            <w:tcW w:w="872"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rFonts w:ascii="Calibri" w:hAnsi="Calibri" w:cs="Calibri"/>
                <w:b w:val="0"/>
                <w:color w:val="000000"/>
                <w:kern w:val="24"/>
                <w:sz w:val="18"/>
                <w:szCs w:val="18"/>
                <w:u w:color="000000"/>
                <w:bdr w:val="nil"/>
                <w:lang w:val="es-ES_tradnl" w:eastAsia="es-CL"/>
              </w:rPr>
              <w:t> </w:t>
            </w:r>
          </w:p>
        </w:tc>
        <w:tc>
          <w:tcPr>
            <w:tcW w:w="872"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rFonts w:ascii="Calibri" w:hAnsi="Calibri" w:cs="Calibri"/>
                <w:b w:val="0"/>
                <w:color w:val="000000"/>
                <w:kern w:val="24"/>
                <w:sz w:val="18"/>
                <w:szCs w:val="18"/>
                <w:u w:color="000000"/>
                <w:bdr w:val="nil"/>
                <w:lang w:val="es-ES_tradnl" w:eastAsia="es-CL"/>
              </w:rPr>
              <w:t> </w:t>
            </w:r>
          </w:p>
        </w:tc>
        <w:tc>
          <w:tcPr>
            <w:tcW w:w="872"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rFonts w:ascii="Calibri" w:hAnsi="Calibri" w:cs="Calibri"/>
                <w:b w:val="0"/>
                <w:color w:val="000000"/>
                <w:kern w:val="24"/>
                <w:sz w:val="18"/>
                <w:szCs w:val="18"/>
                <w:u w:color="000000"/>
                <w:bdr w:val="nil"/>
                <w:lang w:val="es-ES_tradnl" w:eastAsia="es-CL"/>
              </w:rPr>
              <w:t> </w:t>
            </w:r>
          </w:p>
        </w:tc>
        <w:tc>
          <w:tcPr>
            <w:tcW w:w="109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rFonts w:ascii="Calibri" w:hAnsi="Calibri" w:cs="Calibri"/>
                <w:b w:val="0"/>
                <w:color w:val="000000"/>
                <w:kern w:val="24"/>
                <w:sz w:val="18"/>
                <w:szCs w:val="18"/>
                <w:u w:color="000000"/>
                <w:bdr w:val="nil"/>
                <w:lang w:val="es-ES_tradnl" w:eastAsia="es-CL"/>
              </w:rPr>
              <w:t> </w:t>
            </w:r>
          </w:p>
        </w:tc>
      </w:tr>
      <w:tr>
        <w:tblPrEx>
          <w:tblCellMar>
            <w:top w:w="0" w:type="dxa"/>
            <w:left w:w="0" w:type="dxa"/>
            <w:bottom w:w="0" w:type="dxa"/>
            <w:right w:w="0" w:type="dxa"/>
          </w:tblCellMar>
        </w:tblPrEx>
        <w:trPr>
          <w:trHeight w:val="235"/>
          <w:jc w:val="center"/>
        </w:trPr>
        <w:tc>
          <w:tcPr>
            <w:tcW w:w="66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rFonts w:ascii="Calibri" w:hAnsi="Calibri" w:cs="Calibri"/>
                <w:bCs/>
                <w:color w:val="1F497D"/>
                <w:kern w:val="24"/>
                <w:sz w:val="18"/>
                <w:szCs w:val="18"/>
                <w:u w:color="1F497D"/>
                <w:bdr w:val="nil"/>
                <w:lang w:val="es-ES_tradnl" w:eastAsia="es-CL"/>
              </w:rPr>
              <w:t>SIC</w:t>
            </w:r>
          </w:p>
        </w:tc>
        <w:tc>
          <w:tcPr>
            <w:tcW w:w="1271" w:type="dxa"/>
            <w:tcBorders>
              <w:top w:val="single" w:sz="4" w:space="0" w:color="000000"/>
              <w:left w:val="single" w:sz="4" w:space="0" w:color="000000"/>
              <w:bottom w:val="single" w:sz="4" w:space="0" w:color="FFFFFF"/>
              <w:right w:val="single" w:sz="12" w:space="0" w:color="FFFFFF"/>
            </w:tcBorders>
            <w:shd w:val="clear" w:color="auto" w:fill="F2F2F2"/>
            <w:tcMar>
              <w:top w:w="80" w:type="dxa"/>
              <w:left w:w="80" w:type="dxa"/>
              <w:bottom w:w="80" w:type="dxa"/>
              <w:right w:w="80" w:type="dxa"/>
            </w:tcMar>
            <w:vAlign w:val="center"/>
          </w:tcPr>
          <w:p>
            <w:pPr>
              <w:pBdr>
                <w:top w:val="nil"/>
                <w:left w:val="nil"/>
                <w:bottom w:val="nil"/>
                <w:right w:val="nil"/>
                <w:between w:val="nil"/>
                <w:bar w:val="nil"/>
              </w:pBdr>
              <w:tabs>
                <w:tab w:val="clear" w:pos="2835"/>
              </w:tabs>
              <w:jc w:val="left"/>
              <w:rPr>
                <w:rFonts w:eastAsia="Arial"/>
                <w:b w:val="0"/>
                <w:color w:val="000000"/>
                <w:sz w:val="18"/>
                <w:szCs w:val="18"/>
                <w:u w:color="000000"/>
                <w:bdr w:val="nil"/>
                <w:lang w:val="es-ES_tradnl" w:eastAsia="es-CL"/>
              </w:rPr>
            </w:pPr>
            <w:r>
              <w:rPr>
                <w:rFonts w:ascii="Calibri" w:hAnsi="Calibri" w:cs="Calibri"/>
                <w:b w:val="0"/>
                <w:color w:val="000000"/>
                <w:kern w:val="24"/>
                <w:sz w:val="18"/>
                <w:szCs w:val="18"/>
                <w:u w:color="000000"/>
                <w:bdr w:val="nil"/>
                <w:lang w:val="es-ES_tradnl" w:eastAsia="es-CL"/>
              </w:rPr>
              <w:t>Subtítulo 21</w:t>
            </w:r>
          </w:p>
        </w:tc>
        <w:tc>
          <w:tcPr>
            <w:tcW w:w="872" w:type="dxa"/>
            <w:tcBorders>
              <w:top w:val="single" w:sz="4" w:space="0" w:color="000000"/>
              <w:left w:val="single" w:sz="12" w:space="0" w:color="FFFFFF"/>
              <w:bottom w:val="nil"/>
              <w:right w:val="nil"/>
            </w:tcBorders>
            <w:shd w:val="clear" w:color="auto" w:fill="F2F2F2"/>
            <w:tcMar>
              <w:top w:w="80" w:type="dxa"/>
              <w:left w:w="80" w:type="dxa"/>
              <w:bottom w:w="80" w:type="dxa"/>
              <w:right w:w="80" w:type="dxa"/>
            </w:tcMar>
            <w:vAlign w:val="bottom"/>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rFonts w:ascii="Calibri" w:hAnsi="Calibri" w:cs="Calibri"/>
                <w:b w:val="0"/>
                <w:color w:val="000000"/>
                <w:kern w:val="24"/>
                <w:sz w:val="18"/>
                <w:szCs w:val="18"/>
                <w:u w:color="000000"/>
                <w:bdr w:val="nil"/>
                <w:lang w:val="es-ES_tradnl" w:eastAsia="es-CL"/>
              </w:rPr>
              <w:t>-</w:t>
            </w:r>
          </w:p>
        </w:tc>
        <w:tc>
          <w:tcPr>
            <w:tcW w:w="992" w:type="dxa"/>
            <w:tcBorders>
              <w:top w:val="single" w:sz="4" w:space="0" w:color="000000"/>
              <w:left w:val="nil"/>
              <w:bottom w:val="nil"/>
              <w:right w:val="nil"/>
            </w:tcBorders>
            <w:shd w:val="clear" w:color="auto" w:fill="F2F2F2"/>
            <w:tcMar>
              <w:top w:w="80" w:type="dxa"/>
              <w:left w:w="80" w:type="dxa"/>
              <w:bottom w:w="80" w:type="dxa"/>
              <w:right w:w="80" w:type="dxa"/>
            </w:tcMar>
            <w:vAlign w:val="bottom"/>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rFonts w:ascii="Calibri" w:hAnsi="Calibri" w:cs="Calibri"/>
                <w:b w:val="0"/>
                <w:color w:val="000000"/>
                <w:kern w:val="24"/>
                <w:sz w:val="18"/>
                <w:szCs w:val="18"/>
                <w:u w:color="000000"/>
                <w:bdr w:val="nil"/>
                <w:lang w:val="es-ES_tradnl" w:eastAsia="es-CL"/>
              </w:rPr>
              <w:t>-</w:t>
            </w:r>
          </w:p>
        </w:tc>
        <w:tc>
          <w:tcPr>
            <w:tcW w:w="995" w:type="dxa"/>
            <w:tcBorders>
              <w:top w:val="single" w:sz="4" w:space="0" w:color="000000"/>
              <w:left w:val="nil"/>
              <w:bottom w:val="nil"/>
              <w:right w:val="nil"/>
            </w:tcBorders>
            <w:shd w:val="clear" w:color="auto" w:fill="F2F2F2"/>
            <w:tcMar>
              <w:top w:w="80" w:type="dxa"/>
              <w:left w:w="80" w:type="dxa"/>
              <w:bottom w:w="80" w:type="dxa"/>
              <w:right w:w="80" w:type="dxa"/>
            </w:tcMar>
            <w:vAlign w:val="bottom"/>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rFonts w:ascii="Calibri" w:hAnsi="Calibri" w:cs="Calibri"/>
                <w:b w:val="0"/>
                <w:color w:val="000000"/>
                <w:kern w:val="24"/>
                <w:sz w:val="18"/>
                <w:szCs w:val="18"/>
                <w:u w:color="000000"/>
                <w:bdr w:val="nil"/>
                <w:lang w:val="es-ES_tradnl" w:eastAsia="es-CL"/>
              </w:rPr>
              <w:t>-</w:t>
            </w:r>
          </w:p>
        </w:tc>
        <w:tc>
          <w:tcPr>
            <w:tcW w:w="872" w:type="dxa"/>
            <w:tcBorders>
              <w:top w:val="single" w:sz="4" w:space="0" w:color="000000"/>
              <w:left w:val="nil"/>
              <w:bottom w:val="nil"/>
              <w:right w:val="nil"/>
            </w:tcBorders>
            <w:shd w:val="clear" w:color="auto" w:fill="F2F2F2"/>
            <w:tcMar>
              <w:top w:w="80" w:type="dxa"/>
              <w:left w:w="80" w:type="dxa"/>
              <w:bottom w:w="80" w:type="dxa"/>
              <w:right w:w="80" w:type="dxa"/>
            </w:tcMar>
            <w:vAlign w:val="bottom"/>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rFonts w:ascii="Calibri" w:hAnsi="Calibri" w:cs="Calibri"/>
                <w:b w:val="0"/>
                <w:color w:val="000000"/>
                <w:kern w:val="24"/>
                <w:sz w:val="18"/>
                <w:szCs w:val="18"/>
                <w:u w:color="000000"/>
                <w:bdr w:val="nil"/>
                <w:lang w:val="es-ES_tradnl" w:eastAsia="es-CL"/>
              </w:rPr>
              <w:t>-</w:t>
            </w:r>
          </w:p>
        </w:tc>
        <w:tc>
          <w:tcPr>
            <w:tcW w:w="872" w:type="dxa"/>
            <w:tcBorders>
              <w:top w:val="single" w:sz="4" w:space="0" w:color="000000"/>
              <w:left w:val="nil"/>
              <w:bottom w:val="nil"/>
              <w:right w:val="nil"/>
            </w:tcBorders>
            <w:shd w:val="clear" w:color="auto" w:fill="F2F2F2"/>
            <w:tcMar>
              <w:top w:w="80" w:type="dxa"/>
              <w:left w:w="80" w:type="dxa"/>
              <w:bottom w:w="80" w:type="dxa"/>
              <w:right w:w="80" w:type="dxa"/>
            </w:tcMar>
            <w:vAlign w:val="bottom"/>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rFonts w:ascii="Calibri" w:hAnsi="Calibri" w:cs="Calibri"/>
                <w:b w:val="0"/>
                <w:color w:val="000000"/>
                <w:kern w:val="24"/>
                <w:sz w:val="18"/>
                <w:szCs w:val="18"/>
                <w:u w:color="000000"/>
                <w:bdr w:val="nil"/>
                <w:lang w:val="es-ES_tradnl" w:eastAsia="es-CL"/>
              </w:rPr>
              <w:t>-</w:t>
            </w:r>
          </w:p>
        </w:tc>
        <w:tc>
          <w:tcPr>
            <w:tcW w:w="872" w:type="dxa"/>
            <w:tcBorders>
              <w:top w:val="single" w:sz="4" w:space="0" w:color="000000"/>
              <w:left w:val="nil"/>
              <w:bottom w:val="nil"/>
              <w:right w:val="nil"/>
            </w:tcBorders>
            <w:shd w:val="clear" w:color="auto" w:fill="F2F2F2"/>
            <w:tcMar>
              <w:top w:w="80" w:type="dxa"/>
              <w:left w:w="80" w:type="dxa"/>
              <w:bottom w:w="80" w:type="dxa"/>
              <w:right w:w="80" w:type="dxa"/>
            </w:tcMar>
            <w:vAlign w:val="bottom"/>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rFonts w:ascii="Calibri" w:hAnsi="Calibri" w:cs="Calibri"/>
                <w:b w:val="0"/>
                <w:color w:val="000000"/>
                <w:kern w:val="24"/>
                <w:sz w:val="18"/>
                <w:szCs w:val="18"/>
                <w:u w:color="000000"/>
                <w:bdr w:val="nil"/>
                <w:lang w:val="es-ES_tradnl" w:eastAsia="es-CL"/>
              </w:rPr>
              <w:t>-</w:t>
            </w:r>
          </w:p>
        </w:tc>
        <w:tc>
          <w:tcPr>
            <w:tcW w:w="1091" w:type="dxa"/>
            <w:tcBorders>
              <w:top w:val="single" w:sz="4" w:space="0" w:color="000000"/>
              <w:left w:val="nil"/>
              <w:bottom w:val="nil"/>
              <w:right w:val="single" w:sz="4" w:space="0" w:color="000000"/>
            </w:tcBorders>
            <w:shd w:val="clear" w:color="auto" w:fill="F2F2F2"/>
            <w:tcMar>
              <w:top w:w="80" w:type="dxa"/>
              <w:left w:w="80" w:type="dxa"/>
              <w:bottom w:w="80" w:type="dxa"/>
              <w:right w:w="80" w:type="dxa"/>
            </w:tcMar>
            <w:vAlign w:val="bottom"/>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rFonts w:ascii="Calibri" w:hAnsi="Calibri" w:cs="Calibri"/>
                <w:b w:val="0"/>
                <w:color w:val="000000"/>
                <w:kern w:val="24"/>
                <w:sz w:val="18"/>
                <w:szCs w:val="18"/>
                <w:u w:color="000000"/>
                <w:bdr w:val="nil"/>
                <w:lang w:val="es-ES_tradnl" w:eastAsia="es-CL"/>
              </w:rPr>
              <w:t>-</w:t>
            </w:r>
          </w:p>
        </w:tc>
      </w:tr>
      <w:tr>
        <w:tblPrEx>
          <w:tblCellMar>
            <w:top w:w="0" w:type="dxa"/>
            <w:left w:w="0" w:type="dxa"/>
            <w:bottom w:w="0" w:type="dxa"/>
            <w:right w:w="0" w:type="dxa"/>
          </w:tblCellMar>
        </w:tblPrEx>
        <w:trPr>
          <w:trHeight w:val="240"/>
          <w:jc w:val="center"/>
        </w:trPr>
        <w:tc>
          <w:tcPr>
            <w:tcW w:w="667" w:type="dxa"/>
            <w:vMerge/>
            <w:tcBorders>
              <w:top w:val="single" w:sz="4" w:space="0" w:color="000000"/>
              <w:left w:val="single" w:sz="4" w:space="0" w:color="000000"/>
              <w:bottom w:val="single" w:sz="4" w:space="0" w:color="000000"/>
              <w:right w:val="single" w:sz="4" w:space="0" w:color="000000"/>
            </w:tcBorders>
            <w:shd w:val="clear" w:color="auto" w:fill="auto"/>
          </w:tcPr>
          <w:p>
            <w:pPr>
              <w:pBdr>
                <w:top w:val="nil"/>
                <w:left w:val="nil"/>
                <w:bottom w:val="nil"/>
                <w:right w:val="nil"/>
                <w:between w:val="nil"/>
                <w:bar w:val="nil"/>
              </w:pBdr>
              <w:rPr>
                <w:rFonts w:eastAsia="Arial"/>
                <w:b w:val="0"/>
                <w:color w:val="000000"/>
                <w:sz w:val="18"/>
                <w:szCs w:val="18"/>
                <w:u w:color="000000"/>
                <w:bdr w:val="nil"/>
                <w:lang w:val="es-ES_tradnl" w:eastAsia="es-CL"/>
              </w:rPr>
            </w:pPr>
          </w:p>
        </w:tc>
        <w:tc>
          <w:tcPr>
            <w:tcW w:w="1271" w:type="dxa"/>
            <w:tcBorders>
              <w:top w:val="single" w:sz="4" w:space="0" w:color="FFFFFF"/>
              <w:left w:val="single" w:sz="4" w:space="0" w:color="000000"/>
              <w:bottom w:val="single" w:sz="4" w:space="0" w:color="FFFFFF"/>
              <w:right w:val="single" w:sz="12" w:space="0" w:color="FFFFFF"/>
            </w:tcBorders>
            <w:shd w:val="clear" w:color="auto" w:fill="F2F2F2"/>
            <w:tcMar>
              <w:top w:w="80" w:type="dxa"/>
              <w:left w:w="80" w:type="dxa"/>
              <w:bottom w:w="80" w:type="dxa"/>
              <w:right w:w="80" w:type="dxa"/>
            </w:tcMar>
            <w:vAlign w:val="center"/>
          </w:tcPr>
          <w:p>
            <w:pPr>
              <w:pBdr>
                <w:top w:val="nil"/>
                <w:left w:val="nil"/>
                <w:bottom w:val="nil"/>
                <w:right w:val="nil"/>
                <w:between w:val="nil"/>
                <w:bar w:val="nil"/>
              </w:pBdr>
              <w:tabs>
                <w:tab w:val="clear" w:pos="2835"/>
              </w:tabs>
              <w:jc w:val="left"/>
              <w:rPr>
                <w:rFonts w:eastAsia="Arial"/>
                <w:b w:val="0"/>
                <w:color w:val="000000"/>
                <w:sz w:val="18"/>
                <w:szCs w:val="18"/>
                <w:u w:color="000000"/>
                <w:bdr w:val="nil"/>
                <w:lang w:val="es-ES_tradnl" w:eastAsia="es-CL"/>
              </w:rPr>
            </w:pPr>
            <w:r>
              <w:rPr>
                <w:rFonts w:ascii="Calibri" w:hAnsi="Calibri" w:cs="Calibri"/>
                <w:b w:val="0"/>
                <w:color w:val="000000"/>
                <w:kern w:val="24"/>
                <w:sz w:val="18"/>
                <w:szCs w:val="18"/>
                <w:u w:color="000000"/>
                <w:bdr w:val="nil"/>
                <w:lang w:val="es-ES_tradnl" w:eastAsia="es-CL"/>
              </w:rPr>
              <w:t>Subtítulo 22</w:t>
            </w:r>
          </w:p>
        </w:tc>
        <w:tc>
          <w:tcPr>
            <w:tcW w:w="872" w:type="dxa"/>
            <w:tcBorders>
              <w:top w:val="nil"/>
              <w:left w:val="single" w:sz="12" w:space="0" w:color="FFFFFF"/>
              <w:bottom w:val="nil"/>
              <w:right w:val="nil"/>
            </w:tcBorders>
            <w:shd w:val="clear" w:color="auto" w:fill="F2F2F2"/>
            <w:tcMar>
              <w:top w:w="80" w:type="dxa"/>
              <w:left w:w="80" w:type="dxa"/>
              <w:bottom w:w="80" w:type="dxa"/>
              <w:right w:w="80" w:type="dxa"/>
            </w:tcMar>
            <w:vAlign w:val="bottom"/>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rFonts w:ascii="Calibri" w:hAnsi="Calibri" w:cs="Calibri"/>
                <w:b w:val="0"/>
                <w:color w:val="000000"/>
                <w:kern w:val="24"/>
                <w:sz w:val="18"/>
                <w:szCs w:val="18"/>
                <w:u w:color="000000"/>
                <w:bdr w:val="nil"/>
                <w:lang w:val="es-ES_tradnl" w:eastAsia="es-CL"/>
              </w:rPr>
              <w:t>-</w:t>
            </w:r>
          </w:p>
        </w:tc>
        <w:tc>
          <w:tcPr>
            <w:tcW w:w="992" w:type="dxa"/>
            <w:tcBorders>
              <w:top w:val="nil"/>
              <w:left w:val="nil"/>
              <w:bottom w:val="nil"/>
              <w:right w:val="nil"/>
            </w:tcBorders>
            <w:shd w:val="clear" w:color="auto" w:fill="F2F2F2"/>
            <w:tcMar>
              <w:top w:w="80" w:type="dxa"/>
              <w:left w:w="80" w:type="dxa"/>
              <w:bottom w:w="80" w:type="dxa"/>
              <w:right w:w="80" w:type="dxa"/>
            </w:tcMar>
            <w:vAlign w:val="bottom"/>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rFonts w:ascii="Calibri" w:hAnsi="Calibri" w:cs="Calibri"/>
                <w:b w:val="0"/>
                <w:color w:val="000000"/>
                <w:kern w:val="24"/>
                <w:sz w:val="18"/>
                <w:szCs w:val="18"/>
                <w:u w:color="000000"/>
                <w:bdr w:val="nil"/>
                <w:lang w:val="es-ES_tradnl" w:eastAsia="es-CL"/>
              </w:rPr>
              <w:t>-</w:t>
            </w:r>
          </w:p>
        </w:tc>
        <w:tc>
          <w:tcPr>
            <w:tcW w:w="995" w:type="dxa"/>
            <w:tcBorders>
              <w:top w:val="nil"/>
              <w:left w:val="nil"/>
              <w:bottom w:val="nil"/>
              <w:right w:val="nil"/>
            </w:tcBorders>
            <w:shd w:val="clear" w:color="auto" w:fill="F2F2F2"/>
            <w:tcMar>
              <w:top w:w="80" w:type="dxa"/>
              <w:left w:w="80" w:type="dxa"/>
              <w:bottom w:w="80" w:type="dxa"/>
              <w:right w:w="80" w:type="dxa"/>
            </w:tcMar>
            <w:vAlign w:val="bottom"/>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rFonts w:ascii="Calibri" w:hAnsi="Calibri" w:cs="Calibri"/>
                <w:b w:val="0"/>
                <w:color w:val="000000"/>
                <w:kern w:val="24"/>
                <w:sz w:val="18"/>
                <w:szCs w:val="18"/>
                <w:u w:color="000000"/>
                <w:bdr w:val="nil"/>
                <w:lang w:val="es-ES_tradnl" w:eastAsia="es-CL"/>
              </w:rPr>
              <w:t>-</w:t>
            </w:r>
          </w:p>
        </w:tc>
        <w:tc>
          <w:tcPr>
            <w:tcW w:w="872" w:type="dxa"/>
            <w:tcBorders>
              <w:top w:val="nil"/>
              <w:left w:val="nil"/>
              <w:bottom w:val="nil"/>
              <w:right w:val="nil"/>
            </w:tcBorders>
            <w:shd w:val="clear" w:color="auto" w:fill="F2F2F2"/>
            <w:tcMar>
              <w:top w:w="80" w:type="dxa"/>
              <w:left w:w="80" w:type="dxa"/>
              <w:bottom w:w="80" w:type="dxa"/>
              <w:right w:w="80" w:type="dxa"/>
            </w:tcMar>
            <w:vAlign w:val="bottom"/>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rFonts w:ascii="Calibri" w:hAnsi="Calibri" w:cs="Calibri"/>
                <w:b w:val="0"/>
                <w:color w:val="000000"/>
                <w:kern w:val="24"/>
                <w:sz w:val="18"/>
                <w:szCs w:val="18"/>
                <w:u w:color="000000"/>
                <w:bdr w:val="nil"/>
                <w:lang w:val="es-ES_tradnl" w:eastAsia="es-CL"/>
              </w:rPr>
              <w:t>-</w:t>
            </w:r>
          </w:p>
        </w:tc>
        <w:tc>
          <w:tcPr>
            <w:tcW w:w="872" w:type="dxa"/>
            <w:tcBorders>
              <w:top w:val="nil"/>
              <w:left w:val="nil"/>
              <w:bottom w:val="nil"/>
              <w:right w:val="nil"/>
            </w:tcBorders>
            <w:shd w:val="clear" w:color="auto" w:fill="F2F2F2"/>
            <w:tcMar>
              <w:top w:w="80" w:type="dxa"/>
              <w:left w:w="80" w:type="dxa"/>
              <w:bottom w:w="80" w:type="dxa"/>
              <w:right w:w="80" w:type="dxa"/>
            </w:tcMar>
            <w:vAlign w:val="bottom"/>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rFonts w:ascii="Calibri" w:hAnsi="Calibri" w:cs="Calibri"/>
                <w:b w:val="0"/>
                <w:color w:val="000000"/>
                <w:kern w:val="24"/>
                <w:sz w:val="18"/>
                <w:szCs w:val="18"/>
                <w:u w:color="000000"/>
                <w:bdr w:val="nil"/>
                <w:lang w:val="es-ES_tradnl" w:eastAsia="es-CL"/>
              </w:rPr>
              <w:t>-</w:t>
            </w:r>
          </w:p>
        </w:tc>
        <w:tc>
          <w:tcPr>
            <w:tcW w:w="872" w:type="dxa"/>
            <w:tcBorders>
              <w:top w:val="nil"/>
              <w:left w:val="nil"/>
              <w:bottom w:val="nil"/>
              <w:right w:val="nil"/>
            </w:tcBorders>
            <w:shd w:val="clear" w:color="auto" w:fill="F2F2F2"/>
            <w:tcMar>
              <w:top w:w="80" w:type="dxa"/>
              <w:left w:w="80" w:type="dxa"/>
              <w:bottom w:w="80" w:type="dxa"/>
              <w:right w:w="80" w:type="dxa"/>
            </w:tcMar>
            <w:vAlign w:val="bottom"/>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rFonts w:ascii="Calibri" w:hAnsi="Calibri" w:cs="Calibri"/>
                <w:b w:val="0"/>
                <w:color w:val="000000"/>
                <w:kern w:val="24"/>
                <w:sz w:val="18"/>
                <w:szCs w:val="18"/>
                <w:u w:color="000000"/>
                <w:bdr w:val="nil"/>
                <w:lang w:val="es-ES_tradnl" w:eastAsia="es-CL"/>
              </w:rPr>
              <w:t>-</w:t>
            </w:r>
          </w:p>
        </w:tc>
        <w:tc>
          <w:tcPr>
            <w:tcW w:w="1091" w:type="dxa"/>
            <w:tcBorders>
              <w:top w:val="nil"/>
              <w:left w:val="nil"/>
              <w:bottom w:val="nil"/>
              <w:right w:val="single" w:sz="4" w:space="0" w:color="000000"/>
            </w:tcBorders>
            <w:shd w:val="clear" w:color="auto" w:fill="F2F2F2"/>
            <w:tcMar>
              <w:top w:w="80" w:type="dxa"/>
              <w:left w:w="80" w:type="dxa"/>
              <w:bottom w:w="80" w:type="dxa"/>
              <w:right w:w="80" w:type="dxa"/>
            </w:tcMar>
            <w:vAlign w:val="bottom"/>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rFonts w:ascii="Calibri" w:hAnsi="Calibri" w:cs="Calibri"/>
                <w:b w:val="0"/>
                <w:color w:val="000000"/>
                <w:kern w:val="24"/>
                <w:sz w:val="18"/>
                <w:szCs w:val="18"/>
                <w:u w:color="000000"/>
                <w:bdr w:val="nil"/>
                <w:lang w:val="es-ES_tradnl" w:eastAsia="es-CL"/>
              </w:rPr>
              <w:t>-</w:t>
            </w:r>
          </w:p>
        </w:tc>
      </w:tr>
      <w:tr>
        <w:tblPrEx>
          <w:tblCellMar>
            <w:top w:w="0" w:type="dxa"/>
            <w:left w:w="0" w:type="dxa"/>
            <w:bottom w:w="0" w:type="dxa"/>
            <w:right w:w="0" w:type="dxa"/>
          </w:tblCellMar>
        </w:tblPrEx>
        <w:trPr>
          <w:trHeight w:val="235"/>
          <w:jc w:val="center"/>
        </w:trPr>
        <w:tc>
          <w:tcPr>
            <w:tcW w:w="667" w:type="dxa"/>
            <w:vMerge/>
            <w:tcBorders>
              <w:top w:val="single" w:sz="4" w:space="0" w:color="000000"/>
              <w:left w:val="single" w:sz="4" w:space="0" w:color="000000"/>
              <w:bottom w:val="single" w:sz="4" w:space="0" w:color="000000"/>
              <w:right w:val="single" w:sz="4" w:space="0" w:color="000000"/>
            </w:tcBorders>
            <w:shd w:val="clear" w:color="auto" w:fill="auto"/>
          </w:tcPr>
          <w:p>
            <w:pPr>
              <w:pBdr>
                <w:top w:val="nil"/>
                <w:left w:val="nil"/>
                <w:bottom w:val="nil"/>
                <w:right w:val="nil"/>
                <w:between w:val="nil"/>
                <w:bar w:val="nil"/>
              </w:pBdr>
              <w:rPr>
                <w:rFonts w:eastAsia="Arial"/>
                <w:b w:val="0"/>
                <w:color w:val="000000"/>
                <w:sz w:val="18"/>
                <w:szCs w:val="18"/>
                <w:u w:color="000000"/>
                <w:bdr w:val="nil"/>
                <w:lang w:val="es-ES_tradnl" w:eastAsia="es-CL"/>
              </w:rPr>
            </w:pPr>
          </w:p>
        </w:tc>
        <w:tc>
          <w:tcPr>
            <w:tcW w:w="1271" w:type="dxa"/>
            <w:tcBorders>
              <w:top w:val="single" w:sz="4" w:space="0" w:color="FFFFFF"/>
              <w:left w:val="single" w:sz="4" w:space="0" w:color="000000"/>
              <w:bottom w:val="single" w:sz="4" w:space="0" w:color="FFFFFF"/>
              <w:right w:val="single" w:sz="12" w:space="0" w:color="FFFFFF"/>
            </w:tcBorders>
            <w:shd w:val="clear" w:color="auto" w:fill="F2F2F2"/>
            <w:tcMar>
              <w:top w:w="80" w:type="dxa"/>
              <w:left w:w="80" w:type="dxa"/>
              <w:bottom w:w="80" w:type="dxa"/>
              <w:right w:w="80" w:type="dxa"/>
            </w:tcMar>
            <w:vAlign w:val="center"/>
          </w:tcPr>
          <w:p>
            <w:pPr>
              <w:pBdr>
                <w:top w:val="nil"/>
                <w:left w:val="nil"/>
                <w:bottom w:val="nil"/>
                <w:right w:val="nil"/>
                <w:between w:val="nil"/>
                <w:bar w:val="nil"/>
              </w:pBdr>
              <w:tabs>
                <w:tab w:val="clear" w:pos="2835"/>
              </w:tabs>
              <w:jc w:val="left"/>
              <w:rPr>
                <w:rFonts w:eastAsia="Arial"/>
                <w:b w:val="0"/>
                <w:color w:val="000000"/>
                <w:sz w:val="18"/>
                <w:szCs w:val="18"/>
                <w:u w:color="000000"/>
                <w:bdr w:val="nil"/>
                <w:lang w:val="es-ES_tradnl" w:eastAsia="es-CL"/>
              </w:rPr>
            </w:pPr>
            <w:r>
              <w:rPr>
                <w:rFonts w:ascii="Calibri" w:hAnsi="Calibri" w:cs="Calibri"/>
                <w:b w:val="0"/>
                <w:color w:val="000000"/>
                <w:kern w:val="24"/>
                <w:sz w:val="18"/>
                <w:szCs w:val="18"/>
                <w:u w:color="000000"/>
                <w:bdr w:val="nil"/>
                <w:lang w:val="es-ES_tradnl" w:eastAsia="es-CL"/>
              </w:rPr>
              <w:t>Subtítulo 29</w:t>
            </w:r>
          </w:p>
        </w:tc>
        <w:tc>
          <w:tcPr>
            <w:tcW w:w="872" w:type="dxa"/>
            <w:tcBorders>
              <w:top w:val="nil"/>
              <w:left w:val="single" w:sz="12" w:space="0" w:color="FFFFFF"/>
              <w:bottom w:val="single" w:sz="4" w:space="0" w:color="FFFFFF"/>
              <w:right w:val="nil"/>
            </w:tcBorders>
            <w:shd w:val="clear" w:color="auto" w:fill="F2F2F2"/>
            <w:tcMar>
              <w:top w:w="80" w:type="dxa"/>
              <w:left w:w="80" w:type="dxa"/>
              <w:bottom w:w="80" w:type="dxa"/>
              <w:right w:w="80" w:type="dxa"/>
            </w:tcMar>
            <w:vAlign w:val="bottom"/>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rFonts w:ascii="Calibri" w:hAnsi="Calibri" w:cs="Calibri"/>
                <w:b w:val="0"/>
                <w:color w:val="000000"/>
                <w:kern w:val="24"/>
                <w:sz w:val="18"/>
                <w:szCs w:val="18"/>
                <w:u w:color="000000"/>
                <w:bdr w:val="nil"/>
                <w:lang w:val="es-ES_tradnl" w:eastAsia="es-CL"/>
              </w:rPr>
              <w:t>-</w:t>
            </w:r>
          </w:p>
        </w:tc>
        <w:tc>
          <w:tcPr>
            <w:tcW w:w="992" w:type="dxa"/>
            <w:tcBorders>
              <w:top w:val="nil"/>
              <w:left w:val="nil"/>
              <w:bottom w:val="single" w:sz="4" w:space="0" w:color="FFFFFF"/>
              <w:right w:val="nil"/>
            </w:tcBorders>
            <w:shd w:val="clear" w:color="auto" w:fill="F2F2F2"/>
            <w:tcMar>
              <w:top w:w="80" w:type="dxa"/>
              <w:left w:w="80" w:type="dxa"/>
              <w:bottom w:w="80" w:type="dxa"/>
              <w:right w:w="80" w:type="dxa"/>
            </w:tcMar>
            <w:vAlign w:val="bottom"/>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rFonts w:ascii="Calibri" w:hAnsi="Calibri" w:cs="Calibri"/>
                <w:b w:val="0"/>
                <w:color w:val="000000"/>
                <w:kern w:val="24"/>
                <w:sz w:val="18"/>
                <w:szCs w:val="18"/>
                <w:u w:color="000000"/>
                <w:bdr w:val="nil"/>
                <w:lang w:val="es-ES_tradnl" w:eastAsia="es-CL"/>
              </w:rPr>
              <w:t>100%</w:t>
            </w:r>
          </w:p>
        </w:tc>
        <w:tc>
          <w:tcPr>
            <w:tcW w:w="995" w:type="dxa"/>
            <w:tcBorders>
              <w:top w:val="nil"/>
              <w:left w:val="nil"/>
              <w:bottom w:val="single" w:sz="4" w:space="0" w:color="FFFFFF"/>
              <w:right w:val="nil"/>
            </w:tcBorders>
            <w:shd w:val="clear" w:color="auto" w:fill="F2F2F2"/>
            <w:tcMar>
              <w:top w:w="80" w:type="dxa"/>
              <w:left w:w="80" w:type="dxa"/>
              <w:bottom w:w="80" w:type="dxa"/>
              <w:right w:w="80" w:type="dxa"/>
            </w:tcMar>
            <w:vAlign w:val="bottom"/>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rFonts w:ascii="Calibri" w:hAnsi="Calibri" w:cs="Calibri"/>
                <w:b w:val="0"/>
                <w:color w:val="000000"/>
                <w:kern w:val="24"/>
                <w:sz w:val="18"/>
                <w:szCs w:val="18"/>
                <w:u w:color="000000"/>
                <w:bdr w:val="nil"/>
                <w:lang w:val="es-ES_tradnl" w:eastAsia="es-CL"/>
              </w:rPr>
              <w:t>14%</w:t>
            </w:r>
          </w:p>
        </w:tc>
        <w:tc>
          <w:tcPr>
            <w:tcW w:w="872" w:type="dxa"/>
            <w:tcBorders>
              <w:top w:val="nil"/>
              <w:left w:val="nil"/>
              <w:bottom w:val="single" w:sz="4" w:space="0" w:color="FFFFFF"/>
              <w:right w:val="nil"/>
            </w:tcBorders>
            <w:shd w:val="clear" w:color="auto" w:fill="F2F2F2"/>
            <w:tcMar>
              <w:top w:w="80" w:type="dxa"/>
              <w:left w:w="80" w:type="dxa"/>
              <w:bottom w:w="80" w:type="dxa"/>
              <w:right w:w="80" w:type="dxa"/>
            </w:tcMar>
            <w:vAlign w:val="bottom"/>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rFonts w:ascii="Calibri" w:hAnsi="Calibri" w:cs="Calibri"/>
                <w:b w:val="0"/>
                <w:color w:val="000000"/>
                <w:kern w:val="24"/>
                <w:sz w:val="18"/>
                <w:szCs w:val="18"/>
                <w:u w:color="000000"/>
                <w:bdr w:val="nil"/>
                <w:lang w:val="es-ES_tradnl" w:eastAsia="es-CL"/>
              </w:rPr>
              <w:t>5%</w:t>
            </w:r>
          </w:p>
        </w:tc>
        <w:tc>
          <w:tcPr>
            <w:tcW w:w="872" w:type="dxa"/>
            <w:tcBorders>
              <w:top w:val="nil"/>
              <w:left w:val="nil"/>
              <w:bottom w:val="single" w:sz="4" w:space="0" w:color="FFFFFF"/>
              <w:right w:val="nil"/>
            </w:tcBorders>
            <w:shd w:val="clear" w:color="auto" w:fill="F2F2F2"/>
            <w:tcMar>
              <w:top w:w="80" w:type="dxa"/>
              <w:left w:w="80" w:type="dxa"/>
              <w:bottom w:w="80" w:type="dxa"/>
              <w:right w:w="80" w:type="dxa"/>
            </w:tcMar>
            <w:vAlign w:val="bottom"/>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rFonts w:ascii="Calibri" w:hAnsi="Calibri" w:cs="Calibri"/>
                <w:b w:val="0"/>
                <w:color w:val="000000"/>
                <w:kern w:val="24"/>
                <w:sz w:val="18"/>
                <w:szCs w:val="18"/>
                <w:u w:color="000000"/>
                <w:bdr w:val="nil"/>
                <w:lang w:val="es-ES_tradnl" w:eastAsia="es-CL"/>
              </w:rPr>
              <w:t>29%</w:t>
            </w:r>
          </w:p>
        </w:tc>
        <w:tc>
          <w:tcPr>
            <w:tcW w:w="872" w:type="dxa"/>
            <w:tcBorders>
              <w:top w:val="nil"/>
              <w:left w:val="nil"/>
              <w:bottom w:val="single" w:sz="4" w:space="0" w:color="FFFFFF"/>
              <w:right w:val="nil"/>
            </w:tcBorders>
            <w:shd w:val="clear" w:color="auto" w:fill="F2F2F2"/>
            <w:tcMar>
              <w:top w:w="80" w:type="dxa"/>
              <w:left w:w="80" w:type="dxa"/>
              <w:bottom w:w="80" w:type="dxa"/>
              <w:right w:w="80" w:type="dxa"/>
            </w:tcMar>
            <w:vAlign w:val="bottom"/>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rFonts w:ascii="Calibri" w:hAnsi="Calibri" w:cs="Calibri"/>
                <w:b w:val="0"/>
                <w:color w:val="000000"/>
                <w:kern w:val="24"/>
                <w:sz w:val="18"/>
                <w:szCs w:val="18"/>
                <w:u w:color="000000"/>
                <w:bdr w:val="nil"/>
                <w:lang w:val="es-ES_tradnl" w:eastAsia="es-CL"/>
              </w:rPr>
              <w:t>52%</w:t>
            </w:r>
          </w:p>
        </w:tc>
        <w:tc>
          <w:tcPr>
            <w:tcW w:w="1091" w:type="dxa"/>
            <w:tcBorders>
              <w:top w:val="nil"/>
              <w:left w:val="nil"/>
              <w:bottom w:val="single" w:sz="4" w:space="0" w:color="FFFFFF"/>
              <w:right w:val="single" w:sz="4" w:space="0" w:color="000000"/>
            </w:tcBorders>
            <w:shd w:val="clear" w:color="auto" w:fill="F2F2F2"/>
            <w:tcMar>
              <w:top w:w="80" w:type="dxa"/>
              <w:left w:w="80" w:type="dxa"/>
              <w:bottom w:w="80" w:type="dxa"/>
              <w:right w:w="80" w:type="dxa"/>
            </w:tcMar>
            <w:vAlign w:val="bottom"/>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rFonts w:ascii="Calibri" w:hAnsi="Calibri" w:cs="Calibri"/>
                <w:b w:val="0"/>
                <w:color w:val="000000"/>
                <w:kern w:val="24"/>
                <w:sz w:val="18"/>
                <w:szCs w:val="18"/>
                <w:u w:color="000000"/>
                <w:bdr w:val="nil"/>
                <w:lang w:val="es-ES_tradnl" w:eastAsia="es-CL"/>
              </w:rPr>
              <w:t>-</w:t>
            </w:r>
          </w:p>
        </w:tc>
      </w:tr>
      <w:tr>
        <w:tblPrEx>
          <w:tblCellMar>
            <w:top w:w="0" w:type="dxa"/>
            <w:left w:w="0" w:type="dxa"/>
            <w:bottom w:w="0" w:type="dxa"/>
            <w:right w:w="0" w:type="dxa"/>
          </w:tblCellMar>
        </w:tblPrEx>
        <w:trPr>
          <w:trHeight w:val="450"/>
          <w:jc w:val="center"/>
        </w:trPr>
        <w:tc>
          <w:tcPr>
            <w:tcW w:w="667" w:type="dxa"/>
            <w:vMerge/>
            <w:tcBorders>
              <w:top w:val="single" w:sz="4" w:space="0" w:color="000000"/>
              <w:left w:val="single" w:sz="4" w:space="0" w:color="000000"/>
              <w:bottom w:val="single" w:sz="4" w:space="0" w:color="000000"/>
              <w:right w:val="single" w:sz="4" w:space="0" w:color="000000"/>
            </w:tcBorders>
            <w:shd w:val="clear" w:color="auto" w:fill="auto"/>
          </w:tcPr>
          <w:p>
            <w:pPr>
              <w:pBdr>
                <w:top w:val="nil"/>
                <w:left w:val="nil"/>
                <w:bottom w:val="nil"/>
                <w:right w:val="nil"/>
                <w:between w:val="nil"/>
                <w:bar w:val="nil"/>
              </w:pBdr>
              <w:rPr>
                <w:rFonts w:eastAsia="Arial"/>
                <w:b w:val="0"/>
                <w:color w:val="000000"/>
                <w:sz w:val="18"/>
                <w:szCs w:val="18"/>
                <w:u w:color="000000"/>
                <w:bdr w:val="nil"/>
                <w:lang w:val="es-ES_tradnl" w:eastAsia="es-CL"/>
              </w:rPr>
            </w:pPr>
          </w:p>
        </w:tc>
        <w:tc>
          <w:tcPr>
            <w:tcW w:w="1271" w:type="dxa"/>
            <w:tcBorders>
              <w:top w:val="single" w:sz="4" w:space="0" w:color="FFFFFF"/>
              <w:left w:val="single" w:sz="4" w:space="0" w:color="000000"/>
              <w:bottom w:val="single" w:sz="4" w:space="0" w:color="000000"/>
              <w:right w:val="single" w:sz="12" w:space="0" w:color="FFFFFF"/>
            </w:tcBorders>
            <w:shd w:val="clear" w:color="auto" w:fill="B8CCE4"/>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rFonts w:ascii="Calibri" w:hAnsi="Calibri" w:cs="Calibri"/>
                <w:bCs/>
                <w:color w:val="000000"/>
                <w:kern w:val="24"/>
                <w:sz w:val="18"/>
                <w:szCs w:val="18"/>
                <w:u w:color="000000"/>
                <w:bdr w:val="nil"/>
                <w:lang w:val="es-ES_tradnl" w:eastAsia="es-CL"/>
              </w:rPr>
              <w:t>TOTAL</w:t>
            </w:r>
          </w:p>
        </w:tc>
        <w:tc>
          <w:tcPr>
            <w:tcW w:w="872" w:type="dxa"/>
            <w:tcBorders>
              <w:top w:val="single" w:sz="4" w:space="0" w:color="FFFFFF"/>
              <w:left w:val="single" w:sz="12" w:space="0" w:color="FFFFFF"/>
              <w:bottom w:val="single" w:sz="4" w:space="0" w:color="000000"/>
              <w:right w:val="single" w:sz="12" w:space="0" w:color="FFFFFF"/>
            </w:tcBorders>
            <w:shd w:val="clear" w:color="auto" w:fill="B8CCE4"/>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rFonts w:ascii="Calibri" w:hAnsi="Calibri" w:cs="Calibri"/>
                <w:bCs/>
                <w:color w:val="000000"/>
                <w:kern w:val="24"/>
                <w:sz w:val="18"/>
                <w:szCs w:val="18"/>
                <w:u w:color="000000"/>
                <w:bdr w:val="nil"/>
                <w:lang w:val="es-ES_tradnl" w:eastAsia="es-CL"/>
              </w:rPr>
              <w:t>-</w:t>
            </w:r>
          </w:p>
        </w:tc>
        <w:tc>
          <w:tcPr>
            <w:tcW w:w="992" w:type="dxa"/>
            <w:tcBorders>
              <w:top w:val="single" w:sz="4" w:space="0" w:color="FFFFFF"/>
              <w:left w:val="single" w:sz="12" w:space="0" w:color="FFFFFF"/>
              <w:bottom w:val="single" w:sz="4" w:space="0" w:color="000000"/>
              <w:right w:val="single" w:sz="12" w:space="0" w:color="FFFFFF"/>
            </w:tcBorders>
            <w:shd w:val="clear" w:color="auto" w:fill="B8CCE4"/>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rFonts w:ascii="Calibri" w:hAnsi="Calibri" w:cs="Calibri"/>
                <w:bCs/>
                <w:color w:val="000000"/>
                <w:kern w:val="24"/>
                <w:sz w:val="18"/>
                <w:szCs w:val="18"/>
                <w:u w:color="000000"/>
                <w:bdr w:val="nil"/>
                <w:lang w:val="es-ES_tradnl" w:eastAsia="es-CL"/>
              </w:rPr>
              <w:t>602.203</w:t>
            </w:r>
          </w:p>
        </w:tc>
        <w:tc>
          <w:tcPr>
            <w:tcW w:w="995" w:type="dxa"/>
            <w:tcBorders>
              <w:top w:val="single" w:sz="4" w:space="0" w:color="FFFFFF"/>
              <w:left w:val="single" w:sz="12" w:space="0" w:color="FFFFFF"/>
              <w:bottom w:val="single" w:sz="4" w:space="0" w:color="000000"/>
              <w:right w:val="single" w:sz="12" w:space="0" w:color="FFFFFF"/>
            </w:tcBorders>
            <w:shd w:val="clear" w:color="auto" w:fill="B8CCE4"/>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rFonts w:ascii="Calibri" w:hAnsi="Calibri" w:cs="Calibri"/>
                <w:bCs/>
                <w:color w:val="000000"/>
                <w:kern w:val="24"/>
                <w:sz w:val="18"/>
                <w:szCs w:val="18"/>
                <w:u w:color="000000"/>
                <w:bdr w:val="nil"/>
                <w:lang w:val="es-ES_tradnl" w:eastAsia="es-CL"/>
              </w:rPr>
              <w:t>99.382</w:t>
            </w:r>
          </w:p>
        </w:tc>
        <w:tc>
          <w:tcPr>
            <w:tcW w:w="872" w:type="dxa"/>
            <w:tcBorders>
              <w:top w:val="single" w:sz="4" w:space="0" w:color="FFFFFF"/>
              <w:left w:val="single" w:sz="12" w:space="0" w:color="FFFFFF"/>
              <w:bottom w:val="single" w:sz="4" w:space="0" w:color="000000"/>
              <w:right w:val="single" w:sz="12" w:space="0" w:color="FFFFFF"/>
            </w:tcBorders>
            <w:shd w:val="clear" w:color="auto" w:fill="B8CCE4"/>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rFonts w:ascii="Calibri" w:hAnsi="Calibri" w:cs="Calibri"/>
                <w:bCs/>
                <w:color w:val="000000"/>
                <w:kern w:val="24"/>
                <w:sz w:val="18"/>
                <w:szCs w:val="18"/>
                <w:u w:color="000000"/>
                <w:bdr w:val="nil"/>
                <w:lang w:val="es-ES_tradnl" w:eastAsia="es-CL"/>
              </w:rPr>
              <w:t>33.127</w:t>
            </w:r>
          </w:p>
        </w:tc>
        <w:tc>
          <w:tcPr>
            <w:tcW w:w="872" w:type="dxa"/>
            <w:tcBorders>
              <w:top w:val="single" w:sz="4" w:space="0" w:color="FFFFFF"/>
              <w:left w:val="single" w:sz="12" w:space="0" w:color="FFFFFF"/>
              <w:bottom w:val="single" w:sz="4" w:space="0" w:color="000000"/>
              <w:right w:val="single" w:sz="12" w:space="0" w:color="FFFFFF"/>
            </w:tcBorders>
            <w:shd w:val="clear" w:color="auto" w:fill="B8CCE4"/>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rFonts w:ascii="Calibri" w:hAnsi="Calibri" w:cs="Calibri"/>
                <w:bCs/>
                <w:color w:val="000000"/>
                <w:kern w:val="24"/>
                <w:sz w:val="18"/>
                <w:szCs w:val="18"/>
                <w:u w:color="000000"/>
                <w:bdr w:val="nil"/>
                <w:lang w:val="es-ES_tradnl" w:eastAsia="es-CL"/>
              </w:rPr>
              <w:t>211.873</w:t>
            </w:r>
          </w:p>
        </w:tc>
        <w:tc>
          <w:tcPr>
            <w:tcW w:w="872" w:type="dxa"/>
            <w:tcBorders>
              <w:top w:val="single" w:sz="4" w:space="0" w:color="FFFFFF"/>
              <w:left w:val="single" w:sz="12" w:space="0" w:color="FFFFFF"/>
              <w:bottom w:val="single" w:sz="4" w:space="0" w:color="000000"/>
              <w:right w:val="single" w:sz="12" w:space="0" w:color="FFFFFF"/>
            </w:tcBorders>
            <w:shd w:val="clear" w:color="auto" w:fill="B8CCE4"/>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rFonts w:ascii="Calibri" w:hAnsi="Calibri" w:cs="Calibri"/>
                <w:bCs/>
                <w:color w:val="000000"/>
                <w:kern w:val="24"/>
                <w:sz w:val="18"/>
                <w:szCs w:val="18"/>
                <w:u w:color="000000"/>
                <w:bdr w:val="nil"/>
                <w:lang w:val="es-ES_tradnl" w:eastAsia="es-CL"/>
              </w:rPr>
              <w:t>378.670</w:t>
            </w:r>
          </w:p>
        </w:tc>
        <w:tc>
          <w:tcPr>
            <w:tcW w:w="1091" w:type="dxa"/>
            <w:tcBorders>
              <w:top w:val="single" w:sz="4" w:space="0" w:color="FFFFFF"/>
              <w:left w:val="single" w:sz="12" w:space="0" w:color="FFFFFF"/>
              <w:bottom w:val="single" w:sz="4" w:space="0" w:color="000000"/>
              <w:right w:val="single" w:sz="4" w:space="0" w:color="000000"/>
            </w:tcBorders>
            <w:shd w:val="clear" w:color="auto" w:fill="B8CCE4"/>
            <w:tcMar>
              <w:top w:w="80" w:type="dxa"/>
              <w:left w:w="80" w:type="dxa"/>
              <w:bottom w:w="80" w:type="dxa"/>
              <w:right w:w="80" w:type="dxa"/>
            </w:tcMar>
            <w:vAlign w:val="center"/>
          </w:tcPr>
          <w:p>
            <w:pPr>
              <w:pBdr>
                <w:top w:val="nil"/>
                <w:left w:val="nil"/>
                <w:bottom w:val="nil"/>
                <w:right w:val="nil"/>
                <w:between w:val="nil"/>
                <w:bar w:val="nil"/>
              </w:pBdr>
              <w:tabs>
                <w:tab w:val="clear" w:pos="2835"/>
              </w:tabs>
              <w:jc w:val="center"/>
              <w:rPr>
                <w:rFonts w:eastAsia="Arial"/>
                <w:b w:val="0"/>
                <w:color w:val="000000"/>
                <w:sz w:val="18"/>
                <w:szCs w:val="18"/>
                <w:u w:color="000000"/>
                <w:bdr w:val="nil"/>
                <w:lang w:val="es-ES_tradnl" w:eastAsia="es-CL"/>
              </w:rPr>
            </w:pPr>
            <w:r>
              <w:rPr>
                <w:rFonts w:ascii="Calibri" w:hAnsi="Calibri" w:cs="Calibri"/>
                <w:bCs/>
                <w:color w:val="000000"/>
                <w:kern w:val="24"/>
                <w:sz w:val="18"/>
                <w:szCs w:val="18"/>
                <w:u w:color="000000"/>
                <w:bdr w:val="nil"/>
                <w:lang w:val="es-ES_tradnl" w:eastAsia="es-CL"/>
              </w:rPr>
              <w:t>0</w:t>
            </w:r>
          </w:p>
        </w:tc>
      </w:tr>
    </w:tbl>
    <w:p>
      <w:pPr>
        <w:widowControl w:val="0"/>
        <w:pBdr>
          <w:top w:val="nil"/>
          <w:left w:val="nil"/>
          <w:bottom w:val="nil"/>
          <w:right w:val="nil"/>
          <w:between w:val="nil"/>
          <w:bar w:val="nil"/>
        </w:pBdr>
        <w:jc w:val="cente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sz w:val="20"/>
          <w:szCs w:val="20"/>
          <w:u w:color="000000"/>
          <w:bdr w:val="nil"/>
          <w:lang w:val="es-ES_tradnl" w:eastAsia="es-CL"/>
        </w:rPr>
      </w:pPr>
    </w:p>
    <w:p>
      <w:pPr>
        <w:pBdr>
          <w:top w:val="nil"/>
          <w:left w:val="nil"/>
          <w:bottom w:val="nil"/>
          <w:right w:val="nil"/>
          <w:between w:val="nil"/>
          <w:bar w:val="nil"/>
        </w:pBdr>
        <w:rPr>
          <w:rFonts w:eastAsia="Arial"/>
          <w:bCs/>
          <w:color w:val="000000"/>
          <w:u w:color="000000"/>
          <w:bdr w:val="nil"/>
          <w:lang w:val="es-ES_tradnl" w:eastAsia="es-CL"/>
        </w:rPr>
      </w:pPr>
      <w:r>
        <w:rPr>
          <w:rFonts w:eastAsia="Arial Unicode MS" w:cs="Arial Unicode MS"/>
          <w:b w:val="0"/>
          <w:color w:val="000000"/>
          <w:u w:color="000000"/>
          <w:bdr w:val="nil"/>
          <w:lang w:val="es-ES_tradnl" w:eastAsia="es-CL"/>
        </w:rPr>
        <w:tab/>
        <w:t>En este acápite resaltó que la ejecución de los proyectos en análisis ha alcanzado el 100% en los años anteriores, parámetro que se espera mantener este año, considerándose una mayor ejecución en este último trimestre, influenciado por procesos administrativos de compra y el cumplimiento de hitos propios de los proyectos</w:t>
      </w:r>
      <w:r>
        <w:rPr>
          <w:rFonts w:eastAsia="Arial Unicode MS" w:cs="Arial Unicode MS"/>
          <w:bCs/>
          <w:color w:val="000000"/>
          <w:u w:color="000000"/>
          <w:bdr w:val="nil"/>
          <w:lang w:val="es-ES_tradnl" w:eastAsia="es-CL"/>
        </w:rPr>
        <w:t>.</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 xml:space="preserve">Por su parte, indicó que el proyecto </w:t>
      </w:r>
      <w:r>
        <w:rPr>
          <w:rFonts w:eastAsia="Arial Unicode MS" w:cs="Arial Unicode MS"/>
          <w:bCs/>
          <w:color w:val="000000"/>
          <w:u w:color="000000"/>
          <w:bdr w:val="nil"/>
          <w:lang w:val="es-ES_tradnl" w:eastAsia="es-CL"/>
        </w:rPr>
        <w:t>CORE</w:t>
      </w:r>
      <w:r>
        <w:rPr>
          <w:rFonts w:eastAsia="Arial Unicode MS" w:cs="Arial Unicode MS"/>
          <w:b w:val="0"/>
          <w:color w:val="000000"/>
          <w:u w:color="000000"/>
          <w:bdr w:val="nil"/>
          <w:lang w:val="es-ES_tradnl" w:eastAsia="es-CL"/>
        </w:rPr>
        <w:t xml:space="preserve">, en los años 2014-2016, ha considerado la renovación de equipos de climatización, equipos de servidores, de almacenamiento y de migración a Web Logic versión 11g, contemplándose, para el periodo 2017-2019, continuar con la renovación de parte importante del CORE TI del Servicio. En tanto, añadió, el </w:t>
      </w:r>
      <w:r>
        <w:rPr>
          <w:rFonts w:eastAsia="Arial Unicode MS" w:cs="Arial Unicode MS"/>
          <w:bCs/>
          <w:color w:val="000000"/>
          <w:u w:color="000000"/>
          <w:bdr w:val="nil"/>
          <w:lang w:val="es-ES_tradnl" w:eastAsia="es-CL"/>
        </w:rPr>
        <w:t>SIC</w:t>
      </w:r>
      <w:r>
        <w:rPr>
          <w:rFonts w:eastAsia="Arial Unicode MS" w:cs="Arial Unicode MS"/>
          <w:b w:val="0"/>
          <w:color w:val="000000"/>
          <w:u w:color="000000"/>
          <w:bdr w:val="nil"/>
          <w:lang w:val="es-ES_tradnl" w:eastAsia="es-CL"/>
        </w:rPr>
        <w:t>, en el período 2015-2016, ha considerado la adquisición de software especializado y el desarrollo modular del sistema, destacando los módulos de cobranza administrativa y judicial.</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Cs/>
          <w:color w:val="000000"/>
          <w:u w:color="000000"/>
          <w:bdr w:val="nil"/>
          <w:lang w:val="es-ES_tradnl" w:eastAsia="es-CL"/>
        </w:rPr>
      </w:pPr>
      <w:r>
        <w:rPr>
          <w:rFonts w:eastAsia="Arial"/>
          <w:b w:val="0"/>
          <w:color w:val="000000"/>
          <w:u w:color="000000"/>
          <w:bdr w:val="nil"/>
          <w:lang w:val="es-ES_tradnl" w:eastAsia="es-CL"/>
        </w:rPr>
        <w:tab/>
      </w:r>
      <w:r>
        <w:rPr>
          <w:rFonts w:eastAsia="Arial Unicode MS" w:cs="Arial Unicode MS"/>
          <w:bCs/>
          <w:color w:val="000000"/>
          <w:u w:color="000000"/>
          <w:bdr w:val="nil"/>
          <w:lang w:val="es-ES_tradnl" w:eastAsia="es-CL"/>
        </w:rPr>
        <w:t>Luego de la presentación antes descrita, los Honorables señores Senadores y Diputados efectuaron las siguientes preguntas y observaciones.</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Cs/>
          <w:color w:val="000000"/>
          <w:u w:color="000000"/>
          <w:bdr w:val="nil"/>
          <w:lang w:val="es-ES_tradnl" w:eastAsia="es-CL"/>
        </w:rPr>
        <w:tab/>
        <w:t>El Presidente de la Subcomisión, Honorable Diputado señor De Mussy</w:t>
      </w:r>
      <w:r>
        <w:rPr>
          <w:rFonts w:eastAsia="Arial Unicode MS" w:cs="Arial Unicode MS"/>
          <w:b w:val="0"/>
          <w:color w:val="000000"/>
          <w:u w:color="000000"/>
          <w:bdr w:val="nil"/>
          <w:lang w:val="es-ES_tradnl" w:eastAsia="es-CL"/>
        </w:rPr>
        <w:t>, señaló que en el Subtítulo 29 (Adquisición de Activos no Financieros), si bien existe una reducción presupuestaria (2,1%), aumentan los mobiliarios, máquinas y equipos informáticos, por lo que consultó las razones de ello.</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w:b w:val="0"/>
          <w:color w:val="000000"/>
          <w:u w:color="000000"/>
          <w:bdr w:val="nil"/>
          <w:lang w:val="es-ES_tradnl" w:eastAsia="es-CL"/>
        </w:rPr>
        <w:tab/>
      </w:r>
      <w:r>
        <w:rPr>
          <w:rFonts w:eastAsia="Arial Unicode MS" w:cs="Arial Unicode MS"/>
          <w:bCs/>
          <w:color w:val="000000"/>
          <w:u w:color="000000"/>
          <w:bdr w:val="nil"/>
          <w:lang w:val="es-ES_tradnl" w:eastAsia="es-CL"/>
        </w:rPr>
        <w:t>El Tesorero General de la República, señor Hernán Frigolett</w:t>
      </w:r>
      <w:r>
        <w:rPr>
          <w:rFonts w:eastAsia="Arial Unicode MS" w:cs="Arial Unicode MS"/>
          <w:b w:val="0"/>
          <w:color w:val="000000"/>
          <w:u w:color="000000"/>
          <w:bdr w:val="nil"/>
          <w:lang w:val="es-ES_tradnl" w:eastAsia="es-CL"/>
        </w:rPr>
        <w:t>, explicó que ello se debe al proceso de actualización del Data Center del Servicio, en el cual se están incorporando nuevas aplicaciones, especialmente en el ámbito de la cobranza, el cual se espera digitalizar. Para ello, agregó, es necesario contar con equipos que cuenten con mayor capacidad de procesamiento de información, de modo que los funcionarios del órgano tengan herramientas que estén en sintonía con el proceso de modernización en este contexto.</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En esa línea, señaló que el proceso de recambio de equipos se extiende desde el año en curso hasta el próximo.</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A su vez, en lo que respecta al aumento de mobiliario, expresó que ello se debe a la incorporación de nuevos funcionarios, por lo que se están efectuando las remodelaciones necesarias para dotar del espacio físico adecuado a aquéllos.</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w:b w:val="0"/>
          <w:color w:val="000000"/>
          <w:u w:color="000000"/>
          <w:bdr w:val="nil"/>
          <w:lang w:val="es-ES_tradnl" w:eastAsia="es-CL"/>
        </w:rPr>
        <w:tab/>
      </w:r>
      <w:r>
        <w:rPr>
          <w:rFonts w:eastAsia="Arial Unicode MS" w:cs="Arial Unicode MS"/>
          <w:bCs/>
          <w:color w:val="000000"/>
          <w:u w:color="000000"/>
          <w:bdr w:val="nil"/>
          <w:lang w:val="es-ES_tradnl" w:eastAsia="es-CL"/>
        </w:rPr>
        <w:t>El Honorable Senador señor Tuma</w:t>
      </w:r>
      <w:r>
        <w:rPr>
          <w:rFonts w:eastAsia="Arial Unicode MS" w:cs="Arial Unicode MS"/>
          <w:b w:val="0"/>
          <w:color w:val="000000"/>
          <w:u w:color="000000"/>
          <w:bdr w:val="nil"/>
          <w:lang w:val="es-ES_tradnl" w:eastAsia="es-CL"/>
        </w:rPr>
        <w:t>, consultó si el Servicio tiene sistematizado el estado de las cobranzas judiciales en cada una de las etapas del procedimiento, preguntando, asimismo, si existen espacios de discrecionalidad en este contexto de parte de Tesorería.</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w:b w:val="0"/>
          <w:color w:val="000000"/>
          <w:u w:color="000000"/>
          <w:bdr w:val="nil"/>
          <w:lang w:val="es-ES_tradnl" w:eastAsia="es-CL"/>
        </w:rPr>
        <w:tab/>
      </w:r>
      <w:r>
        <w:rPr>
          <w:rFonts w:eastAsia="Arial Unicode MS" w:cs="Arial Unicode MS"/>
          <w:bCs/>
          <w:color w:val="000000"/>
          <w:u w:color="000000"/>
          <w:bdr w:val="nil"/>
          <w:lang w:val="es-ES_tradnl" w:eastAsia="es-CL"/>
        </w:rPr>
        <w:t>El Tesorero General de la República, señor Hernán Frigolett</w:t>
      </w:r>
      <w:r>
        <w:rPr>
          <w:rFonts w:eastAsia="Arial Unicode MS" w:cs="Arial Unicode MS"/>
          <w:b w:val="0"/>
          <w:color w:val="000000"/>
          <w:u w:color="000000"/>
          <w:bdr w:val="nil"/>
          <w:lang w:val="es-ES_tradnl" w:eastAsia="es-CL"/>
        </w:rPr>
        <w:t>, indicó que no existen ámbitos de discrecionalidad para los contribuyentes.</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Sin perjuicio de lo anterior, indicó que por razones excepcionales, generalmente en casos de catástrofes, por decisión del Ministerio de Hacienda, se establece un régimen suspensivo de las cobranzas dirigidas en contra de los contribuyentes afectados, plazo que se extiende por aproximadamente un año.</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En seguida, señaló que el proceso de digitalización que está llevando a cabo el Servicio que dirige, ha permitido que el ciclo de cobro, el que actualmente se sitúa en un promedio de cuatro años y que se espera que para el año 2017 llegue a los tres años, contemplándose en este período las respectivas ejecuciones de garantías y activos financieros.</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w:b w:val="0"/>
          <w:color w:val="000000"/>
          <w:u w:color="000000"/>
          <w:bdr w:val="nil"/>
          <w:lang w:val="es-ES_tradnl" w:eastAsia="es-CL"/>
        </w:rPr>
        <w:tab/>
      </w:r>
      <w:r>
        <w:rPr>
          <w:rFonts w:eastAsia="Arial Unicode MS" w:cs="Arial Unicode MS"/>
          <w:bCs/>
          <w:color w:val="000000"/>
          <w:u w:color="000000"/>
          <w:bdr w:val="nil"/>
          <w:lang w:val="es-ES_tradnl" w:eastAsia="es-CL"/>
        </w:rPr>
        <w:t>El Honorable Senador señor Tuma</w:t>
      </w:r>
      <w:r>
        <w:rPr>
          <w:rFonts w:eastAsia="Arial Unicode MS" w:cs="Arial Unicode MS"/>
          <w:b w:val="0"/>
          <w:color w:val="000000"/>
          <w:u w:color="000000"/>
          <w:bdr w:val="nil"/>
          <w:lang w:val="es-ES_tradnl" w:eastAsia="es-CL"/>
        </w:rPr>
        <w:t>, consultó si pueden existir contribuyentes que tengan vigentes procesos de más de diez años, sin haber existido ejecución en dicho período.</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w:b w:val="0"/>
          <w:color w:val="000000"/>
          <w:u w:color="000000"/>
          <w:bdr w:val="nil"/>
          <w:lang w:val="es-ES_tradnl" w:eastAsia="es-CL"/>
        </w:rPr>
        <w:tab/>
      </w:r>
      <w:r>
        <w:rPr>
          <w:rFonts w:eastAsia="Arial Unicode MS" w:cs="Arial Unicode MS"/>
          <w:bCs/>
          <w:color w:val="000000"/>
          <w:u w:color="000000"/>
          <w:bdr w:val="nil"/>
          <w:lang w:val="es-ES_tradnl" w:eastAsia="es-CL"/>
        </w:rPr>
        <w:t>El Tesorero General de la República, señor Hernán Frigolett</w:t>
      </w:r>
      <w:r>
        <w:rPr>
          <w:rFonts w:eastAsia="Arial Unicode MS" w:cs="Arial Unicode MS"/>
          <w:b w:val="0"/>
          <w:color w:val="000000"/>
          <w:u w:color="000000"/>
          <w:bdr w:val="nil"/>
          <w:lang w:val="es-ES_tradnl" w:eastAsia="es-CL"/>
        </w:rPr>
        <w:t>, indicó que pueden existir casos de contribuyentes a los cuales si bien se les ejecutaron las respectivas garantías ellas no fueron suficientes para saldar la deuda, por lo que el proceso continúa pendiente.</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w:b w:val="0"/>
          <w:color w:val="000000"/>
          <w:u w:color="000000"/>
          <w:bdr w:val="nil"/>
          <w:lang w:val="es-ES_tradnl" w:eastAsia="es-CL"/>
        </w:rPr>
        <w:tab/>
      </w:r>
      <w:r>
        <w:rPr>
          <w:rFonts w:eastAsia="Arial Unicode MS" w:cs="Arial Unicode MS"/>
          <w:bCs/>
          <w:color w:val="000000"/>
          <w:u w:color="000000"/>
          <w:bdr w:val="nil"/>
          <w:lang w:val="es-ES_tradnl" w:eastAsia="es-CL"/>
        </w:rPr>
        <w:t>El Honorable Senador señor Tuma</w:t>
      </w:r>
      <w:r>
        <w:rPr>
          <w:rFonts w:eastAsia="Arial Unicode MS" w:cs="Arial Unicode MS"/>
          <w:b w:val="0"/>
          <w:color w:val="000000"/>
          <w:u w:color="000000"/>
          <w:bdr w:val="nil"/>
          <w:lang w:val="es-ES_tradnl" w:eastAsia="es-CL"/>
        </w:rPr>
        <w:t>, preguntó por la posibilidad de que existan contribuyentes registrados como morosos pero respecto de los cuales no haya sido notificada una demanda ejecutiva por parte del Servicio de Tesorerías.</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w:b w:val="0"/>
          <w:color w:val="000000"/>
          <w:u w:color="000000"/>
          <w:bdr w:val="nil"/>
          <w:lang w:val="es-ES_tradnl" w:eastAsia="es-CL"/>
        </w:rPr>
        <w:tab/>
      </w:r>
      <w:r>
        <w:rPr>
          <w:rFonts w:eastAsia="Arial Unicode MS" w:cs="Arial Unicode MS"/>
          <w:bCs/>
          <w:color w:val="000000"/>
          <w:u w:color="000000"/>
          <w:bdr w:val="nil"/>
          <w:lang w:val="es-ES_tradnl" w:eastAsia="es-CL"/>
        </w:rPr>
        <w:t>El Tesorero General de la República, señor Hernán Frigolett</w:t>
      </w:r>
      <w:r>
        <w:rPr>
          <w:rFonts w:eastAsia="Arial Unicode MS" w:cs="Arial Unicode MS"/>
          <w:b w:val="0"/>
          <w:color w:val="000000"/>
          <w:u w:color="000000"/>
          <w:bdr w:val="nil"/>
          <w:lang w:val="es-ES_tradnl" w:eastAsia="es-CL"/>
        </w:rPr>
        <w:t>, señaló que ello es altamente improbable, en tanto una vez notificada la respectiva demanda ejecutiva el plazo de prescripción queda inmediatamente interrumpido, por lo que el Servicio que encabeza siempre tiene dicha situación presente.</w:t>
      </w:r>
    </w:p>
    <w:p>
      <w:pPr>
        <w:rPr>
          <w:rFonts w:eastAsia="Times New Roman"/>
          <w:b w:val="0"/>
          <w:lang w:val="es-ES_tradnl" w:eastAsia="es-ES"/>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color w:val="000000"/>
          <w:u w:color="000000"/>
          <w:bdr w:val="nil"/>
          <w:lang w:val="es-ES_tradnl" w:eastAsia="es-CL"/>
        </w:rPr>
        <w:tab/>
        <w:t>El Honorable Senador señor Tuma</w:t>
      </w:r>
      <w:r>
        <w:rPr>
          <w:rFonts w:eastAsia="Arial Unicode MS" w:cs="Arial Unicode MS"/>
          <w:b w:val="0"/>
          <w:color w:val="000000"/>
          <w:u w:color="000000"/>
          <w:bdr w:val="nil"/>
          <w:lang w:val="es-ES_tradnl" w:eastAsia="es-CL"/>
        </w:rPr>
        <w:t>, preguntó por casos en donde la prescripción extintiva efectivamente haya operado.</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w:b w:val="0"/>
          <w:color w:val="000000"/>
          <w:u w:color="000000"/>
          <w:bdr w:val="nil"/>
          <w:lang w:val="es-ES_tradnl" w:eastAsia="es-CL"/>
        </w:rPr>
        <w:tab/>
      </w:r>
      <w:r>
        <w:rPr>
          <w:rFonts w:eastAsia="Arial Unicode MS" w:cs="Arial Unicode MS"/>
          <w:bCs/>
          <w:color w:val="000000"/>
          <w:u w:color="000000"/>
          <w:bdr w:val="nil"/>
          <w:lang w:val="es-ES_tradnl" w:eastAsia="es-CL"/>
        </w:rPr>
        <w:t>El Tesorero General de la República, señor Hernán Frigolett</w:t>
      </w:r>
      <w:r>
        <w:rPr>
          <w:rFonts w:eastAsia="Arial Unicode MS" w:cs="Arial Unicode MS"/>
          <w:b w:val="0"/>
          <w:color w:val="000000"/>
          <w:u w:color="000000"/>
          <w:bdr w:val="nil"/>
          <w:lang w:val="es-ES_tradnl" w:eastAsia="es-CL"/>
        </w:rPr>
        <w:t>, indicó que en los últimos tres años no se han registrado situaciones de esa naturaleza.</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En efecto, explicó que muchas veces los contribuyentes alegan la prescripción extintiva de la obligación tributaria, pero no advierten que el plazo de cómputo de esta última es siempre interrumpido por la notificación de la demanda, por lo que tales pretensiones son desechadas por los órganos jurisdiccionales respectivos.</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w:b w:val="0"/>
          <w:color w:val="000000"/>
          <w:u w:color="000000"/>
          <w:bdr w:val="nil"/>
          <w:lang w:val="es-ES_tradnl" w:eastAsia="es-CL"/>
        </w:rPr>
        <w:tab/>
      </w:r>
      <w:r>
        <w:rPr>
          <w:rFonts w:eastAsia="Arial Unicode MS" w:cs="Arial Unicode MS"/>
          <w:bCs/>
          <w:color w:val="000000"/>
          <w:u w:color="000000"/>
          <w:bdr w:val="nil"/>
          <w:lang w:val="es-ES_tradnl" w:eastAsia="es-CL"/>
        </w:rPr>
        <w:t>El Presidente de la Subcomisión, Honorable Diputado señor De Mussy</w:t>
      </w:r>
      <w:r>
        <w:rPr>
          <w:rFonts w:eastAsia="Arial Unicode MS" w:cs="Arial Unicode MS"/>
          <w:b w:val="0"/>
          <w:color w:val="000000"/>
          <w:u w:color="000000"/>
          <w:bdr w:val="nil"/>
          <w:lang w:val="es-ES_tradnl" w:eastAsia="es-CL"/>
        </w:rPr>
        <w:t>, indicó que el Servicio tiene proyectado un aumento considerable en los ingresos, lo que básicamente responde a la recuperación de licencias médicas, señalando que sería interesante observar posteriormente la forma en que Tesorería llevará a cabo dicho proceso.</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r>
      <w:r>
        <w:rPr>
          <w:rFonts w:eastAsia="Arial Unicode MS" w:cs="Arial Unicode MS"/>
          <w:b w:val="0"/>
          <w:color w:val="000000"/>
          <w:u w:color="000000"/>
          <w:bdr w:val="nil"/>
          <w:lang w:val="es-ES_tradnl" w:eastAsia="es-CL"/>
        </w:rPr>
        <w:tab/>
        <w:t>Por último, solicitó la remisión de un informe en donde se describan los costos que tiene para el Servicio de Tesorerías el proceso de judicialización de los cobros que efectúa.</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w:b w:val="0"/>
          <w:color w:val="000000"/>
          <w:u w:color="000000"/>
          <w:bdr w:val="nil"/>
          <w:lang w:val="es-ES_tradnl" w:eastAsia="es-CL"/>
        </w:rPr>
        <w:tab/>
      </w:r>
      <w:r>
        <w:rPr>
          <w:rFonts w:eastAsia="Arial Unicode MS" w:cs="Arial Unicode MS"/>
          <w:bCs/>
          <w:color w:val="000000"/>
          <w:u w:color="000000"/>
          <w:bdr w:val="nil"/>
          <w:lang w:val="es-ES_tradnl" w:eastAsia="es-CL"/>
        </w:rPr>
        <w:t>El Tesorero General de la República, señor Hernán Frigolett</w:t>
      </w:r>
      <w:r>
        <w:rPr>
          <w:rFonts w:eastAsia="Arial Unicode MS" w:cs="Arial Unicode MS"/>
          <w:b w:val="0"/>
          <w:color w:val="000000"/>
          <w:u w:color="000000"/>
          <w:bdr w:val="nil"/>
          <w:lang w:val="es-ES_tradnl" w:eastAsia="es-CL"/>
        </w:rPr>
        <w:t>, señaló que sin perjuicio del envío del documento respectivo, se debe tener en consideración que la mitad de la dotación del órgano que encabeza está destinada a la cobranza judicial, por lo que la mitad del presupuesto corriente (Subtítulos 21 y 22) se relaciona con este ámbito, la misma proporción, agregó, que fue observada en el despliegue del Data Center que pretende la digitalización de tales procesos ejecutivos.</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Asimismo, indicó que otros gastos en este ámbito son los generados por productos del avisaje de los remates de las garantías, en los cuales el Servicio se adosa al sistema llevado por el Poder Judicial.</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w:b w:val="0"/>
          <w:color w:val="000000"/>
          <w:u w:color="000000"/>
          <w:bdr w:val="nil"/>
          <w:lang w:val="es-ES_tradnl" w:eastAsia="es-CL"/>
        </w:rPr>
        <w:tab/>
      </w:r>
      <w:r>
        <w:rPr>
          <w:rFonts w:eastAsia="Arial Unicode MS" w:cs="Arial Unicode MS"/>
          <w:bCs/>
          <w:color w:val="000000"/>
          <w:u w:color="000000"/>
          <w:bdr w:val="nil"/>
          <w:lang w:val="es-ES_tradnl" w:eastAsia="es-CL"/>
        </w:rPr>
        <w:t>El Honorable Senador señor Coloma</w:t>
      </w:r>
      <w:r>
        <w:rPr>
          <w:rFonts w:eastAsia="Arial Unicode MS" w:cs="Arial Unicode MS"/>
          <w:b w:val="0"/>
          <w:color w:val="000000"/>
          <w:u w:color="000000"/>
          <w:bdr w:val="nil"/>
          <w:lang w:val="es-ES_tradnl" w:eastAsia="es-CL"/>
        </w:rPr>
        <w:t>, señaló que la prescripción es una institución destinada a otorgar seguridad jurídica, por consiguiente, consultó al señor Frigolett, si, en su opinión, es razonable mantener vigentes, por el sólo hecho de que la demanda ejecutiva fue notificada, juicios que se extiendan por grandes lapsos, sin existir un cierre definitivo de los mismos.</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w:b w:val="0"/>
          <w:color w:val="000000"/>
          <w:u w:color="000000"/>
          <w:bdr w:val="nil"/>
          <w:lang w:val="es-ES_tradnl" w:eastAsia="es-CL"/>
        </w:rPr>
        <w:tab/>
      </w:r>
      <w:r>
        <w:rPr>
          <w:rFonts w:eastAsia="Arial Unicode MS" w:cs="Arial Unicode MS"/>
          <w:bCs/>
          <w:color w:val="000000"/>
          <w:u w:color="000000"/>
          <w:bdr w:val="nil"/>
          <w:lang w:val="es-ES_tradnl" w:eastAsia="es-CL"/>
        </w:rPr>
        <w:t>El Tesorero General de la República, señor Hernán Frigolett</w:t>
      </w:r>
      <w:r>
        <w:rPr>
          <w:rFonts w:eastAsia="Arial Unicode MS" w:cs="Arial Unicode MS"/>
          <w:b w:val="0"/>
          <w:color w:val="000000"/>
          <w:u w:color="000000"/>
          <w:bdr w:val="nil"/>
          <w:lang w:val="es-ES_tradnl" w:eastAsia="es-CL"/>
        </w:rPr>
        <w:t>, señaló que el rol del Servicio es, precisamente, efectuar el cobro de las obligaciones fiscales adeudadas, de ahí el inicio de los respectivos procesos ejecutivos a través de la notificación de las demandas ejecutivas pertinentes.</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Sin perjuicio de lo anterior, indicó que la figura que procede en los casos de juicios latamente extendidos no es la prescripción, sino que la declaración de incobrabilidad del crédito, lo cual es un procedimiento administrativo complejo que se efectúa ante la constatación de que no hay modo de cobrarle al contribuyente el monto adeudado.</w:t>
      </w:r>
    </w:p>
    <w:p>
      <w:pPr>
        <w:pBdr>
          <w:top w:val="nil"/>
          <w:left w:val="nil"/>
          <w:bottom w:val="nil"/>
          <w:right w:val="nil"/>
          <w:between w:val="nil"/>
          <w:bar w:val="nil"/>
        </w:pBdr>
        <w:rPr>
          <w:rFonts w:eastAsia="Arial"/>
          <w:b w:val="0"/>
          <w:color w:val="000000"/>
          <w:u w:color="000000"/>
          <w:bdr w:val="nil"/>
          <w:lang w:val="es-ES_tradnl" w:eastAsia="es-CL"/>
        </w:rPr>
      </w:pPr>
    </w:p>
    <w:p>
      <w:pPr>
        <w:pBdr>
          <w:top w:val="nil"/>
          <w:left w:val="nil"/>
          <w:bottom w:val="nil"/>
          <w:right w:val="nil"/>
          <w:between w:val="nil"/>
          <w:bar w:val="nil"/>
        </w:pBdr>
        <w:rPr>
          <w:rFonts w:eastAsia="Arial"/>
          <w:b w:val="0"/>
          <w:color w:val="000000"/>
          <w:u w:color="000000"/>
          <w:bdr w:val="nil"/>
          <w:lang w:val="es-ES_tradnl" w:eastAsia="es-CL"/>
        </w:rPr>
      </w:pPr>
      <w:r>
        <w:rPr>
          <w:rFonts w:eastAsia="Arial Unicode MS" w:cs="Arial Unicode MS"/>
          <w:b w:val="0"/>
          <w:color w:val="000000"/>
          <w:u w:color="000000"/>
          <w:bdr w:val="nil"/>
          <w:lang w:val="es-ES_tradnl" w:eastAsia="es-CL"/>
        </w:rPr>
        <w:tab/>
        <w:t>En este ámbito, destacó que existe una iniciativa legal, denominada “proyecto de productividad 2”, en el cual se incorporan nuevas causales de incobrabilidad, que le permitan al Servicio descargar de sus Carteras de cobranza aquellos procesos que presenten tales características, lo que permitirá, por una parte, dejar de utilizar recursos públicos en procesos que no prosperarán, y por otra, aliviar al contribuyente de sus deudas en este ámbito, posibilitando su reemprendimiento.</w:t>
      </w:r>
    </w:p>
    <w:p>
      <w:pPr>
        <w:rPr>
          <w:rFonts w:eastAsia="Times New Roman"/>
          <w:b w:val="0"/>
          <w:lang w:val="es-ES_tradnl" w:eastAsia="es-ES"/>
        </w:rPr>
      </w:pPr>
    </w:p>
    <w:p>
      <w:pPr>
        <w:rPr>
          <w:lang w:val="es-ES_tradnl"/>
        </w:rPr>
      </w:pPr>
      <w:r>
        <w:rPr>
          <w:b w:val="0"/>
        </w:rPr>
        <w:tab/>
      </w:r>
      <w:r>
        <w:rPr>
          <w:lang w:val="es-ES_tradnl"/>
        </w:rPr>
        <w:t>Sometido a votación el Capítulo 05, Programa 01, fue aprobado sin enmiendas por la unanimidad de los miembros presentes de la Subcomisión, Honorable Diputado señor De Mussy (Presidente), Honorables Senadores señores Coloma y Tuma, y Honorables Diputados señores Schilling y Silva.</w:t>
      </w:r>
    </w:p>
    <w:p>
      <w:pPr>
        <w:rPr>
          <w:b w:val="0"/>
          <w:lang w:val="es-ES_tradnl"/>
        </w:rPr>
      </w:pPr>
    </w:p>
    <w:p>
      <w:pPr>
        <w:rPr>
          <w:b w:val="0"/>
        </w:rPr>
      </w:pPr>
    </w:p>
    <w:p>
      <w:pPr>
        <w:keepNext/>
        <w:jc w:val="center"/>
        <w:outlineLvl w:val="1"/>
        <w:rPr>
          <w:rFonts w:eastAsia="Times New Roman"/>
          <w:lang w:eastAsia="es-ES"/>
        </w:rPr>
      </w:pPr>
      <w:r>
        <w:rPr>
          <w:rFonts w:eastAsia="Times New Roman"/>
          <w:lang w:eastAsia="es-ES"/>
        </w:rPr>
        <w:t>CAPITULO 07</w:t>
      </w:r>
    </w:p>
    <w:p>
      <w:pPr>
        <w:jc w:val="center"/>
        <w:rPr>
          <w:rFonts w:eastAsia="Times New Roman"/>
          <w:lang w:eastAsia="es-ES"/>
        </w:rPr>
      </w:pPr>
    </w:p>
    <w:p>
      <w:pPr>
        <w:jc w:val="center"/>
        <w:rPr>
          <w:rFonts w:eastAsia="Times New Roman"/>
          <w:lang w:eastAsia="es-ES"/>
        </w:rPr>
      </w:pPr>
      <w:r>
        <w:rPr>
          <w:rFonts w:eastAsia="Times New Roman"/>
          <w:lang w:eastAsia="es-ES"/>
        </w:rPr>
        <w:t>Programa 01</w:t>
      </w:r>
    </w:p>
    <w:p>
      <w:pPr>
        <w:keepNext/>
        <w:jc w:val="center"/>
        <w:outlineLvl w:val="1"/>
        <w:rPr>
          <w:rFonts w:eastAsia="Times New Roman"/>
          <w:lang w:eastAsia="es-ES"/>
        </w:rPr>
      </w:pPr>
      <w:r>
        <w:rPr>
          <w:rFonts w:eastAsia="Times New Roman"/>
          <w:lang w:eastAsia="es-ES"/>
        </w:rPr>
        <w:t>Dirección de Compras y Contratación Pública</w:t>
      </w:r>
    </w:p>
    <w:p>
      <w:pPr>
        <w:jc w:val="center"/>
      </w:pPr>
      <w:r>
        <w:t>(Chilecompra)</w:t>
      </w:r>
    </w:p>
    <w:p>
      <w:pPr>
        <w:keepNext/>
        <w:outlineLvl w:val="0"/>
        <w:rPr>
          <w:rFonts w:eastAsia="Times New Roman"/>
          <w:b w:val="0"/>
          <w:lang w:eastAsia="es-ES"/>
        </w:rPr>
      </w:pPr>
    </w:p>
    <w:p>
      <w:pPr>
        <w:keepNext/>
        <w:outlineLvl w:val="0"/>
        <w:rPr>
          <w:rFonts w:eastAsia="Times New Roman"/>
          <w:bCs/>
          <w:kern w:val="32"/>
          <w:lang w:eastAsia="es-ES"/>
        </w:rPr>
      </w:pPr>
      <w:r>
        <w:rPr>
          <w:rFonts w:eastAsia="Times New Roman"/>
          <w:bCs/>
          <w:kern w:val="32"/>
          <w:lang w:eastAsia="es-ES"/>
        </w:rPr>
        <w:tab/>
      </w:r>
      <w:r>
        <w:rPr>
          <w:rFonts w:eastAsia="Times New Roman"/>
          <w:b w:val="0"/>
          <w:bCs/>
          <w:kern w:val="32"/>
          <w:lang w:eastAsia="es-ES"/>
        </w:rPr>
        <w:t xml:space="preserve">Considera ingresos y gastos por </w:t>
      </w:r>
      <w:r>
        <w:rPr>
          <w:rFonts w:eastAsia="Times New Roman"/>
          <w:bCs/>
          <w:kern w:val="32"/>
          <w:lang w:eastAsia="es-ES"/>
        </w:rPr>
        <w:t>$ 9.725.740 miles.</w:t>
      </w:r>
    </w:p>
    <w:p>
      <w:pPr>
        <w:rPr>
          <w:rFonts w:eastAsia="Times New Roman"/>
          <w:b w:val="0"/>
          <w:lang w:eastAsia="es-ES"/>
        </w:rPr>
      </w:pPr>
    </w:p>
    <w:p>
      <w:pPr>
        <w:rPr>
          <w:rFonts w:eastAsia="Times New Roman"/>
          <w:b w:val="0"/>
          <w:lang w:eastAsia="es-ES"/>
        </w:rPr>
      </w:pPr>
      <w:r>
        <w:rPr>
          <w:rFonts w:eastAsia="Times New Roman"/>
          <w:b w:val="0"/>
          <w:lang w:eastAsia="es-ES"/>
        </w:rPr>
        <w:tab/>
        <w:t xml:space="preserve">El presupuesto para el presente año alcanza un total de $ 9.634.704 miles registrando un aumento de un 0,9%. </w:t>
      </w:r>
    </w:p>
    <w:p>
      <w:pPr>
        <w:rPr>
          <w:rFonts w:eastAsia="Times New Roman"/>
          <w:b w:val="0"/>
          <w:lang w:eastAsia="es-ES"/>
        </w:rPr>
      </w:pPr>
    </w:p>
    <w:p>
      <w:pPr>
        <w:rPr>
          <w:rFonts w:eastAsia="Times New Roman"/>
          <w:b w:val="0"/>
          <w:lang w:eastAsia="es-ES"/>
        </w:rPr>
      </w:pPr>
      <w:r>
        <w:rPr>
          <w:rFonts w:eastAsia="Times New Roman"/>
          <w:b w:val="0"/>
          <w:lang w:eastAsia="es-ES"/>
        </w:rPr>
        <w:tab/>
      </w:r>
      <w:r>
        <w:rPr>
          <w:rFonts w:eastAsia="Times New Roman"/>
          <w:lang w:eastAsia="es-ES"/>
        </w:rPr>
        <w:t>El Director Subrogante de la Dirección de Compras y Contratación Pública, señor Claudio Loyola</w:t>
      </w:r>
      <w:r>
        <w:rPr>
          <w:rFonts w:eastAsia="Times New Roman"/>
          <w:b w:val="0"/>
          <w:lang w:eastAsia="es-ES"/>
        </w:rPr>
        <w:t xml:space="preserve"> inició su presentación señalando que el presupuesto de esta Institución es de continuidad.</w:t>
      </w:r>
    </w:p>
    <w:p>
      <w:pPr>
        <w:rPr>
          <w:rFonts w:eastAsia="Times New Roman"/>
          <w:b w:val="0"/>
          <w:lang w:eastAsia="es-ES"/>
        </w:rPr>
      </w:pPr>
    </w:p>
    <w:p>
      <w:pPr>
        <w:rPr>
          <w:b w:val="0"/>
        </w:rPr>
      </w:pPr>
      <w:r>
        <w:rPr>
          <w:rFonts w:eastAsia="Times New Roman"/>
          <w:b w:val="0"/>
          <w:lang w:eastAsia="es-ES"/>
        </w:rPr>
        <w:tab/>
        <w:t>En seguida procedió a enumerar los lineamientos estratégicos institucionales que está estableciendo Chilecompra hoy día, los que se encuentran en el siguiente orden:</w:t>
      </w:r>
    </w:p>
    <w:p/>
    <w:p>
      <w:pPr>
        <w:rPr>
          <w:b w:val="0"/>
        </w:rPr>
      </w:pPr>
      <w:r>
        <w:rPr>
          <w:b w:val="0"/>
        </w:rPr>
        <w:tab/>
        <w:t xml:space="preserve">1.- Desarrollar niveles de </w:t>
      </w:r>
      <w:r>
        <w:t>probidad y transparencia</w:t>
      </w:r>
      <w:r>
        <w:rPr>
          <w:b w:val="0"/>
        </w:rPr>
        <w:t xml:space="preserve"> en el Mercado de Compras Públicas, facilitando, desde las funciones de ChileCompra, un mercado probo y transparente. </w:t>
      </w:r>
    </w:p>
    <w:p>
      <w:pPr>
        <w:rPr>
          <w:b w:val="0"/>
        </w:rPr>
      </w:pPr>
    </w:p>
    <w:p>
      <w:pPr>
        <w:rPr>
          <w:b w:val="0"/>
        </w:rPr>
      </w:pPr>
      <w:r>
        <w:rPr>
          <w:b w:val="0"/>
        </w:rPr>
        <w:tab/>
        <w:t xml:space="preserve">2.- Generar condiciones para un Sistema de Compras Públicas </w:t>
      </w:r>
      <w:r>
        <w:t>eficiente y competitivo</w:t>
      </w:r>
      <w:r>
        <w:rPr>
          <w:b w:val="0"/>
        </w:rPr>
        <w:t>, de manera de fomentar el buen uso de los recursos públicos.</w:t>
      </w:r>
    </w:p>
    <w:p>
      <w:pPr>
        <w:rPr>
          <w:b w:val="0"/>
        </w:rPr>
      </w:pPr>
    </w:p>
    <w:p>
      <w:pPr>
        <w:rPr>
          <w:b w:val="0"/>
        </w:rPr>
      </w:pPr>
      <w:r>
        <w:rPr>
          <w:b w:val="0"/>
        </w:rPr>
        <w:tab/>
        <w:t xml:space="preserve">3.- Promover un Mercado de Compras Públicas </w:t>
      </w:r>
      <w:r>
        <w:t>sustentable, inclusivo</w:t>
      </w:r>
      <w:r>
        <w:rPr>
          <w:b w:val="0"/>
        </w:rPr>
        <w:t xml:space="preserve"> y que facilite el </w:t>
      </w:r>
      <w:r>
        <w:t>acceso</w:t>
      </w:r>
      <w:r>
        <w:rPr>
          <w:b w:val="0"/>
        </w:rPr>
        <w:t xml:space="preserve"> y la generación de oportunidades a los usuarios de ChileCompra.</w:t>
      </w:r>
    </w:p>
    <w:p>
      <w:pPr>
        <w:rPr>
          <w:b w:val="0"/>
        </w:rPr>
      </w:pPr>
    </w:p>
    <w:p>
      <w:pPr>
        <w:rPr>
          <w:b w:val="0"/>
        </w:rPr>
      </w:pPr>
      <w:r>
        <w:rPr>
          <w:b w:val="0"/>
        </w:rPr>
        <w:tab/>
        <w:t>4.- Entregar un mejor servicio a nuestros usuarios, a partir del fortalecimiento de la gestión interna a través de personas calificadas, sistemas informáticos y plataformas que sean capaces de soportar la gestión de ChileCompra y eficiencia y disponibilidad en todos los procesos de entrega de servicio.</w:t>
      </w:r>
    </w:p>
    <w:p>
      <w:pPr>
        <w:rPr>
          <w:b w:val="0"/>
        </w:rPr>
      </w:pPr>
    </w:p>
    <w:p>
      <w:pPr>
        <w:rPr>
          <w:b w:val="0"/>
        </w:rPr>
      </w:pPr>
    </w:p>
    <w:p>
      <w:pPr>
        <w:rPr>
          <w:b w:val="0"/>
        </w:rPr>
      </w:pPr>
      <w:r>
        <w:rPr>
          <w:b w:val="0"/>
        </w:rPr>
        <w:tab/>
        <w:t>A continuación, exhibió el siguiente cuadro con cifras comparadas de la variación entre el Presupuesto del año 2016 con el del año 2017:</w:t>
      </w:r>
    </w:p>
    <w:p/>
    <w:tbl>
      <w:tblPr>
        <w:tblW w:w="8829" w:type="dxa"/>
        <w:tblCellMar>
          <w:left w:w="0" w:type="dxa"/>
          <w:right w:w="0" w:type="dxa"/>
        </w:tblCellMar>
        <w:tblLook w:val="0600" w:firstRow="0" w:lastRow="0" w:firstColumn="0" w:lastColumn="0" w:noHBand="1" w:noVBand="1"/>
      </w:tblPr>
      <w:tblGrid>
        <w:gridCol w:w="3783"/>
        <w:gridCol w:w="1370"/>
        <w:gridCol w:w="1371"/>
        <w:gridCol w:w="1261"/>
        <w:gridCol w:w="1044"/>
      </w:tblGrid>
      <w:tr>
        <w:trPr>
          <w:trHeight w:val="403"/>
        </w:trPr>
        <w:tc>
          <w:tcPr>
            <w:tcW w:w="3784" w:type="dxa"/>
            <w:vMerge w:val="restart"/>
            <w:tcBorders>
              <w:top w:val="nil"/>
              <w:left w:val="nil"/>
              <w:bottom w:val="single" w:sz="8" w:space="0" w:color="FFFFFF"/>
              <w:right w:val="single" w:sz="8" w:space="0" w:color="FFFFFF"/>
            </w:tcBorders>
            <w:shd w:val="clear" w:color="auto" w:fill="B9CDE5"/>
            <w:tcMar>
              <w:top w:w="15" w:type="dxa"/>
              <w:left w:w="15" w:type="dxa"/>
              <w:bottom w:w="0" w:type="dxa"/>
              <w:right w:w="15" w:type="dxa"/>
            </w:tcMar>
            <w:hideMark/>
          </w:tcPr>
          <w:p>
            <w:pPr>
              <w:tabs>
                <w:tab w:val="clear" w:pos="2835"/>
              </w:tabs>
              <w:jc w:val="center"/>
              <w:textAlignment w:val="top"/>
              <w:rPr>
                <w:rFonts w:eastAsia="Times New Roman"/>
                <w:b w:val="0"/>
                <w:sz w:val="18"/>
                <w:szCs w:val="18"/>
                <w:lang w:eastAsia="es-CL"/>
              </w:rPr>
            </w:pPr>
            <w:r>
              <w:rPr>
                <w:rFonts w:eastAsia="Times New Roman"/>
                <w:bCs/>
                <w:color w:val="000000"/>
                <w:kern w:val="24"/>
                <w:sz w:val="18"/>
                <w:szCs w:val="18"/>
                <w:lang w:eastAsia="es-CL"/>
              </w:rPr>
              <w:t>CAPÍTULO 07 - Programa 01</w:t>
            </w:r>
            <w:r>
              <w:rPr>
                <w:rFonts w:eastAsia="Times New Roman"/>
                <w:bCs/>
                <w:color w:val="000000"/>
                <w:kern w:val="24"/>
                <w:sz w:val="18"/>
                <w:szCs w:val="18"/>
                <w:lang w:eastAsia="es-CL"/>
              </w:rPr>
              <w:br/>
              <w:t>DIRECCIÓN DE COMPRAS Y CONTRATACIONES PÚBLICAS</w:t>
            </w:r>
          </w:p>
        </w:tc>
        <w:tc>
          <w:tcPr>
            <w:tcW w:w="2741" w:type="dxa"/>
            <w:gridSpan w:val="2"/>
            <w:tcBorders>
              <w:top w:val="single" w:sz="8" w:space="0" w:color="FFFFFF"/>
              <w:left w:val="single" w:sz="8" w:space="0" w:color="FFFFFF"/>
              <w:bottom w:val="single" w:sz="8" w:space="0" w:color="FFFFFF"/>
              <w:right w:val="single" w:sz="8" w:space="0" w:color="FFFFFF"/>
            </w:tcBorders>
            <w:shd w:val="clear" w:color="auto" w:fill="B9CDE5"/>
            <w:tcMar>
              <w:top w:w="15" w:type="dxa"/>
              <w:left w:w="15" w:type="dxa"/>
              <w:bottom w:w="0" w:type="dxa"/>
              <w:right w:w="15" w:type="dxa"/>
            </w:tcMar>
            <w:hideMark/>
          </w:tcPr>
          <w:p>
            <w:pPr>
              <w:tabs>
                <w:tab w:val="clear" w:pos="2835"/>
              </w:tabs>
              <w:jc w:val="center"/>
              <w:textAlignment w:val="top"/>
              <w:rPr>
                <w:rFonts w:eastAsia="Times New Roman"/>
                <w:b w:val="0"/>
                <w:sz w:val="18"/>
                <w:szCs w:val="18"/>
                <w:lang w:eastAsia="es-CL"/>
              </w:rPr>
            </w:pPr>
            <w:r>
              <w:rPr>
                <w:rFonts w:eastAsia="Times New Roman"/>
                <w:bCs/>
                <w:color w:val="000000"/>
                <w:kern w:val="24"/>
                <w:sz w:val="18"/>
                <w:szCs w:val="18"/>
                <w:lang w:eastAsia="es-CL"/>
              </w:rPr>
              <w:t>Ley de Presupuesto</w:t>
            </w:r>
          </w:p>
        </w:tc>
        <w:tc>
          <w:tcPr>
            <w:tcW w:w="2304" w:type="dxa"/>
            <w:gridSpan w:val="2"/>
            <w:tcBorders>
              <w:top w:val="single" w:sz="8" w:space="0" w:color="FFFFFF"/>
              <w:left w:val="single" w:sz="8" w:space="0" w:color="FFFFFF"/>
              <w:bottom w:val="single" w:sz="8" w:space="0" w:color="FFFFFF"/>
              <w:right w:val="single" w:sz="8" w:space="0" w:color="FFFFFF"/>
            </w:tcBorders>
            <w:shd w:val="clear" w:color="auto" w:fill="B9CDE5"/>
            <w:tcMar>
              <w:top w:w="15" w:type="dxa"/>
              <w:left w:w="15" w:type="dxa"/>
              <w:bottom w:w="0" w:type="dxa"/>
              <w:right w:w="15" w:type="dxa"/>
            </w:tcMar>
            <w:hideMark/>
          </w:tcPr>
          <w:p>
            <w:pPr>
              <w:tabs>
                <w:tab w:val="clear" w:pos="2835"/>
              </w:tabs>
              <w:jc w:val="center"/>
              <w:textAlignment w:val="top"/>
              <w:rPr>
                <w:rFonts w:eastAsia="Times New Roman"/>
                <w:b w:val="0"/>
                <w:sz w:val="18"/>
                <w:szCs w:val="18"/>
                <w:lang w:eastAsia="es-CL"/>
              </w:rPr>
            </w:pPr>
            <w:r>
              <w:rPr>
                <w:rFonts w:eastAsia="Times New Roman"/>
                <w:bCs/>
                <w:color w:val="000000"/>
                <w:kern w:val="24"/>
                <w:sz w:val="18"/>
                <w:szCs w:val="18"/>
                <w:lang w:eastAsia="es-CL"/>
              </w:rPr>
              <w:t>Variación</w:t>
            </w:r>
          </w:p>
        </w:tc>
      </w:tr>
      <w:tr>
        <w:trPr>
          <w:trHeight w:val="794"/>
        </w:trPr>
        <w:tc>
          <w:tcPr>
            <w:tcW w:w="0" w:type="auto"/>
            <w:vMerge/>
            <w:tcBorders>
              <w:top w:val="nil"/>
              <w:left w:val="nil"/>
              <w:bottom w:val="single" w:sz="8" w:space="0" w:color="FFFFFF"/>
              <w:right w:val="single" w:sz="8" w:space="0" w:color="FFFFFF"/>
            </w:tcBorders>
            <w:vAlign w:val="center"/>
            <w:hideMark/>
          </w:tcPr>
          <w:p>
            <w:pPr>
              <w:tabs>
                <w:tab w:val="clear" w:pos="2835"/>
              </w:tabs>
              <w:jc w:val="left"/>
              <w:rPr>
                <w:rFonts w:eastAsia="Times New Roman"/>
                <w:b w:val="0"/>
                <w:sz w:val="18"/>
                <w:szCs w:val="18"/>
                <w:lang w:eastAsia="es-CL"/>
              </w:rPr>
            </w:pPr>
          </w:p>
        </w:tc>
        <w:tc>
          <w:tcPr>
            <w:tcW w:w="1370" w:type="dxa"/>
            <w:tcBorders>
              <w:top w:val="single" w:sz="8" w:space="0" w:color="FFFFFF"/>
              <w:left w:val="single" w:sz="8" w:space="0" w:color="FFFFFF"/>
              <w:bottom w:val="single" w:sz="8" w:space="0" w:color="FFFFFF"/>
              <w:right w:val="single" w:sz="8" w:space="0" w:color="FFFFFF"/>
            </w:tcBorders>
            <w:shd w:val="clear" w:color="auto" w:fill="B9CDE5"/>
            <w:tcMar>
              <w:top w:w="15" w:type="dxa"/>
              <w:left w:w="15" w:type="dxa"/>
              <w:bottom w:w="0" w:type="dxa"/>
              <w:right w:w="15" w:type="dxa"/>
            </w:tcMar>
            <w:hideMark/>
          </w:tcPr>
          <w:p>
            <w:pPr>
              <w:tabs>
                <w:tab w:val="clear" w:pos="2835"/>
              </w:tabs>
              <w:jc w:val="center"/>
              <w:textAlignment w:val="top"/>
              <w:rPr>
                <w:rFonts w:eastAsia="Times New Roman"/>
                <w:b w:val="0"/>
                <w:sz w:val="18"/>
                <w:szCs w:val="18"/>
                <w:lang w:eastAsia="es-CL"/>
              </w:rPr>
            </w:pPr>
            <w:r>
              <w:rPr>
                <w:rFonts w:eastAsia="Times New Roman"/>
                <w:bCs/>
                <w:color w:val="000000"/>
                <w:kern w:val="24"/>
                <w:sz w:val="18"/>
                <w:szCs w:val="18"/>
                <w:lang w:eastAsia="es-CL"/>
              </w:rPr>
              <w:t>Año 2016</w:t>
            </w:r>
            <w:r>
              <w:rPr>
                <w:rFonts w:eastAsia="Times New Roman"/>
                <w:bCs/>
                <w:color w:val="000000"/>
                <w:kern w:val="24"/>
                <w:sz w:val="18"/>
                <w:szCs w:val="18"/>
                <w:lang w:eastAsia="es-CL"/>
              </w:rPr>
              <w:br/>
              <w:t>(M$ 2017)</w:t>
            </w:r>
          </w:p>
        </w:tc>
        <w:tc>
          <w:tcPr>
            <w:tcW w:w="1370" w:type="dxa"/>
            <w:tcBorders>
              <w:top w:val="single" w:sz="8" w:space="0" w:color="FFFFFF"/>
              <w:left w:val="single" w:sz="8" w:space="0" w:color="FFFFFF"/>
              <w:bottom w:val="single" w:sz="8" w:space="0" w:color="FFFFFF"/>
              <w:right w:val="single" w:sz="8" w:space="0" w:color="FFFFFF"/>
            </w:tcBorders>
            <w:shd w:val="clear" w:color="auto" w:fill="B9CDE5"/>
            <w:tcMar>
              <w:top w:w="15" w:type="dxa"/>
              <w:left w:w="15" w:type="dxa"/>
              <w:bottom w:w="0" w:type="dxa"/>
              <w:right w:w="15" w:type="dxa"/>
            </w:tcMar>
            <w:hideMark/>
          </w:tcPr>
          <w:p>
            <w:pPr>
              <w:tabs>
                <w:tab w:val="clear" w:pos="2835"/>
              </w:tabs>
              <w:jc w:val="center"/>
              <w:textAlignment w:val="top"/>
              <w:rPr>
                <w:rFonts w:eastAsia="Times New Roman"/>
                <w:b w:val="0"/>
                <w:sz w:val="18"/>
                <w:szCs w:val="18"/>
                <w:lang w:eastAsia="es-CL"/>
              </w:rPr>
            </w:pPr>
            <w:r>
              <w:rPr>
                <w:rFonts w:eastAsia="Times New Roman"/>
                <w:bCs/>
                <w:color w:val="000000"/>
                <w:kern w:val="24"/>
                <w:sz w:val="18"/>
                <w:szCs w:val="18"/>
                <w:lang w:eastAsia="es-CL"/>
              </w:rPr>
              <w:t>Año 2017</w:t>
            </w:r>
            <w:r>
              <w:rPr>
                <w:rFonts w:eastAsia="Times New Roman"/>
                <w:bCs/>
                <w:color w:val="000000"/>
                <w:kern w:val="24"/>
                <w:sz w:val="18"/>
                <w:szCs w:val="18"/>
                <w:lang w:eastAsia="es-CL"/>
              </w:rPr>
              <w:br/>
              <w:t>(M$ 2017)</w:t>
            </w:r>
          </w:p>
        </w:tc>
        <w:tc>
          <w:tcPr>
            <w:tcW w:w="1261" w:type="dxa"/>
            <w:tcBorders>
              <w:top w:val="single" w:sz="8" w:space="0" w:color="FFFFFF"/>
              <w:left w:val="single" w:sz="8" w:space="0" w:color="FFFFFF"/>
              <w:bottom w:val="single" w:sz="8" w:space="0" w:color="FFFFFF"/>
              <w:right w:val="single" w:sz="8" w:space="0" w:color="FFFFFF"/>
            </w:tcBorders>
            <w:shd w:val="clear" w:color="auto" w:fill="B9CDE5"/>
            <w:tcMar>
              <w:top w:w="15" w:type="dxa"/>
              <w:left w:w="15" w:type="dxa"/>
              <w:bottom w:w="0" w:type="dxa"/>
              <w:right w:w="15" w:type="dxa"/>
            </w:tcMar>
            <w:hideMark/>
          </w:tcPr>
          <w:p>
            <w:pPr>
              <w:tabs>
                <w:tab w:val="clear" w:pos="2835"/>
              </w:tabs>
              <w:jc w:val="center"/>
              <w:textAlignment w:val="top"/>
              <w:rPr>
                <w:rFonts w:eastAsia="Times New Roman"/>
                <w:b w:val="0"/>
                <w:sz w:val="18"/>
                <w:szCs w:val="18"/>
                <w:lang w:eastAsia="es-CL"/>
              </w:rPr>
            </w:pPr>
            <w:r>
              <w:rPr>
                <w:rFonts w:eastAsia="Times New Roman"/>
                <w:bCs/>
                <w:color w:val="000000"/>
                <w:kern w:val="24"/>
                <w:sz w:val="18"/>
                <w:szCs w:val="18"/>
                <w:lang w:eastAsia="es-CL"/>
              </w:rPr>
              <w:t>(M$ 2017)</w:t>
            </w:r>
          </w:p>
        </w:tc>
        <w:tc>
          <w:tcPr>
            <w:tcW w:w="1044" w:type="dxa"/>
            <w:tcBorders>
              <w:top w:val="single" w:sz="8" w:space="0" w:color="FFFFFF"/>
              <w:left w:val="single" w:sz="8" w:space="0" w:color="FFFFFF"/>
              <w:bottom w:val="single" w:sz="8" w:space="0" w:color="FFFFFF"/>
              <w:right w:val="single" w:sz="8" w:space="0" w:color="FFFFFF"/>
            </w:tcBorders>
            <w:shd w:val="clear" w:color="auto" w:fill="B9CDE5"/>
            <w:tcMar>
              <w:top w:w="15" w:type="dxa"/>
              <w:left w:w="15" w:type="dxa"/>
              <w:bottom w:w="0" w:type="dxa"/>
              <w:right w:w="15" w:type="dxa"/>
            </w:tcMar>
            <w:hideMark/>
          </w:tcPr>
          <w:p>
            <w:pPr>
              <w:tabs>
                <w:tab w:val="clear" w:pos="2835"/>
              </w:tabs>
              <w:jc w:val="center"/>
              <w:textAlignment w:val="top"/>
              <w:rPr>
                <w:rFonts w:eastAsia="Times New Roman"/>
                <w:b w:val="0"/>
                <w:sz w:val="18"/>
                <w:szCs w:val="18"/>
                <w:lang w:eastAsia="es-CL"/>
              </w:rPr>
            </w:pPr>
            <w:r>
              <w:rPr>
                <w:rFonts w:eastAsia="Times New Roman"/>
                <w:bCs/>
                <w:color w:val="000000"/>
                <w:kern w:val="24"/>
                <w:sz w:val="18"/>
                <w:szCs w:val="18"/>
                <w:lang w:eastAsia="es-CL"/>
              </w:rPr>
              <w:t>(%)</w:t>
            </w:r>
          </w:p>
        </w:tc>
      </w:tr>
      <w:tr>
        <w:trPr>
          <w:trHeight w:val="403"/>
        </w:trPr>
        <w:tc>
          <w:tcPr>
            <w:tcW w:w="3784" w:type="dxa"/>
            <w:tcBorders>
              <w:top w:val="single" w:sz="8" w:space="0" w:color="FFFFFF"/>
              <w:left w:val="single" w:sz="8" w:space="0" w:color="FFFFFF"/>
              <w:bottom w:val="single" w:sz="8" w:space="0" w:color="FFFFFF"/>
              <w:right w:val="single" w:sz="8" w:space="0" w:color="FFFFFF"/>
            </w:tcBorders>
            <w:shd w:val="clear" w:color="auto" w:fill="C6D9F1"/>
            <w:tcMar>
              <w:top w:w="15" w:type="dxa"/>
              <w:left w:w="15" w:type="dxa"/>
              <w:bottom w:w="0" w:type="dxa"/>
              <w:right w:w="15" w:type="dxa"/>
            </w:tcMar>
            <w:vAlign w:val="center"/>
            <w:hideMark/>
          </w:tcPr>
          <w:p>
            <w:pPr>
              <w:tabs>
                <w:tab w:val="clear" w:pos="2835"/>
              </w:tabs>
              <w:jc w:val="left"/>
              <w:textAlignment w:val="center"/>
              <w:rPr>
                <w:rFonts w:eastAsia="Times New Roman"/>
                <w:b w:val="0"/>
                <w:sz w:val="18"/>
                <w:szCs w:val="18"/>
                <w:lang w:eastAsia="es-CL"/>
              </w:rPr>
            </w:pPr>
            <w:r>
              <w:rPr>
                <w:rFonts w:eastAsia="Times New Roman"/>
                <w:bCs/>
                <w:color w:val="000000"/>
                <w:kern w:val="24"/>
                <w:sz w:val="18"/>
                <w:szCs w:val="18"/>
                <w:lang w:eastAsia="es-CL"/>
              </w:rPr>
              <w:t>TOTAL</w:t>
            </w:r>
          </w:p>
        </w:tc>
        <w:tc>
          <w:tcPr>
            <w:tcW w:w="1370" w:type="dxa"/>
            <w:tcBorders>
              <w:top w:val="single" w:sz="8" w:space="0" w:color="FFFFFF"/>
              <w:left w:val="single" w:sz="8" w:space="0" w:color="FFFFFF"/>
              <w:bottom w:val="single" w:sz="8" w:space="0" w:color="FFFFFF"/>
              <w:right w:val="single" w:sz="8" w:space="0" w:color="FFFFFF"/>
            </w:tcBorders>
            <w:shd w:val="clear" w:color="auto" w:fill="C6D9F1"/>
            <w:tcMar>
              <w:top w:w="15" w:type="dxa"/>
              <w:left w:w="15" w:type="dxa"/>
              <w:bottom w:w="0" w:type="dxa"/>
              <w:right w:w="15"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Cs/>
                <w:color w:val="000000"/>
                <w:kern w:val="24"/>
                <w:sz w:val="18"/>
                <w:szCs w:val="18"/>
                <w:lang w:eastAsia="es-CL"/>
              </w:rPr>
              <w:t>9.634.704</w:t>
            </w:r>
          </w:p>
        </w:tc>
        <w:tc>
          <w:tcPr>
            <w:tcW w:w="1370" w:type="dxa"/>
            <w:tcBorders>
              <w:top w:val="single" w:sz="8" w:space="0" w:color="FFFFFF"/>
              <w:left w:val="single" w:sz="8" w:space="0" w:color="FFFFFF"/>
              <w:bottom w:val="single" w:sz="8" w:space="0" w:color="FFFFFF"/>
              <w:right w:val="single" w:sz="8" w:space="0" w:color="FFFFFF"/>
            </w:tcBorders>
            <w:shd w:val="clear" w:color="auto" w:fill="C6D9F1"/>
            <w:tcMar>
              <w:top w:w="15" w:type="dxa"/>
              <w:left w:w="15" w:type="dxa"/>
              <w:bottom w:w="0" w:type="dxa"/>
              <w:right w:w="15"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Cs/>
                <w:color w:val="000000"/>
                <w:kern w:val="24"/>
                <w:sz w:val="18"/>
                <w:szCs w:val="18"/>
                <w:lang w:eastAsia="es-CL"/>
              </w:rPr>
              <w:t>9.725.740</w:t>
            </w:r>
          </w:p>
        </w:tc>
        <w:tc>
          <w:tcPr>
            <w:tcW w:w="1261" w:type="dxa"/>
            <w:tcBorders>
              <w:top w:val="single" w:sz="8" w:space="0" w:color="FFFFFF"/>
              <w:left w:val="single" w:sz="8" w:space="0" w:color="FFFFFF"/>
              <w:bottom w:val="single" w:sz="8" w:space="0" w:color="FFFFFF"/>
              <w:right w:val="single" w:sz="8" w:space="0" w:color="FFFFFF"/>
            </w:tcBorders>
            <w:shd w:val="clear" w:color="auto" w:fill="C6D9F1"/>
            <w:tcMar>
              <w:top w:w="15" w:type="dxa"/>
              <w:left w:w="15" w:type="dxa"/>
              <w:bottom w:w="0" w:type="dxa"/>
              <w:right w:w="15"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Cs/>
                <w:color w:val="000000"/>
                <w:kern w:val="24"/>
                <w:sz w:val="18"/>
                <w:szCs w:val="18"/>
                <w:lang w:eastAsia="es-CL"/>
              </w:rPr>
              <w:t>91.046</w:t>
            </w:r>
          </w:p>
        </w:tc>
        <w:tc>
          <w:tcPr>
            <w:tcW w:w="1044" w:type="dxa"/>
            <w:tcBorders>
              <w:top w:val="single" w:sz="8" w:space="0" w:color="FFFFFF"/>
              <w:left w:val="single" w:sz="8" w:space="0" w:color="FFFFFF"/>
              <w:bottom w:val="single" w:sz="8" w:space="0" w:color="FFFFFF"/>
              <w:right w:val="single" w:sz="8" w:space="0" w:color="FFFFFF"/>
            </w:tcBorders>
            <w:shd w:val="clear" w:color="auto" w:fill="C6D9F1"/>
            <w:tcMar>
              <w:top w:w="15" w:type="dxa"/>
              <w:left w:w="15" w:type="dxa"/>
              <w:bottom w:w="0" w:type="dxa"/>
              <w:right w:w="15"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Cs/>
                <w:color w:val="000000"/>
                <w:kern w:val="24"/>
                <w:sz w:val="18"/>
                <w:szCs w:val="18"/>
                <w:lang w:eastAsia="es-CL"/>
              </w:rPr>
              <w:t>0,9%</w:t>
            </w:r>
          </w:p>
        </w:tc>
      </w:tr>
      <w:tr>
        <w:trPr>
          <w:trHeight w:val="403"/>
        </w:trPr>
        <w:tc>
          <w:tcPr>
            <w:tcW w:w="378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left"/>
              <w:textAlignment w:val="center"/>
              <w:rPr>
                <w:rFonts w:eastAsia="Times New Roman"/>
                <w:b w:val="0"/>
                <w:sz w:val="18"/>
                <w:szCs w:val="18"/>
                <w:lang w:eastAsia="es-CL"/>
              </w:rPr>
            </w:pPr>
            <w:r>
              <w:rPr>
                <w:rFonts w:eastAsia="Times New Roman"/>
                <w:b w:val="0"/>
                <w:color w:val="000000"/>
                <w:kern w:val="24"/>
                <w:sz w:val="18"/>
                <w:szCs w:val="18"/>
                <w:lang w:eastAsia="es-CL"/>
              </w:rPr>
              <w:t>Gasto en Personal  (</w:t>
            </w:r>
            <w:r>
              <w:rPr>
                <w:rFonts w:eastAsia="Times New Roman"/>
                <w:bCs/>
                <w:color w:val="000000"/>
                <w:kern w:val="24"/>
                <w:sz w:val="18"/>
                <w:szCs w:val="18"/>
                <w:lang w:eastAsia="es-CL"/>
              </w:rPr>
              <w:t>Subtítulo 21</w:t>
            </w:r>
            <w:r>
              <w:rPr>
                <w:rFonts w:eastAsia="Times New Roman"/>
                <w:b w:val="0"/>
                <w:color w:val="000000"/>
                <w:kern w:val="24"/>
                <w:sz w:val="18"/>
                <w:szCs w:val="18"/>
                <w:lang w:eastAsia="es-CL"/>
              </w:rPr>
              <w:t>)</w:t>
            </w:r>
          </w:p>
        </w:tc>
        <w:tc>
          <w:tcPr>
            <w:tcW w:w="137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 w:val="0"/>
                <w:color w:val="000000"/>
                <w:kern w:val="24"/>
                <w:sz w:val="18"/>
                <w:szCs w:val="18"/>
                <w:lang w:eastAsia="es-CL"/>
              </w:rPr>
              <w:t>4.368.284</w:t>
            </w:r>
          </w:p>
        </w:tc>
        <w:tc>
          <w:tcPr>
            <w:tcW w:w="137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 w:val="0"/>
                <w:color w:val="000000"/>
                <w:kern w:val="24"/>
                <w:sz w:val="18"/>
                <w:szCs w:val="18"/>
                <w:lang w:eastAsia="es-CL"/>
              </w:rPr>
              <w:t>4.368.284</w:t>
            </w:r>
          </w:p>
        </w:tc>
        <w:tc>
          <w:tcPr>
            <w:tcW w:w="126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 w:val="0"/>
                <w:color w:val="000000"/>
                <w:kern w:val="24"/>
                <w:sz w:val="18"/>
                <w:szCs w:val="18"/>
                <w:lang w:eastAsia="es-CL"/>
              </w:rPr>
              <w:t>0</w:t>
            </w:r>
          </w:p>
        </w:tc>
        <w:tc>
          <w:tcPr>
            <w:tcW w:w="104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 w:val="0"/>
                <w:color w:val="000000"/>
                <w:kern w:val="24"/>
                <w:sz w:val="18"/>
                <w:szCs w:val="18"/>
                <w:lang w:eastAsia="es-CL"/>
              </w:rPr>
              <w:t>0,0%</w:t>
            </w:r>
          </w:p>
        </w:tc>
      </w:tr>
      <w:tr>
        <w:trPr>
          <w:trHeight w:val="794"/>
        </w:trPr>
        <w:tc>
          <w:tcPr>
            <w:tcW w:w="378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left"/>
              <w:textAlignment w:val="center"/>
              <w:rPr>
                <w:rFonts w:eastAsia="Times New Roman"/>
                <w:b w:val="0"/>
                <w:sz w:val="18"/>
                <w:szCs w:val="18"/>
                <w:lang w:eastAsia="es-CL"/>
              </w:rPr>
            </w:pPr>
            <w:r>
              <w:rPr>
                <w:rFonts w:eastAsia="Times New Roman"/>
                <w:b w:val="0"/>
                <w:color w:val="000000"/>
                <w:kern w:val="24"/>
                <w:sz w:val="18"/>
                <w:szCs w:val="18"/>
                <w:lang w:eastAsia="es-CL"/>
              </w:rPr>
              <w:t>Bienes y Servicios de Consumo  (</w:t>
            </w:r>
            <w:r>
              <w:rPr>
                <w:rFonts w:eastAsia="Times New Roman"/>
                <w:bCs/>
                <w:color w:val="000000"/>
                <w:kern w:val="24"/>
                <w:sz w:val="18"/>
                <w:szCs w:val="18"/>
                <w:lang w:eastAsia="es-CL"/>
              </w:rPr>
              <w:t>Subtítulo 22</w:t>
            </w:r>
            <w:r>
              <w:rPr>
                <w:rFonts w:eastAsia="Times New Roman"/>
                <w:b w:val="0"/>
                <w:color w:val="000000"/>
                <w:kern w:val="24"/>
                <w:sz w:val="18"/>
                <w:szCs w:val="18"/>
                <w:lang w:eastAsia="es-CL"/>
              </w:rPr>
              <w:t>)</w:t>
            </w:r>
          </w:p>
        </w:tc>
        <w:tc>
          <w:tcPr>
            <w:tcW w:w="137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 w:val="0"/>
                <w:color w:val="000000"/>
                <w:kern w:val="24"/>
                <w:sz w:val="18"/>
                <w:szCs w:val="18"/>
                <w:lang w:eastAsia="es-CL"/>
              </w:rPr>
              <w:t>3.476.795</w:t>
            </w:r>
          </w:p>
        </w:tc>
        <w:tc>
          <w:tcPr>
            <w:tcW w:w="137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 w:val="0"/>
                <w:color w:val="000000"/>
                <w:kern w:val="24"/>
                <w:sz w:val="18"/>
                <w:szCs w:val="18"/>
                <w:lang w:eastAsia="es-CL"/>
              </w:rPr>
              <w:t>3.372.491</w:t>
            </w:r>
          </w:p>
        </w:tc>
        <w:tc>
          <w:tcPr>
            <w:tcW w:w="126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 w:val="0"/>
                <w:color w:val="000000"/>
                <w:kern w:val="24"/>
                <w:sz w:val="18"/>
                <w:szCs w:val="18"/>
                <w:lang w:eastAsia="es-CL"/>
              </w:rPr>
              <w:t>-104.304</w:t>
            </w:r>
          </w:p>
        </w:tc>
        <w:tc>
          <w:tcPr>
            <w:tcW w:w="104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 w:val="0"/>
                <w:color w:val="000000"/>
                <w:kern w:val="24"/>
                <w:sz w:val="18"/>
                <w:szCs w:val="18"/>
                <w:lang w:eastAsia="es-CL"/>
              </w:rPr>
              <w:t>-3%</w:t>
            </w:r>
          </w:p>
        </w:tc>
      </w:tr>
      <w:tr>
        <w:trPr>
          <w:trHeight w:val="727"/>
        </w:trPr>
        <w:tc>
          <w:tcPr>
            <w:tcW w:w="378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left"/>
              <w:textAlignment w:val="center"/>
              <w:rPr>
                <w:rFonts w:eastAsia="Times New Roman"/>
                <w:b w:val="0"/>
                <w:sz w:val="18"/>
                <w:szCs w:val="18"/>
                <w:lang w:eastAsia="es-CL"/>
              </w:rPr>
            </w:pPr>
            <w:r>
              <w:rPr>
                <w:rFonts w:eastAsia="Times New Roman"/>
                <w:b w:val="0"/>
                <w:color w:val="000000"/>
                <w:kern w:val="24"/>
                <w:sz w:val="18"/>
                <w:szCs w:val="18"/>
                <w:lang w:eastAsia="es-CL"/>
              </w:rPr>
              <w:t>Transferencias Corrientes  (</w:t>
            </w:r>
            <w:r>
              <w:rPr>
                <w:rFonts w:eastAsia="Times New Roman"/>
                <w:bCs/>
                <w:color w:val="000000"/>
                <w:kern w:val="24"/>
                <w:sz w:val="18"/>
                <w:szCs w:val="18"/>
                <w:lang w:eastAsia="es-CL"/>
              </w:rPr>
              <w:t>Subtítulo 24</w:t>
            </w:r>
            <w:r>
              <w:rPr>
                <w:rFonts w:eastAsia="Times New Roman"/>
                <w:b w:val="0"/>
                <w:color w:val="000000"/>
                <w:kern w:val="24"/>
                <w:sz w:val="18"/>
                <w:szCs w:val="18"/>
                <w:lang w:eastAsia="es-CL"/>
              </w:rPr>
              <w:t>)</w:t>
            </w:r>
          </w:p>
        </w:tc>
        <w:tc>
          <w:tcPr>
            <w:tcW w:w="137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 w:val="0"/>
                <w:color w:val="000000"/>
                <w:kern w:val="24"/>
                <w:sz w:val="18"/>
                <w:szCs w:val="18"/>
                <w:lang w:eastAsia="es-CL"/>
              </w:rPr>
              <w:t>1.574.440</w:t>
            </w:r>
          </w:p>
        </w:tc>
        <w:tc>
          <w:tcPr>
            <w:tcW w:w="137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 w:val="0"/>
                <w:color w:val="000000"/>
                <w:kern w:val="24"/>
                <w:sz w:val="18"/>
                <w:szCs w:val="18"/>
                <w:lang w:eastAsia="es-CL"/>
              </w:rPr>
              <w:t>1.769.790</w:t>
            </w:r>
          </w:p>
        </w:tc>
        <w:tc>
          <w:tcPr>
            <w:tcW w:w="126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 w:val="0"/>
                <w:color w:val="000000"/>
                <w:kern w:val="24"/>
                <w:sz w:val="18"/>
                <w:szCs w:val="18"/>
                <w:lang w:eastAsia="es-CL"/>
              </w:rPr>
              <w:t>195.350</w:t>
            </w:r>
          </w:p>
        </w:tc>
        <w:tc>
          <w:tcPr>
            <w:tcW w:w="104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 w:val="0"/>
                <w:color w:val="000000"/>
                <w:kern w:val="24"/>
                <w:sz w:val="18"/>
                <w:szCs w:val="18"/>
                <w:lang w:eastAsia="es-CL"/>
              </w:rPr>
              <w:t>12,4%</w:t>
            </w:r>
          </w:p>
        </w:tc>
      </w:tr>
      <w:tr>
        <w:trPr>
          <w:trHeight w:val="794"/>
        </w:trPr>
        <w:tc>
          <w:tcPr>
            <w:tcW w:w="378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left"/>
              <w:textAlignment w:val="center"/>
              <w:rPr>
                <w:rFonts w:eastAsia="Times New Roman"/>
                <w:b w:val="0"/>
                <w:sz w:val="18"/>
                <w:szCs w:val="18"/>
                <w:lang w:eastAsia="es-CL"/>
              </w:rPr>
            </w:pPr>
            <w:r>
              <w:rPr>
                <w:rFonts w:eastAsia="Times New Roman"/>
                <w:b w:val="0"/>
                <w:color w:val="000000"/>
                <w:kern w:val="24"/>
                <w:sz w:val="18"/>
                <w:szCs w:val="18"/>
                <w:lang w:eastAsia="es-CL"/>
              </w:rPr>
              <w:t>Adquisición de Activos no financieros  (</w:t>
            </w:r>
            <w:r>
              <w:rPr>
                <w:rFonts w:eastAsia="Times New Roman"/>
                <w:bCs/>
                <w:color w:val="000000"/>
                <w:kern w:val="24"/>
                <w:sz w:val="18"/>
                <w:szCs w:val="18"/>
                <w:lang w:eastAsia="es-CL"/>
              </w:rPr>
              <w:t>Subtítulo 29</w:t>
            </w:r>
            <w:r>
              <w:rPr>
                <w:rFonts w:eastAsia="Times New Roman"/>
                <w:b w:val="0"/>
                <w:color w:val="000000"/>
                <w:kern w:val="24"/>
                <w:sz w:val="18"/>
                <w:szCs w:val="18"/>
                <w:lang w:eastAsia="es-CL"/>
              </w:rPr>
              <w:t>)</w:t>
            </w:r>
          </w:p>
        </w:tc>
        <w:tc>
          <w:tcPr>
            <w:tcW w:w="137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 w:val="0"/>
                <w:color w:val="000000"/>
                <w:kern w:val="24"/>
                <w:sz w:val="18"/>
                <w:szCs w:val="18"/>
                <w:lang w:eastAsia="es-CL"/>
              </w:rPr>
              <w:t>215.175</w:t>
            </w:r>
          </w:p>
        </w:tc>
        <w:tc>
          <w:tcPr>
            <w:tcW w:w="137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 w:val="0"/>
                <w:color w:val="000000"/>
                <w:kern w:val="24"/>
                <w:sz w:val="18"/>
                <w:szCs w:val="18"/>
                <w:lang w:eastAsia="es-CL"/>
              </w:rPr>
              <w:t>215.175</w:t>
            </w:r>
          </w:p>
        </w:tc>
        <w:tc>
          <w:tcPr>
            <w:tcW w:w="126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 w:val="0"/>
                <w:color w:val="000000"/>
                <w:kern w:val="24"/>
                <w:sz w:val="18"/>
                <w:szCs w:val="18"/>
                <w:lang w:eastAsia="es-CL"/>
              </w:rPr>
              <w:t>0</w:t>
            </w:r>
          </w:p>
        </w:tc>
        <w:tc>
          <w:tcPr>
            <w:tcW w:w="104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 w:val="0"/>
                <w:color w:val="000000"/>
                <w:kern w:val="24"/>
                <w:sz w:val="18"/>
                <w:szCs w:val="18"/>
                <w:lang w:eastAsia="es-CL"/>
              </w:rPr>
              <w:t>0,0%</w:t>
            </w:r>
          </w:p>
        </w:tc>
      </w:tr>
      <w:tr>
        <w:trPr>
          <w:trHeight w:val="403"/>
        </w:trPr>
        <w:tc>
          <w:tcPr>
            <w:tcW w:w="378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left"/>
              <w:textAlignment w:val="center"/>
              <w:rPr>
                <w:rFonts w:eastAsia="Times New Roman"/>
                <w:b w:val="0"/>
                <w:sz w:val="18"/>
                <w:szCs w:val="18"/>
                <w:lang w:eastAsia="es-CL"/>
              </w:rPr>
            </w:pPr>
            <w:r>
              <w:rPr>
                <w:rFonts w:eastAsia="Times New Roman"/>
                <w:b w:val="0"/>
                <w:color w:val="000000"/>
                <w:kern w:val="24"/>
                <w:sz w:val="18"/>
                <w:szCs w:val="18"/>
                <w:lang w:eastAsia="es-CL"/>
              </w:rPr>
              <w:t>Servicio de la Deuda  (</w:t>
            </w:r>
            <w:r>
              <w:rPr>
                <w:rFonts w:eastAsia="Times New Roman"/>
                <w:bCs/>
                <w:color w:val="000000"/>
                <w:kern w:val="24"/>
                <w:sz w:val="18"/>
                <w:szCs w:val="18"/>
                <w:lang w:eastAsia="es-CL"/>
              </w:rPr>
              <w:t>Subtítulo 34</w:t>
            </w:r>
            <w:r>
              <w:rPr>
                <w:rFonts w:eastAsia="Times New Roman"/>
                <w:b w:val="0"/>
                <w:color w:val="000000"/>
                <w:kern w:val="24"/>
                <w:sz w:val="18"/>
                <w:szCs w:val="18"/>
                <w:lang w:eastAsia="es-CL"/>
              </w:rPr>
              <w:t>)</w:t>
            </w:r>
          </w:p>
        </w:tc>
        <w:tc>
          <w:tcPr>
            <w:tcW w:w="137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 w:val="0"/>
                <w:color w:val="000000"/>
                <w:kern w:val="24"/>
                <w:sz w:val="18"/>
                <w:szCs w:val="18"/>
                <w:lang w:eastAsia="es-CL"/>
              </w:rPr>
              <w:t>10</w:t>
            </w:r>
          </w:p>
        </w:tc>
        <w:tc>
          <w:tcPr>
            <w:tcW w:w="137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 w:val="0"/>
                <w:color w:val="000000"/>
                <w:kern w:val="24"/>
                <w:sz w:val="18"/>
                <w:szCs w:val="18"/>
                <w:lang w:eastAsia="es-CL"/>
              </w:rPr>
              <w:t>0</w:t>
            </w:r>
          </w:p>
        </w:tc>
        <w:tc>
          <w:tcPr>
            <w:tcW w:w="126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 w:val="0"/>
                <w:color w:val="000000"/>
                <w:kern w:val="24"/>
                <w:sz w:val="18"/>
                <w:szCs w:val="18"/>
                <w:lang w:eastAsia="es-CL"/>
              </w:rPr>
              <w:t>-10</w:t>
            </w:r>
          </w:p>
        </w:tc>
        <w:tc>
          <w:tcPr>
            <w:tcW w:w="104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 w:val="0"/>
                <w:color w:val="000000"/>
                <w:kern w:val="24"/>
                <w:sz w:val="18"/>
                <w:szCs w:val="18"/>
                <w:lang w:eastAsia="es-CL"/>
              </w:rPr>
              <w:t>-100,0%</w:t>
            </w:r>
          </w:p>
        </w:tc>
      </w:tr>
      <w:tr>
        <w:trPr>
          <w:trHeight w:val="403"/>
        </w:trPr>
        <w:tc>
          <w:tcPr>
            <w:tcW w:w="3784" w:type="dxa"/>
            <w:tcBorders>
              <w:top w:val="single" w:sz="8" w:space="0" w:color="FFFFFF"/>
              <w:left w:val="single" w:sz="8" w:space="0" w:color="FFFFFF"/>
              <w:bottom w:val="single" w:sz="8" w:space="0" w:color="FFFFFF"/>
              <w:right w:val="single" w:sz="8" w:space="0" w:color="FFFFFF"/>
            </w:tcBorders>
            <w:shd w:val="clear" w:color="auto" w:fill="B9CDE5"/>
            <w:tcMar>
              <w:top w:w="15" w:type="dxa"/>
              <w:left w:w="15" w:type="dxa"/>
              <w:bottom w:w="0" w:type="dxa"/>
              <w:right w:w="15" w:type="dxa"/>
            </w:tcMar>
            <w:vAlign w:val="center"/>
            <w:hideMark/>
          </w:tcPr>
          <w:p>
            <w:pPr>
              <w:tabs>
                <w:tab w:val="clear" w:pos="2835"/>
              </w:tabs>
              <w:jc w:val="left"/>
              <w:textAlignment w:val="center"/>
              <w:rPr>
                <w:rFonts w:eastAsia="Times New Roman"/>
                <w:b w:val="0"/>
                <w:sz w:val="18"/>
                <w:szCs w:val="18"/>
                <w:lang w:eastAsia="es-CL"/>
              </w:rPr>
            </w:pPr>
            <w:r>
              <w:rPr>
                <w:rFonts w:eastAsia="Times New Roman"/>
                <w:bCs/>
                <w:color w:val="000000"/>
                <w:kern w:val="24"/>
                <w:sz w:val="18"/>
                <w:szCs w:val="18"/>
                <w:lang w:eastAsia="es-CL"/>
              </w:rPr>
              <w:t xml:space="preserve">Gasto neto </w:t>
            </w:r>
            <w:r>
              <w:rPr>
                <w:rFonts w:eastAsia="Times New Roman"/>
                <w:b w:val="0"/>
                <w:color w:val="000000"/>
                <w:kern w:val="24"/>
                <w:sz w:val="18"/>
                <w:szCs w:val="18"/>
                <w:lang w:eastAsia="es-CL"/>
              </w:rPr>
              <w:t>(*)</w:t>
            </w:r>
          </w:p>
        </w:tc>
        <w:tc>
          <w:tcPr>
            <w:tcW w:w="1370" w:type="dxa"/>
            <w:tcBorders>
              <w:top w:val="single" w:sz="8" w:space="0" w:color="FFFFFF"/>
              <w:left w:val="single" w:sz="8" w:space="0" w:color="FFFFFF"/>
              <w:bottom w:val="single" w:sz="8" w:space="0" w:color="FFFFFF"/>
              <w:right w:val="single" w:sz="8" w:space="0" w:color="FFFFFF"/>
            </w:tcBorders>
            <w:shd w:val="clear" w:color="auto" w:fill="B9CDE5"/>
            <w:tcMar>
              <w:top w:w="15" w:type="dxa"/>
              <w:left w:w="15" w:type="dxa"/>
              <w:bottom w:w="0" w:type="dxa"/>
              <w:right w:w="15"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Cs/>
                <w:color w:val="000000"/>
                <w:kern w:val="24"/>
                <w:sz w:val="18"/>
                <w:szCs w:val="18"/>
                <w:lang w:eastAsia="es-CL"/>
              </w:rPr>
              <w:t>9.634.694</w:t>
            </w:r>
          </w:p>
        </w:tc>
        <w:tc>
          <w:tcPr>
            <w:tcW w:w="1370" w:type="dxa"/>
            <w:tcBorders>
              <w:top w:val="single" w:sz="8" w:space="0" w:color="FFFFFF"/>
              <w:left w:val="single" w:sz="8" w:space="0" w:color="FFFFFF"/>
              <w:bottom w:val="single" w:sz="8" w:space="0" w:color="FFFFFF"/>
              <w:right w:val="single" w:sz="8" w:space="0" w:color="FFFFFF"/>
            </w:tcBorders>
            <w:shd w:val="clear" w:color="auto" w:fill="B9CDE5"/>
            <w:tcMar>
              <w:top w:w="15" w:type="dxa"/>
              <w:left w:w="15" w:type="dxa"/>
              <w:bottom w:w="0" w:type="dxa"/>
              <w:right w:w="15"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Cs/>
                <w:color w:val="000000"/>
                <w:kern w:val="24"/>
                <w:sz w:val="18"/>
                <w:szCs w:val="18"/>
                <w:lang w:eastAsia="es-CL"/>
              </w:rPr>
              <w:t>9.725.740</w:t>
            </w:r>
          </w:p>
        </w:tc>
        <w:tc>
          <w:tcPr>
            <w:tcW w:w="1261" w:type="dxa"/>
            <w:tcBorders>
              <w:top w:val="single" w:sz="8" w:space="0" w:color="FFFFFF"/>
              <w:left w:val="single" w:sz="8" w:space="0" w:color="FFFFFF"/>
              <w:bottom w:val="single" w:sz="8" w:space="0" w:color="FFFFFF"/>
              <w:right w:val="single" w:sz="8" w:space="0" w:color="FFFFFF"/>
            </w:tcBorders>
            <w:shd w:val="clear" w:color="auto" w:fill="B9CDE5"/>
            <w:tcMar>
              <w:top w:w="15" w:type="dxa"/>
              <w:left w:w="15" w:type="dxa"/>
              <w:bottom w:w="0" w:type="dxa"/>
              <w:right w:w="15"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Cs/>
                <w:color w:val="000000"/>
                <w:kern w:val="24"/>
                <w:sz w:val="18"/>
                <w:szCs w:val="18"/>
                <w:lang w:eastAsia="es-CL"/>
              </w:rPr>
              <w:t>91.036</w:t>
            </w:r>
          </w:p>
        </w:tc>
        <w:tc>
          <w:tcPr>
            <w:tcW w:w="1044" w:type="dxa"/>
            <w:tcBorders>
              <w:top w:val="single" w:sz="8" w:space="0" w:color="FFFFFF"/>
              <w:left w:val="single" w:sz="8" w:space="0" w:color="FFFFFF"/>
              <w:bottom w:val="single" w:sz="8" w:space="0" w:color="FFFFFF"/>
              <w:right w:val="single" w:sz="8" w:space="0" w:color="FFFFFF"/>
            </w:tcBorders>
            <w:shd w:val="clear" w:color="auto" w:fill="B9CDE5"/>
            <w:tcMar>
              <w:top w:w="15" w:type="dxa"/>
              <w:left w:w="15" w:type="dxa"/>
              <w:bottom w:w="0" w:type="dxa"/>
              <w:right w:w="15"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Cs/>
                <w:color w:val="000000"/>
                <w:kern w:val="24"/>
                <w:sz w:val="18"/>
                <w:szCs w:val="18"/>
                <w:lang w:eastAsia="es-CL"/>
              </w:rPr>
              <w:t>0,9%</w:t>
            </w:r>
          </w:p>
        </w:tc>
      </w:tr>
    </w:tbl>
    <w:p>
      <w:r>
        <w:t>(*) Gasto de Estado de Operaciones = GASTOS-(Subt.25+30+32+34+35) + Ítem25.01+Intereses y Otros Gastos Financieros de Deuda</w:t>
      </w:r>
    </w:p>
    <w:p>
      <w:pPr>
        <w:rPr>
          <w:b w:val="0"/>
        </w:rPr>
      </w:pPr>
    </w:p>
    <w:p>
      <w:pPr>
        <w:rPr>
          <w:b w:val="0"/>
        </w:rPr>
      </w:pPr>
    </w:p>
    <w:p>
      <w:pPr>
        <w:rPr>
          <w:b w:val="0"/>
        </w:rPr>
      </w:pPr>
      <w:r>
        <w:rPr>
          <w:b w:val="0"/>
        </w:rPr>
        <w:tab/>
        <w:t>Reiteró que se trata de un presupuesto de continuidad, con excepción de las transferencias en donde está incorporado el Tribunal de Contratación Pública donde se espera un aumento de un 12,4%.</w:t>
      </w:r>
    </w:p>
    <w:p>
      <w:pPr>
        <w:rPr>
          <w:b w:val="0"/>
        </w:rPr>
      </w:pPr>
    </w:p>
    <w:p>
      <w:pPr>
        <w:rPr>
          <w:b w:val="0"/>
        </w:rPr>
      </w:pPr>
    </w:p>
    <w:p>
      <w:pPr>
        <w:rPr>
          <w:b w:val="0"/>
        </w:rPr>
      </w:pPr>
      <w:r>
        <w:rPr>
          <w:b w:val="0"/>
        </w:rPr>
        <w:tab/>
        <w:t>En cuanto a la ejecución presupuestaria de esta entidad hasta la fecha, exhibió la siguiente lámina:</w:t>
      </w:r>
    </w:p>
    <w:p>
      <w:pPr>
        <w:rPr>
          <w:b w:val="0"/>
        </w:rPr>
      </w:pPr>
    </w:p>
    <w:p>
      <w:pPr>
        <w:rPr>
          <w:b w:val="0"/>
        </w:rPr>
      </w:pPr>
    </w:p>
    <w:p>
      <w:pPr>
        <w:rPr>
          <w:b w:val="0"/>
        </w:rPr>
      </w:pPr>
    </w:p>
    <w:p>
      <w:pPr>
        <w:jc w:val="center"/>
      </w:pPr>
      <w:r>
        <w:t>Ejecución Presupuestaria 2016</w:t>
      </w:r>
    </w:p>
    <w:tbl>
      <w:tblPr>
        <w:tblW w:w="8944" w:type="dxa"/>
        <w:tblCellMar>
          <w:left w:w="0" w:type="dxa"/>
          <w:right w:w="0" w:type="dxa"/>
        </w:tblCellMar>
        <w:tblLook w:val="0600" w:firstRow="0" w:lastRow="0" w:firstColumn="0" w:lastColumn="0" w:noHBand="1" w:noVBand="1"/>
      </w:tblPr>
      <w:tblGrid>
        <w:gridCol w:w="943"/>
        <w:gridCol w:w="2528"/>
        <w:gridCol w:w="925"/>
        <w:gridCol w:w="1117"/>
        <w:gridCol w:w="1327"/>
        <w:gridCol w:w="987"/>
        <w:gridCol w:w="1117"/>
      </w:tblGrid>
      <w:tr>
        <w:trPr>
          <w:trHeight w:val="872"/>
        </w:trPr>
        <w:tc>
          <w:tcPr>
            <w:tcW w:w="953" w:type="dxa"/>
            <w:vMerge w:val="restart"/>
            <w:tcBorders>
              <w:top w:val="single" w:sz="4" w:space="0" w:color="FFFFFF"/>
              <w:left w:val="single" w:sz="4" w:space="0" w:color="FFFFFF"/>
              <w:bottom w:val="single" w:sz="4" w:space="0" w:color="FFFFFF"/>
              <w:right w:val="single" w:sz="4" w:space="0" w:color="FFFFFF"/>
            </w:tcBorders>
            <w:shd w:val="clear" w:color="auto" w:fill="B8CCE4"/>
            <w:tcMar>
              <w:top w:w="13" w:type="dxa"/>
              <w:left w:w="13" w:type="dxa"/>
              <w:bottom w:w="0" w:type="dxa"/>
              <w:right w:w="13" w:type="dxa"/>
            </w:tcMar>
            <w:vAlign w:val="center"/>
            <w:hideMark/>
          </w:tcPr>
          <w:p>
            <w:pPr>
              <w:tabs>
                <w:tab w:val="clear" w:pos="2835"/>
              </w:tabs>
              <w:jc w:val="center"/>
              <w:textAlignment w:val="center"/>
              <w:rPr>
                <w:rFonts w:eastAsia="Times New Roman"/>
                <w:b w:val="0"/>
                <w:sz w:val="18"/>
                <w:szCs w:val="18"/>
                <w:lang w:eastAsia="es-CL"/>
              </w:rPr>
            </w:pPr>
            <w:r>
              <w:rPr>
                <w:rFonts w:eastAsia="Times New Roman"/>
                <w:bCs/>
                <w:color w:val="000000"/>
                <w:kern w:val="24"/>
                <w:sz w:val="18"/>
                <w:szCs w:val="18"/>
                <w:lang w:eastAsia="es-CL"/>
              </w:rPr>
              <w:t>Subtítulo</w:t>
            </w:r>
          </w:p>
        </w:tc>
        <w:tc>
          <w:tcPr>
            <w:tcW w:w="2596" w:type="dxa"/>
            <w:vMerge w:val="restart"/>
            <w:tcBorders>
              <w:top w:val="single" w:sz="4" w:space="0" w:color="FFFFFF"/>
              <w:left w:val="single" w:sz="4" w:space="0" w:color="FFFFFF"/>
              <w:bottom w:val="single" w:sz="4" w:space="0" w:color="FFFFFF"/>
              <w:right w:val="single" w:sz="4" w:space="0" w:color="FFFFFF"/>
            </w:tcBorders>
            <w:shd w:val="clear" w:color="auto" w:fill="B8CCE4"/>
            <w:tcMar>
              <w:top w:w="13" w:type="dxa"/>
              <w:left w:w="13" w:type="dxa"/>
              <w:bottom w:w="0" w:type="dxa"/>
              <w:right w:w="13" w:type="dxa"/>
            </w:tcMar>
            <w:vAlign w:val="center"/>
            <w:hideMark/>
          </w:tcPr>
          <w:p>
            <w:pPr>
              <w:tabs>
                <w:tab w:val="clear" w:pos="2835"/>
              </w:tabs>
              <w:jc w:val="center"/>
              <w:textAlignment w:val="center"/>
              <w:rPr>
                <w:rFonts w:eastAsia="Times New Roman"/>
                <w:b w:val="0"/>
                <w:sz w:val="18"/>
                <w:szCs w:val="18"/>
                <w:lang w:eastAsia="es-CL"/>
              </w:rPr>
            </w:pPr>
            <w:r>
              <w:rPr>
                <w:rFonts w:eastAsia="Times New Roman"/>
                <w:bCs/>
                <w:color w:val="000000"/>
                <w:kern w:val="24"/>
                <w:sz w:val="18"/>
                <w:szCs w:val="18"/>
                <w:lang w:eastAsia="es-CL"/>
              </w:rPr>
              <w:t>Clasificación Presupuestaria</w:t>
            </w:r>
          </w:p>
        </w:tc>
        <w:tc>
          <w:tcPr>
            <w:tcW w:w="3323" w:type="dxa"/>
            <w:gridSpan w:val="3"/>
            <w:tcBorders>
              <w:top w:val="single" w:sz="4" w:space="0" w:color="FFFFFF"/>
              <w:left w:val="single" w:sz="4" w:space="0" w:color="FFFFFF"/>
              <w:bottom w:val="single" w:sz="4" w:space="0" w:color="FFFFFF"/>
              <w:right w:val="single" w:sz="4" w:space="0" w:color="FFFFFF"/>
            </w:tcBorders>
            <w:shd w:val="clear" w:color="auto" w:fill="B8CCE4"/>
            <w:tcMar>
              <w:top w:w="13" w:type="dxa"/>
              <w:left w:w="13" w:type="dxa"/>
              <w:bottom w:w="0" w:type="dxa"/>
              <w:right w:w="13" w:type="dxa"/>
            </w:tcMar>
            <w:vAlign w:val="center"/>
            <w:hideMark/>
          </w:tcPr>
          <w:p>
            <w:pPr>
              <w:tabs>
                <w:tab w:val="clear" w:pos="2835"/>
              </w:tabs>
              <w:jc w:val="center"/>
              <w:textAlignment w:val="center"/>
              <w:rPr>
                <w:rFonts w:eastAsia="Times New Roman"/>
                <w:b w:val="0"/>
                <w:sz w:val="18"/>
                <w:szCs w:val="18"/>
                <w:lang w:eastAsia="es-CL"/>
              </w:rPr>
            </w:pPr>
            <w:r>
              <w:rPr>
                <w:rFonts w:eastAsia="Times New Roman"/>
                <w:bCs/>
                <w:color w:val="000000"/>
                <w:kern w:val="24"/>
                <w:sz w:val="18"/>
                <w:szCs w:val="18"/>
                <w:lang w:eastAsia="es-CL"/>
              </w:rPr>
              <w:t>Presupuesto año 2016</w:t>
            </w:r>
          </w:p>
        </w:tc>
        <w:tc>
          <w:tcPr>
            <w:tcW w:w="2072" w:type="dxa"/>
            <w:gridSpan w:val="2"/>
            <w:tcBorders>
              <w:top w:val="single" w:sz="4" w:space="0" w:color="FFFFFF"/>
              <w:left w:val="single" w:sz="4" w:space="0" w:color="FFFFFF"/>
              <w:bottom w:val="single" w:sz="4" w:space="0" w:color="FFFFFF"/>
              <w:right w:val="single" w:sz="4" w:space="0" w:color="FFFFFF"/>
            </w:tcBorders>
            <w:shd w:val="clear" w:color="auto" w:fill="B8CCE4"/>
            <w:tcMar>
              <w:top w:w="13" w:type="dxa"/>
              <w:left w:w="13" w:type="dxa"/>
              <w:bottom w:w="0" w:type="dxa"/>
              <w:right w:w="13" w:type="dxa"/>
            </w:tcMar>
            <w:vAlign w:val="center"/>
            <w:hideMark/>
          </w:tcPr>
          <w:p>
            <w:pPr>
              <w:tabs>
                <w:tab w:val="clear" w:pos="2835"/>
              </w:tabs>
              <w:jc w:val="center"/>
              <w:textAlignment w:val="center"/>
              <w:rPr>
                <w:rFonts w:eastAsia="Times New Roman"/>
                <w:b w:val="0"/>
                <w:sz w:val="18"/>
                <w:szCs w:val="18"/>
                <w:lang w:eastAsia="es-CL"/>
              </w:rPr>
            </w:pPr>
            <w:r>
              <w:rPr>
                <w:rFonts w:eastAsia="Times New Roman"/>
                <w:bCs/>
                <w:color w:val="000000"/>
                <w:kern w:val="24"/>
                <w:sz w:val="18"/>
                <w:szCs w:val="18"/>
                <w:lang w:eastAsia="es-CL"/>
              </w:rPr>
              <w:t>Avance Ejecución Presupuestaria a agosto 2016</w:t>
            </w:r>
          </w:p>
        </w:tc>
      </w:tr>
      <w:tr>
        <w:trPr>
          <w:trHeight w:val="1158"/>
        </w:trPr>
        <w:tc>
          <w:tcPr>
            <w:tcW w:w="0" w:type="auto"/>
            <w:vMerge/>
            <w:tcBorders>
              <w:top w:val="single" w:sz="4" w:space="0" w:color="FFFFFF"/>
              <w:left w:val="single" w:sz="4" w:space="0" w:color="FFFFFF"/>
              <w:bottom w:val="single" w:sz="4" w:space="0" w:color="FFFFFF"/>
              <w:right w:val="single" w:sz="4" w:space="0" w:color="FFFFFF"/>
            </w:tcBorders>
            <w:vAlign w:val="center"/>
            <w:hideMark/>
          </w:tcPr>
          <w:p>
            <w:pPr>
              <w:tabs>
                <w:tab w:val="clear" w:pos="2835"/>
              </w:tabs>
              <w:jc w:val="left"/>
              <w:rPr>
                <w:rFonts w:eastAsia="Times New Roman"/>
                <w:b w:val="0"/>
                <w:sz w:val="18"/>
                <w:szCs w:val="18"/>
                <w:lang w:eastAsia="es-CL"/>
              </w:rPr>
            </w:pPr>
          </w:p>
        </w:tc>
        <w:tc>
          <w:tcPr>
            <w:tcW w:w="0" w:type="auto"/>
            <w:vMerge/>
            <w:tcBorders>
              <w:top w:val="single" w:sz="4" w:space="0" w:color="FFFFFF"/>
              <w:left w:val="single" w:sz="4" w:space="0" w:color="FFFFFF"/>
              <w:bottom w:val="single" w:sz="4" w:space="0" w:color="FFFFFF"/>
              <w:right w:val="single" w:sz="4" w:space="0" w:color="FFFFFF"/>
            </w:tcBorders>
            <w:vAlign w:val="center"/>
            <w:hideMark/>
          </w:tcPr>
          <w:p>
            <w:pPr>
              <w:tabs>
                <w:tab w:val="clear" w:pos="2835"/>
              </w:tabs>
              <w:jc w:val="left"/>
              <w:rPr>
                <w:rFonts w:eastAsia="Times New Roman"/>
                <w:b w:val="0"/>
                <w:sz w:val="18"/>
                <w:szCs w:val="18"/>
                <w:lang w:eastAsia="es-CL"/>
              </w:rPr>
            </w:pPr>
          </w:p>
        </w:tc>
        <w:tc>
          <w:tcPr>
            <w:tcW w:w="933" w:type="dxa"/>
            <w:vMerge w:val="restart"/>
            <w:tcBorders>
              <w:top w:val="single" w:sz="4" w:space="0" w:color="FFFFFF"/>
              <w:left w:val="single" w:sz="4" w:space="0" w:color="FFFFFF"/>
              <w:bottom w:val="single" w:sz="4" w:space="0" w:color="FFFFFF"/>
              <w:right w:val="single" w:sz="4" w:space="0" w:color="FFFFFF"/>
            </w:tcBorders>
            <w:shd w:val="clear" w:color="auto" w:fill="B8CCE4"/>
            <w:tcMar>
              <w:top w:w="13" w:type="dxa"/>
              <w:left w:w="13" w:type="dxa"/>
              <w:bottom w:w="0" w:type="dxa"/>
              <w:right w:w="13" w:type="dxa"/>
            </w:tcMar>
            <w:vAlign w:val="center"/>
            <w:hideMark/>
          </w:tcPr>
          <w:p>
            <w:pPr>
              <w:tabs>
                <w:tab w:val="clear" w:pos="2835"/>
              </w:tabs>
              <w:jc w:val="center"/>
              <w:textAlignment w:val="center"/>
              <w:rPr>
                <w:rFonts w:eastAsia="Times New Roman"/>
                <w:b w:val="0"/>
                <w:sz w:val="18"/>
                <w:szCs w:val="18"/>
                <w:lang w:eastAsia="es-CL"/>
              </w:rPr>
            </w:pPr>
            <w:r>
              <w:rPr>
                <w:rFonts w:eastAsia="Times New Roman"/>
                <w:bCs/>
                <w:color w:val="000000"/>
                <w:kern w:val="24"/>
                <w:sz w:val="18"/>
                <w:szCs w:val="18"/>
                <w:lang w:eastAsia="es-CL"/>
              </w:rPr>
              <w:t>Ley Inicial año 2016 (1)</w:t>
            </w:r>
          </w:p>
        </w:tc>
        <w:tc>
          <w:tcPr>
            <w:tcW w:w="1096" w:type="dxa"/>
            <w:vMerge w:val="restart"/>
            <w:tcBorders>
              <w:top w:val="single" w:sz="4" w:space="0" w:color="FFFFFF"/>
              <w:left w:val="single" w:sz="4" w:space="0" w:color="FFFFFF"/>
              <w:bottom w:val="single" w:sz="4" w:space="0" w:color="FFFFFF"/>
              <w:right w:val="single" w:sz="4" w:space="0" w:color="FFFFFF"/>
            </w:tcBorders>
            <w:shd w:val="clear" w:color="auto" w:fill="B8CCE4"/>
            <w:tcMar>
              <w:top w:w="13" w:type="dxa"/>
              <w:left w:w="13" w:type="dxa"/>
              <w:bottom w:w="0" w:type="dxa"/>
              <w:right w:w="13" w:type="dxa"/>
            </w:tcMar>
            <w:vAlign w:val="center"/>
            <w:hideMark/>
          </w:tcPr>
          <w:p>
            <w:pPr>
              <w:tabs>
                <w:tab w:val="clear" w:pos="2835"/>
              </w:tabs>
              <w:jc w:val="center"/>
              <w:textAlignment w:val="center"/>
              <w:rPr>
                <w:rFonts w:eastAsia="Times New Roman"/>
                <w:b w:val="0"/>
                <w:sz w:val="18"/>
                <w:szCs w:val="18"/>
                <w:lang w:eastAsia="es-CL"/>
              </w:rPr>
            </w:pPr>
            <w:r>
              <w:rPr>
                <w:rFonts w:eastAsia="Times New Roman"/>
                <w:bCs/>
                <w:color w:val="000000"/>
                <w:kern w:val="24"/>
                <w:sz w:val="18"/>
                <w:szCs w:val="18"/>
                <w:lang w:eastAsia="es-CL"/>
              </w:rPr>
              <w:t>Presupuesto Vigente a agosto 2016 (2)</w:t>
            </w:r>
          </w:p>
        </w:tc>
        <w:tc>
          <w:tcPr>
            <w:tcW w:w="1294" w:type="dxa"/>
            <w:vMerge w:val="restart"/>
            <w:tcBorders>
              <w:top w:val="single" w:sz="4" w:space="0" w:color="FFFFFF"/>
              <w:left w:val="single" w:sz="4" w:space="0" w:color="FFFFFF"/>
              <w:bottom w:val="single" w:sz="4" w:space="0" w:color="FFFFFF"/>
              <w:right w:val="single" w:sz="4" w:space="0" w:color="FFFFFF"/>
            </w:tcBorders>
            <w:shd w:val="clear" w:color="auto" w:fill="B8CCE4"/>
            <w:tcMar>
              <w:top w:w="13" w:type="dxa"/>
              <w:left w:w="13" w:type="dxa"/>
              <w:bottom w:w="0" w:type="dxa"/>
              <w:right w:w="13" w:type="dxa"/>
            </w:tcMar>
            <w:vAlign w:val="center"/>
            <w:hideMark/>
          </w:tcPr>
          <w:p>
            <w:pPr>
              <w:tabs>
                <w:tab w:val="clear" w:pos="2835"/>
              </w:tabs>
              <w:jc w:val="center"/>
              <w:textAlignment w:val="center"/>
              <w:rPr>
                <w:rFonts w:eastAsia="Times New Roman"/>
                <w:b w:val="0"/>
                <w:sz w:val="18"/>
                <w:szCs w:val="18"/>
                <w:lang w:eastAsia="es-CL"/>
              </w:rPr>
            </w:pPr>
            <w:r>
              <w:rPr>
                <w:rFonts w:eastAsia="Times New Roman"/>
                <w:bCs/>
                <w:color w:val="000000"/>
                <w:kern w:val="24"/>
                <w:sz w:val="18"/>
                <w:szCs w:val="18"/>
                <w:lang w:eastAsia="es-CL"/>
              </w:rPr>
              <w:t>Ejecución Presupuestaria a agosto 2016 (3)</w:t>
            </w:r>
          </w:p>
        </w:tc>
        <w:tc>
          <w:tcPr>
            <w:tcW w:w="982" w:type="dxa"/>
            <w:tcBorders>
              <w:top w:val="single" w:sz="4" w:space="0" w:color="FFFFFF"/>
              <w:left w:val="single" w:sz="4" w:space="0" w:color="FFFFFF"/>
              <w:bottom w:val="single" w:sz="4" w:space="0" w:color="FFFFFF"/>
              <w:right w:val="single" w:sz="4" w:space="0" w:color="FFFFFF"/>
            </w:tcBorders>
            <w:shd w:val="clear" w:color="auto" w:fill="B8CCE4"/>
            <w:tcMar>
              <w:top w:w="13" w:type="dxa"/>
              <w:left w:w="13" w:type="dxa"/>
              <w:bottom w:w="0" w:type="dxa"/>
              <w:right w:w="13" w:type="dxa"/>
            </w:tcMar>
            <w:vAlign w:val="center"/>
            <w:hideMark/>
          </w:tcPr>
          <w:p>
            <w:pPr>
              <w:tabs>
                <w:tab w:val="clear" w:pos="2835"/>
              </w:tabs>
              <w:jc w:val="center"/>
              <w:textAlignment w:val="center"/>
              <w:rPr>
                <w:rFonts w:eastAsia="Times New Roman"/>
                <w:b w:val="0"/>
                <w:sz w:val="18"/>
                <w:szCs w:val="18"/>
                <w:lang w:eastAsia="es-CL"/>
              </w:rPr>
            </w:pPr>
            <w:r>
              <w:rPr>
                <w:rFonts w:eastAsia="Times New Roman"/>
                <w:bCs/>
                <w:color w:val="000000"/>
                <w:kern w:val="24"/>
                <w:sz w:val="18"/>
                <w:szCs w:val="18"/>
                <w:lang w:eastAsia="es-CL"/>
              </w:rPr>
              <w:t>En relación con Ley Inicial</w:t>
            </w:r>
          </w:p>
        </w:tc>
        <w:tc>
          <w:tcPr>
            <w:tcW w:w="1090" w:type="dxa"/>
            <w:tcBorders>
              <w:top w:val="single" w:sz="4" w:space="0" w:color="FFFFFF"/>
              <w:left w:val="single" w:sz="4" w:space="0" w:color="FFFFFF"/>
              <w:bottom w:val="single" w:sz="4" w:space="0" w:color="FFFFFF"/>
              <w:right w:val="single" w:sz="4" w:space="0" w:color="FFFFFF"/>
            </w:tcBorders>
            <w:shd w:val="clear" w:color="auto" w:fill="B8CCE4"/>
            <w:tcMar>
              <w:top w:w="13" w:type="dxa"/>
              <w:left w:w="13" w:type="dxa"/>
              <w:bottom w:w="0" w:type="dxa"/>
              <w:right w:w="13" w:type="dxa"/>
            </w:tcMar>
            <w:vAlign w:val="center"/>
            <w:hideMark/>
          </w:tcPr>
          <w:p>
            <w:pPr>
              <w:tabs>
                <w:tab w:val="clear" w:pos="2835"/>
              </w:tabs>
              <w:jc w:val="center"/>
              <w:textAlignment w:val="center"/>
              <w:rPr>
                <w:rFonts w:eastAsia="Times New Roman"/>
                <w:b w:val="0"/>
                <w:sz w:val="18"/>
                <w:szCs w:val="18"/>
                <w:lang w:eastAsia="es-CL"/>
              </w:rPr>
            </w:pPr>
            <w:r>
              <w:rPr>
                <w:rFonts w:eastAsia="Times New Roman"/>
                <w:bCs/>
                <w:color w:val="000000"/>
                <w:kern w:val="24"/>
                <w:sz w:val="18"/>
                <w:szCs w:val="18"/>
                <w:lang w:eastAsia="es-CL"/>
              </w:rPr>
              <w:t>En relación con Presupuesto Vigente</w:t>
            </w:r>
          </w:p>
        </w:tc>
      </w:tr>
      <w:tr>
        <w:trPr>
          <w:trHeight w:val="340"/>
        </w:trPr>
        <w:tc>
          <w:tcPr>
            <w:tcW w:w="0" w:type="auto"/>
            <w:vMerge/>
            <w:tcBorders>
              <w:top w:val="single" w:sz="4" w:space="0" w:color="FFFFFF"/>
              <w:left w:val="single" w:sz="4" w:space="0" w:color="FFFFFF"/>
              <w:bottom w:val="single" w:sz="4" w:space="0" w:color="FFFFFF"/>
              <w:right w:val="single" w:sz="4" w:space="0" w:color="FFFFFF"/>
            </w:tcBorders>
            <w:vAlign w:val="center"/>
            <w:hideMark/>
          </w:tcPr>
          <w:p>
            <w:pPr>
              <w:tabs>
                <w:tab w:val="clear" w:pos="2835"/>
              </w:tabs>
              <w:jc w:val="left"/>
              <w:rPr>
                <w:rFonts w:eastAsia="Times New Roman"/>
                <w:b w:val="0"/>
                <w:sz w:val="18"/>
                <w:szCs w:val="18"/>
                <w:lang w:eastAsia="es-CL"/>
              </w:rPr>
            </w:pPr>
          </w:p>
        </w:tc>
        <w:tc>
          <w:tcPr>
            <w:tcW w:w="0" w:type="auto"/>
            <w:vMerge/>
            <w:tcBorders>
              <w:top w:val="single" w:sz="4" w:space="0" w:color="FFFFFF"/>
              <w:left w:val="single" w:sz="4" w:space="0" w:color="FFFFFF"/>
              <w:bottom w:val="single" w:sz="4" w:space="0" w:color="FFFFFF"/>
              <w:right w:val="single" w:sz="4" w:space="0" w:color="FFFFFF"/>
            </w:tcBorders>
            <w:vAlign w:val="center"/>
            <w:hideMark/>
          </w:tcPr>
          <w:p>
            <w:pPr>
              <w:tabs>
                <w:tab w:val="clear" w:pos="2835"/>
              </w:tabs>
              <w:jc w:val="left"/>
              <w:rPr>
                <w:rFonts w:eastAsia="Times New Roman"/>
                <w:b w:val="0"/>
                <w:sz w:val="18"/>
                <w:szCs w:val="18"/>
                <w:lang w:eastAsia="es-CL"/>
              </w:rPr>
            </w:pPr>
          </w:p>
        </w:tc>
        <w:tc>
          <w:tcPr>
            <w:tcW w:w="0" w:type="auto"/>
            <w:vMerge/>
            <w:tcBorders>
              <w:top w:val="single" w:sz="4" w:space="0" w:color="FFFFFF"/>
              <w:left w:val="single" w:sz="4" w:space="0" w:color="FFFFFF"/>
              <w:bottom w:val="single" w:sz="4" w:space="0" w:color="FFFFFF"/>
              <w:right w:val="single" w:sz="4" w:space="0" w:color="FFFFFF"/>
            </w:tcBorders>
            <w:vAlign w:val="center"/>
            <w:hideMark/>
          </w:tcPr>
          <w:p>
            <w:pPr>
              <w:tabs>
                <w:tab w:val="clear" w:pos="2835"/>
              </w:tabs>
              <w:jc w:val="left"/>
              <w:rPr>
                <w:rFonts w:eastAsia="Times New Roman"/>
                <w:b w:val="0"/>
                <w:sz w:val="18"/>
                <w:szCs w:val="18"/>
                <w:lang w:eastAsia="es-CL"/>
              </w:rPr>
            </w:pPr>
          </w:p>
        </w:tc>
        <w:tc>
          <w:tcPr>
            <w:tcW w:w="0" w:type="auto"/>
            <w:vMerge/>
            <w:tcBorders>
              <w:top w:val="single" w:sz="4" w:space="0" w:color="FFFFFF"/>
              <w:left w:val="single" w:sz="4" w:space="0" w:color="FFFFFF"/>
              <w:bottom w:val="single" w:sz="4" w:space="0" w:color="FFFFFF"/>
              <w:right w:val="single" w:sz="4" w:space="0" w:color="FFFFFF"/>
            </w:tcBorders>
            <w:vAlign w:val="center"/>
            <w:hideMark/>
          </w:tcPr>
          <w:p>
            <w:pPr>
              <w:tabs>
                <w:tab w:val="clear" w:pos="2835"/>
              </w:tabs>
              <w:jc w:val="left"/>
              <w:rPr>
                <w:rFonts w:eastAsia="Times New Roman"/>
                <w:b w:val="0"/>
                <w:sz w:val="18"/>
                <w:szCs w:val="18"/>
                <w:lang w:eastAsia="es-CL"/>
              </w:rPr>
            </w:pPr>
          </w:p>
        </w:tc>
        <w:tc>
          <w:tcPr>
            <w:tcW w:w="0" w:type="auto"/>
            <w:vMerge/>
            <w:tcBorders>
              <w:top w:val="single" w:sz="4" w:space="0" w:color="FFFFFF"/>
              <w:left w:val="single" w:sz="4" w:space="0" w:color="FFFFFF"/>
              <w:bottom w:val="single" w:sz="4" w:space="0" w:color="FFFFFF"/>
              <w:right w:val="single" w:sz="4" w:space="0" w:color="FFFFFF"/>
            </w:tcBorders>
            <w:vAlign w:val="center"/>
            <w:hideMark/>
          </w:tcPr>
          <w:p>
            <w:pPr>
              <w:tabs>
                <w:tab w:val="clear" w:pos="2835"/>
              </w:tabs>
              <w:jc w:val="left"/>
              <w:rPr>
                <w:rFonts w:eastAsia="Times New Roman"/>
                <w:b w:val="0"/>
                <w:sz w:val="18"/>
                <w:szCs w:val="18"/>
                <w:lang w:eastAsia="es-CL"/>
              </w:rPr>
            </w:pPr>
          </w:p>
        </w:tc>
        <w:tc>
          <w:tcPr>
            <w:tcW w:w="982" w:type="dxa"/>
            <w:tcBorders>
              <w:top w:val="single" w:sz="4" w:space="0" w:color="FFFFFF"/>
              <w:left w:val="single" w:sz="4" w:space="0" w:color="FFFFFF"/>
              <w:bottom w:val="single" w:sz="4" w:space="0" w:color="FFFFFF"/>
              <w:right w:val="single" w:sz="4" w:space="0" w:color="FFFFFF"/>
            </w:tcBorders>
            <w:shd w:val="clear" w:color="auto" w:fill="B8CCE4"/>
            <w:tcMar>
              <w:top w:w="13" w:type="dxa"/>
              <w:left w:w="13" w:type="dxa"/>
              <w:bottom w:w="0" w:type="dxa"/>
              <w:right w:w="13" w:type="dxa"/>
            </w:tcMar>
            <w:vAlign w:val="center"/>
            <w:hideMark/>
          </w:tcPr>
          <w:p>
            <w:pPr>
              <w:tabs>
                <w:tab w:val="clear" w:pos="2835"/>
              </w:tabs>
              <w:jc w:val="center"/>
              <w:textAlignment w:val="center"/>
              <w:rPr>
                <w:rFonts w:eastAsia="Times New Roman"/>
                <w:b w:val="0"/>
                <w:sz w:val="18"/>
                <w:szCs w:val="18"/>
                <w:lang w:eastAsia="es-CL"/>
              </w:rPr>
            </w:pPr>
            <w:r>
              <w:rPr>
                <w:rFonts w:eastAsia="Times New Roman"/>
                <w:bCs/>
                <w:color w:val="000000"/>
                <w:kern w:val="24"/>
                <w:sz w:val="18"/>
                <w:szCs w:val="18"/>
                <w:lang w:eastAsia="es-CL"/>
              </w:rPr>
              <w:t>% (3)/(1)</w:t>
            </w:r>
          </w:p>
        </w:tc>
        <w:tc>
          <w:tcPr>
            <w:tcW w:w="1090" w:type="dxa"/>
            <w:tcBorders>
              <w:top w:val="single" w:sz="4" w:space="0" w:color="FFFFFF"/>
              <w:left w:val="single" w:sz="4" w:space="0" w:color="FFFFFF"/>
              <w:bottom w:val="single" w:sz="4" w:space="0" w:color="FFFFFF"/>
              <w:right w:val="single" w:sz="4" w:space="0" w:color="FFFFFF"/>
            </w:tcBorders>
            <w:shd w:val="clear" w:color="auto" w:fill="B8CCE4"/>
            <w:tcMar>
              <w:top w:w="13" w:type="dxa"/>
              <w:left w:w="13" w:type="dxa"/>
              <w:bottom w:w="0" w:type="dxa"/>
              <w:right w:w="13" w:type="dxa"/>
            </w:tcMar>
            <w:vAlign w:val="center"/>
            <w:hideMark/>
          </w:tcPr>
          <w:p>
            <w:pPr>
              <w:tabs>
                <w:tab w:val="clear" w:pos="2835"/>
              </w:tabs>
              <w:jc w:val="center"/>
              <w:textAlignment w:val="center"/>
              <w:rPr>
                <w:rFonts w:eastAsia="Times New Roman"/>
                <w:b w:val="0"/>
                <w:sz w:val="18"/>
                <w:szCs w:val="18"/>
                <w:lang w:eastAsia="es-CL"/>
              </w:rPr>
            </w:pPr>
            <w:r>
              <w:rPr>
                <w:rFonts w:eastAsia="Times New Roman"/>
                <w:bCs/>
                <w:color w:val="000000"/>
                <w:kern w:val="24"/>
                <w:sz w:val="18"/>
                <w:szCs w:val="18"/>
                <w:lang w:eastAsia="es-CL"/>
              </w:rPr>
              <w:t>% (3)/(2)</w:t>
            </w:r>
          </w:p>
        </w:tc>
      </w:tr>
      <w:tr>
        <w:trPr>
          <w:trHeight w:val="618"/>
        </w:trPr>
        <w:tc>
          <w:tcPr>
            <w:tcW w:w="953" w:type="dxa"/>
            <w:tcBorders>
              <w:top w:val="single" w:sz="4" w:space="0" w:color="FFFFFF"/>
              <w:left w:val="single" w:sz="4" w:space="0" w:color="FFFFFF"/>
              <w:bottom w:val="single" w:sz="4" w:space="0" w:color="FFFFFF"/>
              <w:right w:val="single" w:sz="4" w:space="0" w:color="FFFFFF"/>
            </w:tcBorders>
            <w:shd w:val="clear" w:color="auto" w:fill="DCE6F1"/>
            <w:tcMar>
              <w:top w:w="13" w:type="dxa"/>
              <w:left w:w="13" w:type="dxa"/>
              <w:bottom w:w="0" w:type="dxa"/>
              <w:right w:w="13" w:type="dxa"/>
            </w:tcMar>
            <w:vAlign w:val="bottom"/>
            <w:hideMark/>
          </w:tcPr>
          <w:p>
            <w:pPr>
              <w:tabs>
                <w:tab w:val="clear" w:pos="2835"/>
              </w:tabs>
              <w:jc w:val="left"/>
              <w:textAlignment w:val="bottom"/>
              <w:rPr>
                <w:rFonts w:eastAsia="Times New Roman"/>
                <w:b w:val="0"/>
                <w:sz w:val="18"/>
                <w:szCs w:val="18"/>
                <w:lang w:eastAsia="es-CL"/>
              </w:rPr>
            </w:pPr>
            <w:r>
              <w:rPr>
                <w:rFonts w:eastAsia="Times New Roman"/>
                <w:bCs/>
                <w:color w:val="000000"/>
                <w:kern w:val="24"/>
                <w:sz w:val="18"/>
                <w:szCs w:val="18"/>
                <w:lang w:eastAsia="es-CL"/>
              </w:rPr>
              <w:t> </w:t>
            </w:r>
          </w:p>
        </w:tc>
        <w:tc>
          <w:tcPr>
            <w:tcW w:w="2596" w:type="dxa"/>
            <w:tcBorders>
              <w:top w:val="single" w:sz="4" w:space="0" w:color="FFFFFF"/>
              <w:left w:val="single" w:sz="4" w:space="0" w:color="FFFFFF"/>
              <w:bottom w:val="single" w:sz="4" w:space="0" w:color="FFFFFF"/>
              <w:right w:val="single" w:sz="4" w:space="0" w:color="FFFFFF"/>
            </w:tcBorders>
            <w:shd w:val="clear" w:color="auto" w:fill="DCE6F1"/>
            <w:tcMar>
              <w:top w:w="13" w:type="dxa"/>
              <w:left w:w="13" w:type="dxa"/>
              <w:bottom w:w="0" w:type="dxa"/>
              <w:right w:w="13" w:type="dxa"/>
            </w:tcMar>
            <w:vAlign w:val="bottom"/>
            <w:hideMark/>
          </w:tcPr>
          <w:p>
            <w:pPr>
              <w:tabs>
                <w:tab w:val="clear" w:pos="2835"/>
              </w:tabs>
              <w:jc w:val="left"/>
              <w:textAlignment w:val="bottom"/>
              <w:rPr>
                <w:rFonts w:eastAsia="Times New Roman"/>
                <w:b w:val="0"/>
                <w:sz w:val="18"/>
                <w:szCs w:val="18"/>
                <w:lang w:eastAsia="es-CL"/>
              </w:rPr>
            </w:pPr>
            <w:r>
              <w:rPr>
                <w:rFonts w:eastAsia="Times New Roman"/>
                <w:bCs/>
                <w:color w:val="000000"/>
                <w:kern w:val="24"/>
                <w:sz w:val="18"/>
                <w:szCs w:val="18"/>
                <w:lang w:eastAsia="es-CL"/>
              </w:rPr>
              <w:t>GASTOS</w:t>
            </w:r>
          </w:p>
        </w:tc>
        <w:tc>
          <w:tcPr>
            <w:tcW w:w="933" w:type="dxa"/>
            <w:tcBorders>
              <w:top w:val="single" w:sz="4" w:space="0" w:color="FFFFFF"/>
              <w:left w:val="single" w:sz="4" w:space="0" w:color="FFFFFF"/>
              <w:bottom w:val="single" w:sz="4" w:space="0" w:color="FFFFFF"/>
              <w:right w:val="single" w:sz="4" w:space="0" w:color="FFFFFF"/>
            </w:tcBorders>
            <w:shd w:val="clear" w:color="auto" w:fill="DCE6F1"/>
            <w:tcMar>
              <w:top w:w="13" w:type="dxa"/>
              <w:left w:w="13" w:type="dxa"/>
              <w:bottom w:w="0" w:type="dxa"/>
              <w:right w:w="13" w:type="dxa"/>
            </w:tcMar>
            <w:vAlign w:val="bottom"/>
            <w:hideMark/>
          </w:tcPr>
          <w:p>
            <w:pPr>
              <w:tabs>
                <w:tab w:val="clear" w:pos="2835"/>
              </w:tabs>
              <w:jc w:val="right"/>
              <w:textAlignment w:val="bottom"/>
              <w:rPr>
                <w:rFonts w:eastAsia="Times New Roman"/>
                <w:b w:val="0"/>
                <w:sz w:val="18"/>
                <w:szCs w:val="18"/>
                <w:lang w:eastAsia="es-CL"/>
              </w:rPr>
            </w:pPr>
            <w:r>
              <w:rPr>
                <w:rFonts w:eastAsia="Times New Roman"/>
                <w:bCs/>
                <w:color w:val="000000"/>
                <w:kern w:val="24"/>
                <w:sz w:val="18"/>
                <w:szCs w:val="18"/>
                <w:lang w:eastAsia="es-CL"/>
              </w:rPr>
              <w:t xml:space="preserve">           9.368.864 </w:t>
            </w:r>
          </w:p>
        </w:tc>
        <w:tc>
          <w:tcPr>
            <w:tcW w:w="1096" w:type="dxa"/>
            <w:tcBorders>
              <w:top w:val="single" w:sz="4" w:space="0" w:color="FFFFFF"/>
              <w:left w:val="single" w:sz="4" w:space="0" w:color="FFFFFF"/>
              <w:bottom w:val="single" w:sz="4" w:space="0" w:color="FFFFFF"/>
              <w:right w:val="single" w:sz="4" w:space="0" w:color="FFFFFF"/>
            </w:tcBorders>
            <w:shd w:val="clear" w:color="auto" w:fill="DCE6F1"/>
            <w:tcMar>
              <w:top w:w="13" w:type="dxa"/>
              <w:left w:w="13" w:type="dxa"/>
              <w:bottom w:w="0" w:type="dxa"/>
              <w:right w:w="13" w:type="dxa"/>
            </w:tcMar>
            <w:vAlign w:val="bottom"/>
            <w:hideMark/>
          </w:tcPr>
          <w:p>
            <w:pPr>
              <w:tabs>
                <w:tab w:val="clear" w:pos="2835"/>
              </w:tabs>
              <w:jc w:val="right"/>
              <w:textAlignment w:val="bottom"/>
              <w:rPr>
                <w:rFonts w:eastAsia="Times New Roman"/>
                <w:b w:val="0"/>
                <w:sz w:val="18"/>
                <w:szCs w:val="18"/>
                <w:lang w:eastAsia="es-CL"/>
              </w:rPr>
            </w:pPr>
            <w:r>
              <w:rPr>
                <w:rFonts w:eastAsia="Times New Roman"/>
                <w:bCs/>
                <w:color w:val="000000"/>
                <w:kern w:val="24"/>
                <w:sz w:val="18"/>
                <w:szCs w:val="18"/>
                <w:lang w:eastAsia="es-CL"/>
              </w:rPr>
              <w:t xml:space="preserve">          10.414.651 </w:t>
            </w:r>
          </w:p>
        </w:tc>
        <w:tc>
          <w:tcPr>
            <w:tcW w:w="1294" w:type="dxa"/>
            <w:tcBorders>
              <w:top w:val="single" w:sz="4" w:space="0" w:color="FFFFFF"/>
              <w:left w:val="single" w:sz="4" w:space="0" w:color="FFFFFF"/>
              <w:bottom w:val="single" w:sz="4" w:space="0" w:color="FFFFFF"/>
              <w:right w:val="single" w:sz="4" w:space="0" w:color="FFFFFF"/>
            </w:tcBorders>
            <w:shd w:val="clear" w:color="auto" w:fill="DCE6F1"/>
            <w:tcMar>
              <w:top w:w="13" w:type="dxa"/>
              <w:left w:w="13" w:type="dxa"/>
              <w:bottom w:w="0" w:type="dxa"/>
              <w:right w:w="13" w:type="dxa"/>
            </w:tcMar>
            <w:vAlign w:val="bottom"/>
            <w:hideMark/>
          </w:tcPr>
          <w:p>
            <w:pPr>
              <w:tabs>
                <w:tab w:val="clear" w:pos="2835"/>
              </w:tabs>
              <w:jc w:val="right"/>
              <w:textAlignment w:val="bottom"/>
              <w:rPr>
                <w:rFonts w:eastAsia="Times New Roman"/>
                <w:b w:val="0"/>
                <w:sz w:val="18"/>
                <w:szCs w:val="18"/>
                <w:lang w:eastAsia="es-CL"/>
              </w:rPr>
            </w:pPr>
            <w:r>
              <w:rPr>
                <w:rFonts w:eastAsia="Times New Roman"/>
                <w:bCs/>
                <w:color w:val="000000"/>
                <w:kern w:val="24"/>
                <w:sz w:val="18"/>
                <w:szCs w:val="18"/>
                <w:lang w:eastAsia="es-CL"/>
              </w:rPr>
              <w:t xml:space="preserve">                  6.235.358 </w:t>
            </w:r>
          </w:p>
        </w:tc>
        <w:tc>
          <w:tcPr>
            <w:tcW w:w="982" w:type="dxa"/>
            <w:tcBorders>
              <w:top w:val="single" w:sz="4" w:space="0" w:color="FFFFFF"/>
              <w:left w:val="single" w:sz="4" w:space="0" w:color="FFFFFF"/>
              <w:bottom w:val="single" w:sz="4" w:space="0" w:color="FFFFFF"/>
              <w:right w:val="single" w:sz="4" w:space="0" w:color="FFFFFF"/>
            </w:tcBorders>
            <w:shd w:val="clear" w:color="auto" w:fill="DCE6F1"/>
            <w:tcMar>
              <w:top w:w="13" w:type="dxa"/>
              <w:left w:w="13" w:type="dxa"/>
              <w:bottom w:w="0" w:type="dxa"/>
              <w:right w:w="13" w:type="dxa"/>
            </w:tcMar>
            <w:vAlign w:val="bottom"/>
            <w:hideMark/>
          </w:tcPr>
          <w:p>
            <w:pPr>
              <w:tabs>
                <w:tab w:val="clear" w:pos="2835"/>
              </w:tabs>
              <w:jc w:val="center"/>
              <w:textAlignment w:val="bottom"/>
              <w:rPr>
                <w:rFonts w:eastAsia="Times New Roman"/>
                <w:b w:val="0"/>
                <w:sz w:val="18"/>
                <w:szCs w:val="18"/>
                <w:lang w:eastAsia="es-CL"/>
              </w:rPr>
            </w:pPr>
            <w:r>
              <w:rPr>
                <w:rFonts w:eastAsia="Times New Roman"/>
                <w:bCs/>
                <w:color w:val="000000"/>
                <w:kern w:val="24"/>
                <w:sz w:val="18"/>
                <w:szCs w:val="18"/>
                <w:lang w:eastAsia="es-CL"/>
              </w:rPr>
              <w:t>66,6%</w:t>
            </w:r>
          </w:p>
        </w:tc>
        <w:tc>
          <w:tcPr>
            <w:tcW w:w="1090" w:type="dxa"/>
            <w:tcBorders>
              <w:top w:val="single" w:sz="4" w:space="0" w:color="FFFFFF"/>
              <w:left w:val="single" w:sz="4" w:space="0" w:color="FFFFFF"/>
              <w:bottom w:val="single" w:sz="4" w:space="0" w:color="FFFFFF"/>
              <w:right w:val="single" w:sz="4" w:space="0" w:color="FFFFFF"/>
            </w:tcBorders>
            <w:shd w:val="clear" w:color="auto" w:fill="DCE6F1"/>
            <w:tcMar>
              <w:top w:w="13" w:type="dxa"/>
              <w:left w:w="13" w:type="dxa"/>
              <w:bottom w:w="0" w:type="dxa"/>
              <w:right w:w="13" w:type="dxa"/>
            </w:tcMar>
            <w:vAlign w:val="bottom"/>
            <w:hideMark/>
          </w:tcPr>
          <w:p>
            <w:pPr>
              <w:tabs>
                <w:tab w:val="clear" w:pos="2835"/>
              </w:tabs>
              <w:jc w:val="center"/>
              <w:textAlignment w:val="bottom"/>
              <w:rPr>
                <w:rFonts w:eastAsia="Times New Roman"/>
                <w:b w:val="0"/>
                <w:sz w:val="18"/>
                <w:szCs w:val="18"/>
                <w:lang w:eastAsia="es-CL"/>
              </w:rPr>
            </w:pPr>
            <w:r>
              <w:rPr>
                <w:rFonts w:eastAsia="Times New Roman"/>
                <w:bCs/>
                <w:color w:val="000000"/>
                <w:kern w:val="24"/>
                <w:sz w:val="18"/>
                <w:szCs w:val="18"/>
                <w:lang w:eastAsia="es-CL"/>
              </w:rPr>
              <w:t>59,9%</w:t>
            </w:r>
          </w:p>
        </w:tc>
      </w:tr>
      <w:tr>
        <w:trPr>
          <w:trHeight w:val="618"/>
        </w:trPr>
        <w:tc>
          <w:tcPr>
            <w:tcW w:w="953" w:type="dxa"/>
            <w:tcBorders>
              <w:top w:val="single" w:sz="4" w:space="0" w:color="FFFFFF"/>
              <w:left w:val="single" w:sz="4" w:space="0" w:color="FFFFFF"/>
              <w:bottom w:val="single" w:sz="4" w:space="0" w:color="FFFFFF"/>
              <w:right w:val="single" w:sz="4" w:space="0" w:color="FFFFFF"/>
            </w:tcBorders>
            <w:shd w:val="clear" w:color="auto" w:fill="DCE6F1"/>
            <w:tcMar>
              <w:top w:w="13" w:type="dxa"/>
              <w:left w:w="13" w:type="dxa"/>
              <w:bottom w:w="0" w:type="dxa"/>
              <w:right w:w="13" w:type="dxa"/>
            </w:tcMar>
            <w:vAlign w:val="bottom"/>
            <w:hideMark/>
          </w:tcPr>
          <w:p>
            <w:pPr>
              <w:tabs>
                <w:tab w:val="clear" w:pos="2835"/>
              </w:tabs>
              <w:jc w:val="center"/>
              <w:textAlignment w:val="bottom"/>
              <w:rPr>
                <w:rFonts w:eastAsia="Times New Roman"/>
                <w:b w:val="0"/>
                <w:sz w:val="18"/>
                <w:szCs w:val="18"/>
                <w:lang w:eastAsia="es-CL"/>
              </w:rPr>
            </w:pPr>
            <w:r>
              <w:rPr>
                <w:rFonts w:eastAsia="Times New Roman"/>
                <w:b w:val="0"/>
                <w:color w:val="000000"/>
                <w:kern w:val="24"/>
                <w:sz w:val="18"/>
                <w:szCs w:val="18"/>
                <w:lang w:eastAsia="es-CL"/>
              </w:rPr>
              <w:t>21</w:t>
            </w:r>
          </w:p>
        </w:tc>
        <w:tc>
          <w:tcPr>
            <w:tcW w:w="2596" w:type="dxa"/>
            <w:tcBorders>
              <w:top w:val="single" w:sz="4" w:space="0" w:color="FFFFFF"/>
              <w:left w:val="single" w:sz="4" w:space="0" w:color="FFFFFF"/>
              <w:bottom w:val="single" w:sz="4" w:space="0" w:color="FFFFFF"/>
              <w:right w:val="single" w:sz="4" w:space="0" w:color="FFFFFF"/>
            </w:tcBorders>
            <w:shd w:val="clear" w:color="auto" w:fill="DCE6F1"/>
            <w:tcMar>
              <w:top w:w="13" w:type="dxa"/>
              <w:left w:w="13" w:type="dxa"/>
              <w:bottom w:w="0" w:type="dxa"/>
              <w:right w:w="13" w:type="dxa"/>
            </w:tcMar>
            <w:vAlign w:val="bottom"/>
            <w:hideMark/>
          </w:tcPr>
          <w:p>
            <w:pPr>
              <w:tabs>
                <w:tab w:val="clear" w:pos="2835"/>
              </w:tabs>
              <w:jc w:val="left"/>
              <w:textAlignment w:val="bottom"/>
              <w:rPr>
                <w:rFonts w:eastAsia="Times New Roman"/>
                <w:b w:val="0"/>
                <w:sz w:val="18"/>
                <w:szCs w:val="18"/>
                <w:lang w:eastAsia="es-CL"/>
              </w:rPr>
            </w:pPr>
            <w:r>
              <w:rPr>
                <w:rFonts w:eastAsia="Times New Roman"/>
                <w:b w:val="0"/>
                <w:color w:val="000000"/>
                <w:kern w:val="24"/>
                <w:sz w:val="18"/>
                <w:szCs w:val="18"/>
                <w:lang w:eastAsia="es-CL"/>
              </w:rPr>
              <w:t>GASTOS EN PERSONAL</w:t>
            </w:r>
          </w:p>
        </w:tc>
        <w:tc>
          <w:tcPr>
            <w:tcW w:w="933" w:type="dxa"/>
            <w:tcBorders>
              <w:top w:val="single" w:sz="4" w:space="0" w:color="FFFFFF"/>
              <w:left w:val="single" w:sz="4" w:space="0" w:color="FFFFFF"/>
              <w:bottom w:val="single" w:sz="4" w:space="0" w:color="FFFFFF"/>
              <w:right w:val="single" w:sz="4" w:space="0" w:color="FFFFFF"/>
            </w:tcBorders>
            <w:shd w:val="clear" w:color="auto" w:fill="DCE6F1"/>
            <w:tcMar>
              <w:top w:w="13" w:type="dxa"/>
              <w:left w:w="13" w:type="dxa"/>
              <w:bottom w:w="0" w:type="dxa"/>
              <w:right w:w="13" w:type="dxa"/>
            </w:tcMar>
            <w:vAlign w:val="bottom"/>
            <w:hideMark/>
          </w:tcPr>
          <w:p>
            <w:pPr>
              <w:tabs>
                <w:tab w:val="clear" w:pos="2835"/>
              </w:tabs>
              <w:jc w:val="right"/>
              <w:textAlignment w:val="bottom"/>
              <w:rPr>
                <w:rFonts w:eastAsia="Times New Roman"/>
                <w:b w:val="0"/>
                <w:sz w:val="18"/>
                <w:szCs w:val="18"/>
                <w:lang w:eastAsia="es-CL"/>
              </w:rPr>
            </w:pPr>
            <w:r>
              <w:rPr>
                <w:rFonts w:eastAsia="Times New Roman"/>
                <w:b w:val="0"/>
                <w:color w:val="000000"/>
                <w:kern w:val="24"/>
                <w:sz w:val="18"/>
                <w:szCs w:val="18"/>
                <w:lang w:eastAsia="es-CL"/>
              </w:rPr>
              <w:t xml:space="preserve">           4.237.367 </w:t>
            </w:r>
          </w:p>
        </w:tc>
        <w:tc>
          <w:tcPr>
            <w:tcW w:w="1096" w:type="dxa"/>
            <w:tcBorders>
              <w:top w:val="single" w:sz="4" w:space="0" w:color="FFFFFF"/>
              <w:left w:val="single" w:sz="4" w:space="0" w:color="FFFFFF"/>
              <w:bottom w:val="single" w:sz="4" w:space="0" w:color="FFFFFF"/>
              <w:right w:val="single" w:sz="4" w:space="0" w:color="FFFFFF"/>
            </w:tcBorders>
            <w:shd w:val="clear" w:color="auto" w:fill="DCE6F1"/>
            <w:tcMar>
              <w:top w:w="13" w:type="dxa"/>
              <w:left w:w="13" w:type="dxa"/>
              <w:bottom w:w="0" w:type="dxa"/>
              <w:right w:w="13" w:type="dxa"/>
            </w:tcMar>
            <w:vAlign w:val="bottom"/>
            <w:hideMark/>
          </w:tcPr>
          <w:p>
            <w:pPr>
              <w:tabs>
                <w:tab w:val="clear" w:pos="2835"/>
              </w:tabs>
              <w:jc w:val="right"/>
              <w:textAlignment w:val="bottom"/>
              <w:rPr>
                <w:rFonts w:eastAsia="Times New Roman"/>
                <w:b w:val="0"/>
                <w:sz w:val="18"/>
                <w:szCs w:val="18"/>
                <w:lang w:eastAsia="es-CL"/>
              </w:rPr>
            </w:pPr>
            <w:r>
              <w:rPr>
                <w:rFonts w:eastAsia="Times New Roman"/>
                <w:b w:val="0"/>
                <w:color w:val="000000"/>
                <w:kern w:val="24"/>
                <w:sz w:val="18"/>
                <w:szCs w:val="18"/>
                <w:lang w:eastAsia="es-CL"/>
              </w:rPr>
              <w:t xml:space="preserve">             4.230.367 </w:t>
            </w:r>
          </w:p>
        </w:tc>
        <w:tc>
          <w:tcPr>
            <w:tcW w:w="1294" w:type="dxa"/>
            <w:tcBorders>
              <w:top w:val="single" w:sz="4" w:space="0" w:color="FFFFFF"/>
              <w:left w:val="single" w:sz="4" w:space="0" w:color="FFFFFF"/>
              <w:bottom w:val="single" w:sz="4" w:space="0" w:color="FFFFFF"/>
              <w:right w:val="single" w:sz="4" w:space="0" w:color="FFFFFF"/>
            </w:tcBorders>
            <w:shd w:val="clear" w:color="auto" w:fill="DCE6F1"/>
            <w:tcMar>
              <w:top w:w="13" w:type="dxa"/>
              <w:left w:w="13" w:type="dxa"/>
              <w:bottom w:w="0" w:type="dxa"/>
              <w:right w:w="13" w:type="dxa"/>
            </w:tcMar>
            <w:vAlign w:val="bottom"/>
            <w:hideMark/>
          </w:tcPr>
          <w:p>
            <w:pPr>
              <w:tabs>
                <w:tab w:val="clear" w:pos="2835"/>
              </w:tabs>
              <w:jc w:val="right"/>
              <w:textAlignment w:val="bottom"/>
              <w:rPr>
                <w:rFonts w:eastAsia="Times New Roman"/>
                <w:b w:val="0"/>
                <w:sz w:val="18"/>
                <w:szCs w:val="18"/>
                <w:lang w:eastAsia="es-CL"/>
              </w:rPr>
            </w:pPr>
            <w:r>
              <w:rPr>
                <w:rFonts w:eastAsia="Times New Roman"/>
                <w:b w:val="0"/>
                <w:color w:val="000000"/>
                <w:kern w:val="24"/>
                <w:sz w:val="18"/>
                <w:szCs w:val="18"/>
                <w:lang w:eastAsia="es-CL"/>
              </w:rPr>
              <w:t xml:space="preserve">                  2.765.430 </w:t>
            </w:r>
          </w:p>
        </w:tc>
        <w:tc>
          <w:tcPr>
            <w:tcW w:w="982" w:type="dxa"/>
            <w:tcBorders>
              <w:top w:val="single" w:sz="4" w:space="0" w:color="FFFFFF"/>
              <w:left w:val="single" w:sz="4" w:space="0" w:color="FFFFFF"/>
              <w:bottom w:val="single" w:sz="4" w:space="0" w:color="FFFFFF"/>
              <w:right w:val="single" w:sz="4" w:space="0" w:color="FFFFFF"/>
            </w:tcBorders>
            <w:shd w:val="clear" w:color="auto" w:fill="DCE6F1"/>
            <w:tcMar>
              <w:top w:w="13" w:type="dxa"/>
              <w:left w:w="13" w:type="dxa"/>
              <w:bottom w:w="0" w:type="dxa"/>
              <w:right w:w="13" w:type="dxa"/>
            </w:tcMar>
            <w:vAlign w:val="bottom"/>
            <w:hideMark/>
          </w:tcPr>
          <w:p>
            <w:pPr>
              <w:tabs>
                <w:tab w:val="clear" w:pos="2835"/>
              </w:tabs>
              <w:jc w:val="center"/>
              <w:textAlignment w:val="bottom"/>
              <w:rPr>
                <w:rFonts w:eastAsia="Times New Roman"/>
                <w:b w:val="0"/>
                <w:sz w:val="18"/>
                <w:szCs w:val="18"/>
                <w:lang w:eastAsia="es-CL"/>
              </w:rPr>
            </w:pPr>
            <w:r>
              <w:rPr>
                <w:rFonts w:eastAsia="Times New Roman"/>
                <w:b w:val="0"/>
                <w:color w:val="000000"/>
                <w:kern w:val="24"/>
                <w:sz w:val="18"/>
                <w:szCs w:val="18"/>
                <w:lang w:eastAsia="es-CL"/>
              </w:rPr>
              <w:t>65,3%</w:t>
            </w:r>
          </w:p>
        </w:tc>
        <w:tc>
          <w:tcPr>
            <w:tcW w:w="1090" w:type="dxa"/>
            <w:tcBorders>
              <w:top w:val="single" w:sz="4" w:space="0" w:color="FFFFFF"/>
              <w:left w:val="single" w:sz="4" w:space="0" w:color="FFFFFF"/>
              <w:bottom w:val="single" w:sz="4" w:space="0" w:color="FFFFFF"/>
              <w:right w:val="single" w:sz="4" w:space="0" w:color="FFFFFF"/>
            </w:tcBorders>
            <w:shd w:val="clear" w:color="auto" w:fill="DCE6F1"/>
            <w:tcMar>
              <w:top w:w="13" w:type="dxa"/>
              <w:left w:w="13" w:type="dxa"/>
              <w:bottom w:w="0" w:type="dxa"/>
              <w:right w:w="13" w:type="dxa"/>
            </w:tcMar>
            <w:vAlign w:val="bottom"/>
            <w:hideMark/>
          </w:tcPr>
          <w:p>
            <w:pPr>
              <w:tabs>
                <w:tab w:val="clear" w:pos="2835"/>
              </w:tabs>
              <w:jc w:val="center"/>
              <w:textAlignment w:val="bottom"/>
              <w:rPr>
                <w:rFonts w:eastAsia="Times New Roman"/>
                <w:b w:val="0"/>
                <w:sz w:val="18"/>
                <w:szCs w:val="18"/>
                <w:lang w:eastAsia="es-CL"/>
              </w:rPr>
            </w:pPr>
            <w:r>
              <w:rPr>
                <w:rFonts w:eastAsia="Times New Roman"/>
                <w:b w:val="0"/>
                <w:color w:val="000000"/>
                <w:kern w:val="24"/>
                <w:sz w:val="18"/>
                <w:szCs w:val="18"/>
                <w:lang w:eastAsia="es-CL"/>
              </w:rPr>
              <w:t>65,4%</w:t>
            </w:r>
          </w:p>
        </w:tc>
      </w:tr>
      <w:tr>
        <w:trPr>
          <w:trHeight w:val="618"/>
        </w:trPr>
        <w:tc>
          <w:tcPr>
            <w:tcW w:w="953" w:type="dxa"/>
            <w:tcBorders>
              <w:top w:val="single" w:sz="4" w:space="0" w:color="FFFFFF"/>
              <w:left w:val="single" w:sz="4" w:space="0" w:color="FFFFFF"/>
              <w:bottom w:val="single" w:sz="4" w:space="0" w:color="FFFFFF"/>
              <w:right w:val="single" w:sz="4" w:space="0" w:color="FFFFFF"/>
            </w:tcBorders>
            <w:shd w:val="clear" w:color="auto" w:fill="DCE6F1"/>
            <w:tcMar>
              <w:top w:w="13" w:type="dxa"/>
              <w:left w:w="13" w:type="dxa"/>
              <w:bottom w:w="0" w:type="dxa"/>
              <w:right w:w="13" w:type="dxa"/>
            </w:tcMar>
            <w:vAlign w:val="bottom"/>
            <w:hideMark/>
          </w:tcPr>
          <w:p>
            <w:pPr>
              <w:tabs>
                <w:tab w:val="clear" w:pos="2835"/>
              </w:tabs>
              <w:jc w:val="center"/>
              <w:textAlignment w:val="bottom"/>
              <w:rPr>
                <w:rFonts w:eastAsia="Times New Roman"/>
                <w:b w:val="0"/>
                <w:sz w:val="18"/>
                <w:szCs w:val="18"/>
                <w:lang w:eastAsia="es-CL"/>
              </w:rPr>
            </w:pPr>
            <w:r>
              <w:rPr>
                <w:rFonts w:eastAsia="Times New Roman"/>
                <w:b w:val="0"/>
                <w:color w:val="000000"/>
                <w:kern w:val="24"/>
                <w:sz w:val="18"/>
                <w:szCs w:val="18"/>
                <w:lang w:eastAsia="es-CL"/>
              </w:rPr>
              <w:t>22</w:t>
            </w:r>
          </w:p>
        </w:tc>
        <w:tc>
          <w:tcPr>
            <w:tcW w:w="2596" w:type="dxa"/>
            <w:tcBorders>
              <w:top w:val="single" w:sz="4" w:space="0" w:color="FFFFFF"/>
              <w:left w:val="single" w:sz="4" w:space="0" w:color="FFFFFF"/>
              <w:bottom w:val="single" w:sz="4" w:space="0" w:color="FFFFFF"/>
              <w:right w:val="single" w:sz="4" w:space="0" w:color="FFFFFF"/>
            </w:tcBorders>
            <w:shd w:val="clear" w:color="auto" w:fill="DCE6F1"/>
            <w:tcMar>
              <w:top w:w="13" w:type="dxa"/>
              <w:left w:w="13" w:type="dxa"/>
              <w:bottom w:w="0" w:type="dxa"/>
              <w:right w:w="13" w:type="dxa"/>
            </w:tcMar>
            <w:vAlign w:val="bottom"/>
            <w:hideMark/>
          </w:tcPr>
          <w:p>
            <w:pPr>
              <w:tabs>
                <w:tab w:val="clear" w:pos="2835"/>
              </w:tabs>
              <w:jc w:val="left"/>
              <w:textAlignment w:val="bottom"/>
              <w:rPr>
                <w:rFonts w:eastAsia="Times New Roman"/>
                <w:b w:val="0"/>
                <w:sz w:val="18"/>
                <w:szCs w:val="18"/>
                <w:lang w:eastAsia="es-CL"/>
              </w:rPr>
            </w:pPr>
            <w:r>
              <w:rPr>
                <w:rFonts w:eastAsia="Times New Roman"/>
                <w:b w:val="0"/>
                <w:color w:val="000000"/>
                <w:kern w:val="24"/>
                <w:sz w:val="18"/>
                <w:szCs w:val="18"/>
                <w:lang w:eastAsia="es-CL"/>
              </w:rPr>
              <w:t>BIENES Y SERVICIOS DE CONSUMO</w:t>
            </w:r>
          </w:p>
        </w:tc>
        <w:tc>
          <w:tcPr>
            <w:tcW w:w="933" w:type="dxa"/>
            <w:tcBorders>
              <w:top w:val="single" w:sz="4" w:space="0" w:color="FFFFFF"/>
              <w:left w:val="single" w:sz="4" w:space="0" w:color="FFFFFF"/>
              <w:bottom w:val="single" w:sz="4" w:space="0" w:color="FFFFFF"/>
              <w:right w:val="single" w:sz="4" w:space="0" w:color="FFFFFF"/>
            </w:tcBorders>
            <w:shd w:val="clear" w:color="auto" w:fill="DCE6F1"/>
            <w:tcMar>
              <w:top w:w="13" w:type="dxa"/>
              <w:left w:w="13" w:type="dxa"/>
              <w:bottom w:w="0" w:type="dxa"/>
              <w:right w:w="13" w:type="dxa"/>
            </w:tcMar>
            <w:vAlign w:val="bottom"/>
            <w:hideMark/>
          </w:tcPr>
          <w:p>
            <w:pPr>
              <w:tabs>
                <w:tab w:val="clear" w:pos="2835"/>
              </w:tabs>
              <w:jc w:val="right"/>
              <w:textAlignment w:val="bottom"/>
              <w:rPr>
                <w:rFonts w:eastAsia="Times New Roman"/>
                <w:b w:val="0"/>
                <w:sz w:val="18"/>
                <w:szCs w:val="18"/>
                <w:lang w:eastAsia="es-CL"/>
              </w:rPr>
            </w:pPr>
            <w:r>
              <w:rPr>
                <w:rFonts w:eastAsia="Times New Roman"/>
                <w:b w:val="0"/>
                <w:color w:val="000000"/>
                <w:kern w:val="24"/>
                <w:sz w:val="18"/>
                <w:szCs w:val="18"/>
                <w:lang w:eastAsia="es-CL"/>
              </w:rPr>
              <w:t xml:space="preserve">           3.394.926 </w:t>
            </w:r>
          </w:p>
        </w:tc>
        <w:tc>
          <w:tcPr>
            <w:tcW w:w="1096" w:type="dxa"/>
            <w:tcBorders>
              <w:top w:val="single" w:sz="4" w:space="0" w:color="FFFFFF"/>
              <w:left w:val="single" w:sz="4" w:space="0" w:color="FFFFFF"/>
              <w:bottom w:val="single" w:sz="4" w:space="0" w:color="FFFFFF"/>
              <w:right w:val="single" w:sz="4" w:space="0" w:color="FFFFFF"/>
            </w:tcBorders>
            <w:shd w:val="clear" w:color="auto" w:fill="DCE6F1"/>
            <w:tcMar>
              <w:top w:w="13" w:type="dxa"/>
              <w:left w:w="13" w:type="dxa"/>
              <w:bottom w:w="0" w:type="dxa"/>
              <w:right w:w="13" w:type="dxa"/>
            </w:tcMar>
            <w:vAlign w:val="bottom"/>
            <w:hideMark/>
          </w:tcPr>
          <w:p>
            <w:pPr>
              <w:tabs>
                <w:tab w:val="clear" w:pos="2835"/>
              </w:tabs>
              <w:jc w:val="right"/>
              <w:textAlignment w:val="bottom"/>
              <w:rPr>
                <w:rFonts w:eastAsia="Times New Roman"/>
                <w:b w:val="0"/>
                <w:sz w:val="18"/>
                <w:szCs w:val="18"/>
                <w:lang w:eastAsia="es-CL"/>
              </w:rPr>
            </w:pPr>
            <w:r>
              <w:rPr>
                <w:rFonts w:eastAsia="Times New Roman"/>
                <w:b w:val="0"/>
                <w:color w:val="000000"/>
                <w:kern w:val="24"/>
                <w:sz w:val="18"/>
                <w:szCs w:val="18"/>
                <w:lang w:eastAsia="es-CL"/>
              </w:rPr>
              <w:t xml:space="preserve">             3.305.168 </w:t>
            </w:r>
          </w:p>
        </w:tc>
        <w:tc>
          <w:tcPr>
            <w:tcW w:w="1294" w:type="dxa"/>
            <w:tcBorders>
              <w:top w:val="single" w:sz="4" w:space="0" w:color="FFFFFF"/>
              <w:left w:val="single" w:sz="4" w:space="0" w:color="FFFFFF"/>
              <w:bottom w:val="single" w:sz="4" w:space="0" w:color="FFFFFF"/>
              <w:right w:val="single" w:sz="4" w:space="0" w:color="FFFFFF"/>
            </w:tcBorders>
            <w:shd w:val="clear" w:color="auto" w:fill="DCE6F1"/>
            <w:tcMar>
              <w:top w:w="13" w:type="dxa"/>
              <w:left w:w="13" w:type="dxa"/>
              <w:bottom w:w="0" w:type="dxa"/>
              <w:right w:w="13" w:type="dxa"/>
            </w:tcMar>
            <w:vAlign w:val="bottom"/>
            <w:hideMark/>
          </w:tcPr>
          <w:p>
            <w:pPr>
              <w:tabs>
                <w:tab w:val="clear" w:pos="2835"/>
              </w:tabs>
              <w:jc w:val="right"/>
              <w:textAlignment w:val="bottom"/>
              <w:rPr>
                <w:rFonts w:eastAsia="Times New Roman"/>
                <w:b w:val="0"/>
                <w:sz w:val="18"/>
                <w:szCs w:val="18"/>
                <w:lang w:eastAsia="es-CL"/>
              </w:rPr>
            </w:pPr>
            <w:r>
              <w:rPr>
                <w:rFonts w:eastAsia="Times New Roman"/>
                <w:b w:val="0"/>
                <w:color w:val="000000"/>
                <w:kern w:val="24"/>
                <w:sz w:val="18"/>
                <w:szCs w:val="18"/>
                <w:lang w:eastAsia="es-CL"/>
              </w:rPr>
              <w:t xml:space="preserve">                  1.780.376 </w:t>
            </w:r>
          </w:p>
        </w:tc>
        <w:tc>
          <w:tcPr>
            <w:tcW w:w="982" w:type="dxa"/>
            <w:tcBorders>
              <w:top w:val="single" w:sz="4" w:space="0" w:color="FFFFFF"/>
              <w:left w:val="single" w:sz="4" w:space="0" w:color="FFFFFF"/>
              <w:bottom w:val="single" w:sz="4" w:space="0" w:color="FFFFFF"/>
              <w:right w:val="single" w:sz="4" w:space="0" w:color="FFFFFF"/>
            </w:tcBorders>
            <w:shd w:val="clear" w:color="auto" w:fill="DCE6F1"/>
            <w:tcMar>
              <w:top w:w="13" w:type="dxa"/>
              <w:left w:w="13" w:type="dxa"/>
              <w:bottom w:w="0" w:type="dxa"/>
              <w:right w:w="13" w:type="dxa"/>
            </w:tcMar>
            <w:vAlign w:val="bottom"/>
            <w:hideMark/>
          </w:tcPr>
          <w:p>
            <w:pPr>
              <w:tabs>
                <w:tab w:val="clear" w:pos="2835"/>
              </w:tabs>
              <w:jc w:val="center"/>
              <w:textAlignment w:val="bottom"/>
              <w:rPr>
                <w:rFonts w:eastAsia="Times New Roman"/>
                <w:b w:val="0"/>
                <w:sz w:val="18"/>
                <w:szCs w:val="18"/>
                <w:lang w:eastAsia="es-CL"/>
              </w:rPr>
            </w:pPr>
            <w:r>
              <w:rPr>
                <w:rFonts w:eastAsia="Times New Roman"/>
                <w:b w:val="0"/>
                <w:color w:val="000000"/>
                <w:kern w:val="24"/>
                <w:sz w:val="18"/>
                <w:szCs w:val="18"/>
                <w:lang w:eastAsia="es-CL"/>
              </w:rPr>
              <w:t>52,4%</w:t>
            </w:r>
          </w:p>
        </w:tc>
        <w:tc>
          <w:tcPr>
            <w:tcW w:w="1090" w:type="dxa"/>
            <w:tcBorders>
              <w:top w:val="single" w:sz="4" w:space="0" w:color="FFFFFF"/>
              <w:left w:val="single" w:sz="4" w:space="0" w:color="FFFFFF"/>
              <w:bottom w:val="single" w:sz="4" w:space="0" w:color="FFFFFF"/>
              <w:right w:val="single" w:sz="4" w:space="0" w:color="FFFFFF"/>
            </w:tcBorders>
            <w:shd w:val="clear" w:color="auto" w:fill="DCE6F1"/>
            <w:tcMar>
              <w:top w:w="13" w:type="dxa"/>
              <w:left w:w="13" w:type="dxa"/>
              <w:bottom w:w="0" w:type="dxa"/>
              <w:right w:w="13" w:type="dxa"/>
            </w:tcMar>
            <w:vAlign w:val="bottom"/>
            <w:hideMark/>
          </w:tcPr>
          <w:p>
            <w:pPr>
              <w:tabs>
                <w:tab w:val="clear" w:pos="2835"/>
              </w:tabs>
              <w:jc w:val="center"/>
              <w:textAlignment w:val="bottom"/>
              <w:rPr>
                <w:rFonts w:eastAsia="Times New Roman"/>
                <w:b w:val="0"/>
                <w:sz w:val="18"/>
                <w:szCs w:val="18"/>
                <w:lang w:eastAsia="es-CL"/>
              </w:rPr>
            </w:pPr>
            <w:r>
              <w:rPr>
                <w:rFonts w:eastAsia="Times New Roman"/>
                <w:b w:val="0"/>
                <w:color w:val="000000"/>
                <w:kern w:val="24"/>
                <w:sz w:val="18"/>
                <w:szCs w:val="18"/>
                <w:lang w:eastAsia="es-CL"/>
              </w:rPr>
              <w:t>53,9%</w:t>
            </w:r>
          </w:p>
        </w:tc>
      </w:tr>
      <w:tr>
        <w:trPr>
          <w:trHeight w:val="618"/>
        </w:trPr>
        <w:tc>
          <w:tcPr>
            <w:tcW w:w="953" w:type="dxa"/>
            <w:tcBorders>
              <w:top w:val="single" w:sz="4" w:space="0" w:color="FFFFFF"/>
              <w:left w:val="single" w:sz="4" w:space="0" w:color="FFFFFF"/>
              <w:bottom w:val="single" w:sz="4" w:space="0" w:color="FFFFFF"/>
              <w:right w:val="single" w:sz="4" w:space="0" w:color="FFFFFF"/>
            </w:tcBorders>
            <w:shd w:val="clear" w:color="auto" w:fill="DCE6F1"/>
            <w:tcMar>
              <w:top w:w="13" w:type="dxa"/>
              <w:left w:w="13" w:type="dxa"/>
              <w:bottom w:w="0" w:type="dxa"/>
              <w:right w:w="13" w:type="dxa"/>
            </w:tcMar>
            <w:vAlign w:val="bottom"/>
            <w:hideMark/>
          </w:tcPr>
          <w:p>
            <w:pPr>
              <w:tabs>
                <w:tab w:val="clear" w:pos="2835"/>
              </w:tabs>
              <w:jc w:val="center"/>
              <w:textAlignment w:val="bottom"/>
              <w:rPr>
                <w:rFonts w:eastAsia="Times New Roman"/>
                <w:b w:val="0"/>
                <w:sz w:val="18"/>
                <w:szCs w:val="18"/>
                <w:lang w:eastAsia="es-CL"/>
              </w:rPr>
            </w:pPr>
            <w:r>
              <w:rPr>
                <w:rFonts w:eastAsia="Times New Roman"/>
                <w:b w:val="0"/>
                <w:color w:val="000000"/>
                <w:kern w:val="24"/>
                <w:sz w:val="18"/>
                <w:szCs w:val="18"/>
                <w:lang w:eastAsia="es-CL"/>
              </w:rPr>
              <w:t>24</w:t>
            </w:r>
          </w:p>
        </w:tc>
        <w:tc>
          <w:tcPr>
            <w:tcW w:w="2596" w:type="dxa"/>
            <w:tcBorders>
              <w:top w:val="single" w:sz="4" w:space="0" w:color="FFFFFF"/>
              <w:left w:val="single" w:sz="4" w:space="0" w:color="FFFFFF"/>
              <w:bottom w:val="single" w:sz="4" w:space="0" w:color="FFFFFF"/>
              <w:right w:val="single" w:sz="4" w:space="0" w:color="FFFFFF"/>
            </w:tcBorders>
            <w:shd w:val="clear" w:color="auto" w:fill="DCE6F1"/>
            <w:tcMar>
              <w:top w:w="13" w:type="dxa"/>
              <w:left w:w="13" w:type="dxa"/>
              <w:bottom w:w="0" w:type="dxa"/>
              <w:right w:w="13" w:type="dxa"/>
            </w:tcMar>
            <w:vAlign w:val="bottom"/>
            <w:hideMark/>
          </w:tcPr>
          <w:p>
            <w:pPr>
              <w:tabs>
                <w:tab w:val="clear" w:pos="2835"/>
              </w:tabs>
              <w:jc w:val="left"/>
              <w:textAlignment w:val="bottom"/>
              <w:rPr>
                <w:rFonts w:eastAsia="Times New Roman"/>
                <w:b w:val="0"/>
                <w:sz w:val="18"/>
                <w:szCs w:val="18"/>
                <w:lang w:eastAsia="es-CL"/>
              </w:rPr>
            </w:pPr>
            <w:r>
              <w:rPr>
                <w:rFonts w:eastAsia="Times New Roman"/>
                <w:b w:val="0"/>
                <w:color w:val="000000"/>
                <w:kern w:val="24"/>
                <w:sz w:val="18"/>
                <w:szCs w:val="18"/>
                <w:lang w:eastAsia="es-CL"/>
              </w:rPr>
              <w:t>TRANSFERENCIAS CORRIENTES</w:t>
            </w:r>
          </w:p>
        </w:tc>
        <w:tc>
          <w:tcPr>
            <w:tcW w:w="933" w:type="dxa"/>
            <w:tcBorders>
              <w:top w:val="single" w:sz="4" w:space="0" w:color="FFFFFF"/>
              <w:left w:val="single" w:sz="4" w:space="0" w:color="FFFFFF"/>
              <w:bottom w:val="single" w:sz="4" w:space="0" w:color="FFFFFF"/>
              <w:right w:val="single" w:sz="4" w:space="0" w:color="FFFFFF"/>
            </w:tcBorders>
            <w:shd w:val="clear" w:color="auto" w:fill="DCE6F1"/>
            <w:tcMar>
              <w:top w:w="13" w:type="dxa"/>
              <w:left w:w="13" w:type="dxa"/>
              <w:bottom w:w="0" w:type="dxa"/>
              <w:right w:w="13" w:type="dxa"/>
            </w:tcMar>
            <w:vAlign w:val="bottom"/>
            <w:hideMark/>
          </w:tcPr>
          <w:p>
            <w:pPr>
              <w:tabs>
                <w:tab w:val="clear" w:pos="2835"/>
              </w:tabs>
              <w:jc w:val="right"/>
              <w:textAlignment w:val="bottom"/>
              <w:rPr>
                <w:rFonts w:eastAsia="Times New Roman"/>
                <w:b w:val="0"/>
                <w:sz w:val="18"/>
                <w:szCs w:val="18"/>
                <w:lang w:eastAsia="es-CL"/>
              </w:rPr>
            </w:pPr>
            <w:r>
              <w:rPr>
                <w:rFonts w:eastAsia="Times New Roman"/>
                <w:b w:val="0"/>
                <w:color w:val="000000"/>
                <w:kern w:val="24"/>
                <w:sz w:val="18"/>
                <w:szCs w:val="18"/>
                <w:lang w:eastAsia="es-CL"/>
              </w:rPr>
              <w:t xml:space="preserve">           1.527.653 </w:t>
            </w:r>
          </w:p>
        </w:tc>
        <w:tc>
          <w:tcPr>
            <w:tcW w:w="1096" w:type="dxa"/>
            <w:tcBorders>
              <w:top w:val="single" w:sz="4" w:space="0" w:color="FFFFFF"/>
              <w:left w:val="single" w:sz="4" w:space="0" w:color="FFFFFF"/>
              <w:bottom w:val="single" w:sz="4" w:space="0" w:color="FFFFFF"/>
              <w:right w:val="single" w:sz="4" w:space="0" w:color="FFFFFF"/>
            </w:tcBorders>
            <w:shd w:val="clear" w:color="auto" w:fill="DCE6F1"/>
            <w:tcMar>
              <w:top w:w="13" w:type="dxa"/>
              <w:left w:w="13" w:type="dxa"/>
              <w:bottom w:w="0" w:type="dxa"/>
              <w:right w:w="13" w:type="dxa"/>
            </w:tcMar>
            <w:vAlign w:val="bottom"/>
            <w:hideMark/>
          </w:tcPr>
          <w:p>
            <w:pPr>
              <w:tabs>
                <w:tab w:val="clear" w:pos="2835"/>
              </w:tabs>
              <w:jc w:val="right"/>
              <w:textAlignment w:val="bottom"/>
              <w:rPr>
                <w:rFonts w:eastAsia="Times New Roman"/>
                <w:b w:val="0"/>
                <w:sz w:val="18"/>
                <w:szCs w:val="18"/>
                <w:lang w:eastAsia="es-CL"/>
              </w:rPr>
            </w:pPr>
            <w:r>
              <w:rPr>
                <w:rFonts w:eastAsia="Times New Roman"/>
                <w:b w:val="0"/>
                <w:color w:val="000000"/>
                <w:kern w:val="24"/>
                <w:sz w:val="18"/>
                <w:szCs w:val="18"/>
                <w:lang w:eastAsia="es-CL"/>
              </w:rPr>
              <w:t xml:space="preserve">             1.595.014 </w:t>
            </w:r>
          </w:p>
        </w:tc>
        <w:tc>
          <w:tcPr>
            <w:tcW w:w="1294" w:type="dxa"/>
            <w:tcBorders>
              <w:top w:val="single" w:sz="4" w:space="0" w:color="FFFFFF"/>
              <w:left w:val="single" w:sz="4" w:space="0" w:color="FFFFFF"/>
              <w:bottom w:val="single" w:sz="4" w:space="0" w:color="FFFFFF"/>
              <w:right w:val="single" w:sz="4" w:space="0" w:color="FFFFFF"/>
            </w:tcBorders>
            <w:shd w:val="clear" w:color="auto" w:fill="DCE6F1"/>
            <w:tcMar>
              <w:top w:w="13" w:type="dxa"/>
              <w:left w:w="13" w:type="dxa"/>
              <w:bottom w:w="0" w:type="dxa"/>
              <w:right w:w="13" w:type="dxa"/>
            </w:tcMar>
            <w:vAlign w:val="bottom"/>
            <w:hideMark/>
          </w:tcPr>
          <w:p>
            <w:pPr>
              <w:tabs>
                <w:tab w:val="clear" w:pos="2835"/>
              </w:tabs>
              <w:jc w:val="right"/>
              <w:textAlignment w:val="bottom"/>
              <w:rPr>
                <w:rFonts w:eastAsia="Times New Roman"/>
                <w:b w:val="0"/>
                <w:sz w:val="18"/>
                <w:szCs w:val="18"/>
                <w:lang w:eastAsia="es-CL"/>
              </w:rPr>
            </w:pPr>
            <w:r>
              <w:rPr>
                <w:rFonts w:eastAsia="Times New Roman"/>
                <w:b w:val="0"/>
                <w:color w:val="000000"/>
                <w:kern w:val="24"/>
                <w:sz w:val="18"/>
                <w:szCs w:val="18"/>
                <w:lang w:eastAsia="es-CL"/>
              </w:rPr>
              <w:t xml:space="preserve">                      600.763 </w:t>
            </w:r>
          </w:p>
        </w:tc>
        <w:tc>
          <w:tcPr>
            <w:tcW w:w="982" w:type="dxa"/>
            <w:tcBorders>
              <w:top w:val="single" w:sz="4" w:space="0" w:color="FFFFFF"/>
              <w:left w:val="single" w:sz="4" w:space="0" w:color="FFFFFF"/>
              <w:bottom w:val="single" w:sz="4" w:space="0" w:color="FFFFFF"/>
              <w:right w:val="single" w:sz="4" w:space="0" w:color="FFFFFF"/>
            </w:tcBorders>
            <w:shd w:val="clear" w:color="auto" w:fill="DCE6F1"/>
            <w:tcMar>
              <w:top w:w="13" w:type="dxa"/>
              <w:left w:w="13" w:type="dxa"/>
              <w:bottom w:w="0" w:type="dxa"/>
              <w:right w:w="13" w:type="dxa"/>
            </w:tcMar>
            <w:vAlign w:val="bottom"/>
            <w:hideMark/>
          </w:tcPr>
          <w:p>
            <w:pPr>
              <w:tabs>
                <w:tab w:val="clear" w:pos="2835"/>
              </w:tabs>
              <w:jc w:val="center"/>
              <w:textAlignment w:val="bottom"/>
              <w:rPr>
                <w:rFonts w:eastAsia="Times New Roman"/>
                <w:b w:val="0"/>
                <w:sz w:val="18"/>
                <w:szCs w:val="18"/>
                <w:lang w:eastAsia="es-CL"/>
              </w:rPr>
            </w:pPr>
            <w:r>
              <w:rPr>
                <w:rFonts w:eastAsia="Times New Roman"/>
                <w:b w:val="0"/>
                <w:color w:val="000000"/>
                <w:kern w:val="24"/>
                <w:sz w:val="18"/>
                <w:szCs w:val="18"/>
                <w:lang w:eastAsia="es-CL"/>
              </w:rPr>
              <w:t>39,3%</w:t>
            </w:r>
          </w:p>
        </w:tc>
        <w:tc>
          <w:tcPr>
            <w:tcW w:w="1090" w:type="dxa"/>
            <w:tcBorders>
              <w:top w:val="single" w:sz="4" w:space="0" w:color="FFFFFF"/>
              <w:left w:val="single" w:sz="4" w:space="0" w:color="FFFFFF"/>
              <w:bottom w:val="single" w:sz="4" w:space="0" w:color="FFFFFF"/>
              <w:right w:val="single" w:sz="4" w:space="0" w:color="FFFFFF"/>
            </w:tcBorders>
            <w:shd w:val="clear" w:color="auto" w:fill="DCE6F1"/>
            <w:tcMar>
              <w:top w:w="13" w:type="dxa"/>
              <w:left w:w="13" w:type="dxa"/>
              <w:bottom w:w="0" w:type="dxa"/>
              <w:right w:w="13" w:type="dxa"/>
            </w:tcMar>
            <w:vAlign w:val="bottom"/>
            <w:hideMark/>
          </w:tcPr>
          <w:p>
            <w:pPr>
              <w:tabs>
                <w:tab w:val="clear" w:pos="2835"/>
              </w:tabs>
              <w:jc w:val="center"/>
              <w:textAlignment w:val="bottom"/>
              <w:rPr>
                <w:rFonts w:eastAsia="Times New Roman"/>
                <w:b w:val="0"/>
                <w:sz w:val="18"/>
                <w:szCs w:val="18"/>
                <w:lang w:eastAsia="es-CL"/>
              </w:rPr>
            </w:pPr>
            <w:r>
              <w:rPr>
                <w:rFonts w:eastAsia="Times New Roman"/>
                <w:b w:val="0"/>
                <w:color w:val="000000"/>
                <w:kern w:val="24"/>
                <w:sz w:val="18"/>
                <w:szCs w:val="18"/>
                <w:lang w:eastAsia="es-CL"/>
              </w:rPr>
              <w:t>37,7%</w:t>
            </w:r>
          </w:p>
        </w:tc>
      </w:tr>
      <w:tr>
        <w:trPr>
          <w:trHeight w:val="618"/>
        </w:trPr>
        <w:tc>
          <w:tcPr>
            <w:tcW w:w="953" w:type="dxa"/>
            <w:tcBorders>
              <w:top w:val="single" w:sz="4" w:space="0" w:color="FFFFFF"/>
              <w:left w:val="single" w:sz="4" w:space="0" w:color="FFFFFF"/>
              <w:bottom w:val="single" w:sz="4" w:space="0" w:color="FFFFFF"/>
              <w:right w:val="single" w:sz="4" w:space="0" w:color="FFFFFF"/>
            </w:tcBorders>
            <w:shd w:val="clear" w:color="auto" w:fill="DCE6F1"/>
            <w:tcMar>
              <w:top w:w="13" w:type="dxa"/>
              <w:left w:w="13" w:type="dxa"/>
              <w:bottom w:w="0" w:type="dxa"/>
              <w:right w:w="13" w:type="dxa"/>
            </w:tcMar>
            <w:vAlign w:val="bottom"/>
            <w:hideMark/>
          </w:tcPr>
          <w:p>
            <w:pPr>
              <w:tabs>
                <w:tab w:val="clear" w:pos="2835"/>
              </w:tabs>
              <w:jc w:val="center"/>
              <w:textAlignment w:val="bottom"/>
              <w:rPr>
                <w:rFonts w:eastAsia="Times New Roman"/>
                <w:b w:val="0"/>
                <w:sz w:val="18"/>
                <w:szCs w:val="18"/>
                <w:lang w:eastAsia="es-CL"/>
              </w:rPr>
            </w:pPr>
            <w:r>
              <w:rPr>
                <w:rFonts w:eastAsia="Times New Roman"/>
                <w:b w:val="0"/>
                <w:color w:val="000000"/>
                <w:kern w:val="24"/>
                <w:sz w:val="18"/>
                <w:szCs w:val="18"/>
                <w:lang w:eastAsia="es-CL"/>
              </w:rPr>
              <w:t>29</w:t>
            </w:r>
          </w:p>
        </w:tc>
        <w:tc>
          <w:tcPr>
            <w:tcW w:w="2596" w:type="dxa"/>
            <w:tcBorders>
              <w:top w:val="single" w:sz="4" w:space="0" w:color="FFFFFF"/>
              <w:left w:val="single" w:sz="4" w:space="0" w:color="FFFFFF"/>
              <w:bottom w:val="single" w:sz="4" w:space="0" w:color="FFFFFF"/>
              <w:right w:val="single" w:sz="4" w:space="0" w:color="FFFFFF"/>
            </w:tcBorders>
            <w:shd w:val="clear" w:color="auto" w:fill="DCE6F1"/>
            <w:tcMar>
              <w:top w:w="13" w:type="dxa"/>
              <w:left w:w="13" w:type="dxa"/>
              <w:bottom w:w="0" w:type="dxa"/>
              <w:right w:w="13" w:type="dxa"/>
            </w:tcMar>
            <w:vAlign w:val="bottom"/>
            <w:hideMark/>
          </w:tcPr>
          <w:p>
            <w:pPr>
              <w:tabs>
                <w:tab w:val="clear" w:pos="2835"/>
              </w:tabs>
              <w:jc w:val="left"/>
              <w:textAlignment w:val="bottom"/>
              <w:rPr>
                <w:rFonts w:eastAsia="Times New Roman"/>
                <w:b w:val="0"/>
                <w:sz w:val="18"/>
                <w:szCs w:val="18"/>
                <w:lang w:eastAsia="es-CL"/>
              </w:rPr>
            </w:pPr>
            <w:r>
              <w:rPr>
                <w:rFonts w:eastAsia="Times New Roman"/>
                <w:b w:val="0"/>
                <w:color w:val="000000"/>
                <w:kern w:val="24"/>
                <w:sz w:val="18"/>
                <w:szCs w:val="18"/>
                <w:lang w:eastAsia="es-CL"/>
              </w:rPr>
              <w:t>ADQUISICIÓN DE ACTIVOS NO FINANCIEROS</w:t>
            </w:r>
          </w:p>
        </w:tc>
        <w:tc>
          <w:tcPr>
            <w:tcW w:w="933" w:type="dxa"/>
            <w:tcBorders>
              <w:top w:val="single" w:sz="4" w:space="0" w:color="FFFFFF"/>
              <w:left w:val="single" w:sz="4" w:space="0" w:color="FFFFFF"/>
              <w:bottom w:val="single" w:sz="4" w:space="0" w:color="FFFFFF"/>
              <w:right w:val="single" w:sz="4" w:space="0" w:color="FFFFFF"/>
            </w:tcBorders>
            <w:shd w:val="clear" w:color="auto" w:fill="DCE6F1"/>
            <w:tcMar>
              <w:top w:w="13" w:type="dxa"/>
              <w:left w:w="13" w:type="dxa"/>
              <w:bottom w:w="0" w:type="dxa"/>
              <w:right w:w="13" w:type="dxa"/>
            </w:tcMar>
            <w:vAlign w:val="bottom"/>
            <w:hideMark/>
          </w:tcPr>
          <w:p>
            <w:pPr>
              <w:tabs>
                <w:tab w:val="clear" w:pos="2835"/>
              </w:tabs>
              <w:jc w:val="right"/>
              <w:textAlignment w:val="bottom"/>
              <w:rPr>
                <w:rFonts w:eastAsia="Times New Roman"/>
                <w:b w:val="0"/>
                <w:sz w:val="18"/>
                <w:szCs w:val="18"/>
                <w:lang w:eastAsia="es-CL"/>
              </w:rPr>
            </w:pPr>
            <w:r>
              <w:rPr>
                <w:rFonts w:eastAsia="Times New Roman"/>
                <w:b w:val="0"/>
                <w:color w:val="000000"/>
                <w:kern w:val="24"/>
                <w:sz w:val="18"/>
                <w:szCs w:val="18"/>
                <w:lang w:eastAsia="es-CL"/>
              </w:rPr>
              <w:t xml:space="preserve">               208.908 </w:t>
            </w:r>
          </w:p>
        </w:tc>
        <w:tc>
          <w:tcPr>
            <w:tcW w:w="1096" w:type="dxa"/>
            <w:tcBorders>
              <w:top w:val="single" w:sz="4" w:space="0" w:color="FFFFFF"/>
              <w:left w:val="single" w:sz="4" w:space="0" w:color="FFFFFF"/>
              <w:bottom w:val="single" w:sz="4" w:space="0" w:color="FFFFFF"/>
              <w:right w:val="single" w:sz="4" w:space="0" w:color="FFFFFF"/>
            </w:tcBorders>
            <w:shd w:val="clear" w:color="auto" w:fill="DCE6F1"/>
            <w:tcMar>
              <w:top w:w="13" w:type="dxa"/>
              <w:left w:w="13" w:type="dxa"/>
              <w:bottom w:w="0" w:type="dxa"/>
              <w:right w:w="13" w:type="dxa"/>
            </w:tcMar>
            <w:vAlign w:val="bottom"/>
            <w:hideMark/>
          </w:tcPr>
          <w:p>
            <w:pPr>
              <w:tabs>
                <w:tab w:val="clear" w:pos="2835"/>
              </w:tabs>
              <w:jc w:val="right"/>
              <w:textAlignment w:val="bottom"/>
              <w:rPr>
                <w:rFonts w:eastAsia="Times New Roman"/>
                <w:b w:val="0"/>
                <w:sz w:val="18"/>
                <w:szCs w:val="18"/>
                <w:lang w:eastAsia="es-CL"/>
              </w:rPr>
            </w:pPr>
            <w:r>
              <w:rPr>
                <w:rFonts w:eastAsia="Times New Roman"/>
                <w:b w:val="0"/>
                <w:color w:val="000000"/>
                <w:kern w:val="24"/>
                <w:sz w:val="18"/>
                <w:szCs w:val="18"/>
                <w:lang w:eastAsia="es-CL"/>
              </w:rPr>
              <w:t xml:space="preserve">                 211.908 </w:t>
            </w:r>
          </w:p>
        </w:tc>
        <w:tc>
          <w:tcPr>
            <w:tcW w:w="1294" w:type="dxa"/>
            <w:tcBorders>
              <w:top w:val="single" w:sz="4" w:space="0" w:color="FFFFFF"/>
              <w:left w:val="single" w:sz="4" w:space="0" w:color="FFFFFF"/>
              <w:bottom w:val="single" w:sz="4" w:space="0" w:color="FFFFFF"/>
              <w:right w:val="single" w:sz="4" w:space="0" w:color="FFFFFF"/>
            </w:tcBorders>
            <w:shd w:val="clear" w:color="auto" w:fill="DCE6F1"/>
            <w:tcMar>
              <w:top w:w="13" w:type="dxa"/>
              <w:left w:w="13" w:type="dxa"/>
              <w:bottom w:w="0" w:type="dxa"/>
              <w:right w:w="13" w:type="dxa"/>
            </w:tcMar>
            <w:vAlign w:val="bottom"/>
            <w:hideMark/>
          </w:tcPr>
          <w:p>
            <w:pPr>
              <w:tabs>
                <w:tab w:val="clear" w:pos="2835"/>
              </w:tabs>
              <w:jc w:val="right"/>
              <w:textAlignment w:val="bottom"/>
              <w:rPr>
                <w:rFonts w:eastAsia="Times New Roman"/>
                <w:b w:val="0"/>
                <w:sz w:val="18"/>
                <w:szCs w:val="18"/>
                <w:lang w:eastAsia="es-CL"/>
              </w:rPr>
            </w:pPr>
            <w:r>
              <w:rPr>
                <w:rFonts w:eastAsia="Times New Roman"/>
                <w:b w:val="0"/>
                <w:color w:val="000000"/>
                <w:kern w:val="24"/>
                <w:sz w:val="18"/>
                <w:szCs w:val="18"/>
                <w:lang w:eastAsia="es-CL"/>
              </w:rPr>
              <w:t xml:space="preserve">                        16.595 </w:t>
            </w:r>
          </w:p>
        </w:tc>
        <w:tc>
          <w:tcPr>
            <w:tcW w:w="982" w:type="dxa"/>
            <w:tcBorders>
              <w:top w:val="single" w:sz="4" w:space="0" w:color="FFFFFF"/>
              <w:left w:val="single" w:sz="4" w:space="0" w:color="FFFFFF"/>
              <w:bottom w:val="single" w:sz="4" w:space="0" w:color="FFFFFF"/>
              <w:right w:val="single" w:sz="4" w:space="0" w:color="FFFFFF"/>
            </w:tcBorders>
            <w:shd w:val="clear" w:color="auto" w:fill="DCE6F1"/>
            <w:tcMar>
              <w:top w:w="13" w:type="dxa"/>
              <w:left w:w="13" w:type="dxa"/>
              <w:bottom w:w="0" w:type="dxa"/>
              <w:right w:w="13" w:type="dxa"/>
            </w:tcMar>
            <w:vAlign w:val="bottom"/>
            <w:hideMark/>
          </w:tcPr>
          <w:p>
            <w:pPr>
              <w:tabs>
                <w:tab w:val="clear" w:pos="2835"/>
              </w:tabs>
              <w:jc w:val="center"/>
              <w:textAlignment w:val="bottom"/>
              <w:rPr>
                <w:rFonts w:eastAsia="Times New Roman"/>
                <w:b w:val="0"/>
                <w:sz w:val="18"/>
                <w:szCs w:val="18"/>
                <w:lang w:eastAsia="es-CL"/>
              </w:rPr>
            </w:pPr>
            <w:r>
              <w:rPr>
                <w:rFonts w:eastAsia="Times New Roman"/>
                <w:b w:val="0"/>
                <w:color w:val="000000"/>
                <w:kern w:val="24"/>
                <w:sz w:val="18"/>
                <w:szCs w:val="18"/>
                <w:lang w:eastAsia="es-CL"/>
              </w:rPr>
              <w:t>7,9%</w:t>
            </w:r>
          </w:p>
        </w:tc>
        <w:tc>
          <w:tcPr>
            <w:tcW w:w="1090" w:type="dxa"/>
            <w:tcBorders>
              <w:top w:val="single" w:sz="4" w:space="0" w:color="FFFFFF"/>
              <w:left w:val="single" w:sz="4" w:space="0" w:color="FFFFFF"/>
              <w:bottom w:val="single" w:sz="4" w:space="0" w:color="FFFFFF"/>
              <w:right w:val="single" w:sz="4" w:space="0" w:color="FFFFFF"/>
            </w:tcBorders>
            <w:shd w:val="clear" w:color="auto" w:fill="DCE6F1"/>
            <w:tcMar>
              <w:top w:w="13" w:type="dxa"/>
              <w:left w:w="13" w:type="dxa"/>
              <w:bottom w:w="0" w:type="dxa"/>
              <w:right w:w="13" w:type="dxa"/>
            </w:tcMar>
            <w:vAlign w:val="bottom"/>
            <w:hideMark/>
          </w:tcPr>
          <w:p>
            <w:pPr>
              <w:tabs>
                <w:tab w:val="clear" w:pos="2835"/>
              </w:tabs>
              <w:jc w:val="center"/>
              <w:textAlignment w:val="bottom"/>
              <w:rPr>
                <w:rFonts w:eastAsia="Times New Roman"/>
                <w:b w:val="0"/>
                <w:sz w:val="18"/>
                <w:szCs w:val="18"/>
                <w:lang w:eastAsia="es-CL"/>
              </w:rPr>
            </w:pPr>
            <w:r>
              <w:rPr>
                <w:rFonts w:eastAsia="Times New Roman"/>
                <w:b w:val="0"/>
                <w:color w:val="000000"/>
                <w:kern w:val="24"/>
                <w:sz w:val="18"/>
                <w:szCs w:val="18"/>
                <w:lang w:eastAsia="es-CL"/>
              </w:rPr>
              <w:t>7,8%</w:t>
            </w:r>
          </w:p>
        </w:tc>
      </w:tr>
      <w:tr>
        <w:trPr>
          <w:trHeight w:val="618"/>
        </w:trPr>
        <w:tc>
          <w:tcPr>
            <w:tcW w:w="953" w:type="dxa"/>
            <w:tcBorders>
              <w:top w:val="single" w:sz="4" w:space="0" w:color="FFFFFF"/>
              <w:left w:val="single" w:sz="4" w:space="0" w:color="FFFFFF"/>
              <w:bottom w:val="single" w:sz="4" w:space="0" w:color="FFFFFF"/>
              <w:right w:val="single" w:sz="4" w:space="0" w:color="FFFFFF"/>
            </w:tcBorders>
            <w:shd w:val="clear" w:color="auto" w:fill="DCE6F1"/>
            <w:tcMar>
              <w:top w:w="13" w:type="dxa"/>
              <w:left w:w="13" w:type="dxa"/>
              <w:bottom w:w="0" w:type="dxa"/>
              <w:right w:w="13" w:type="dxa"/>
            </w:tcMar>
            <w:vAlign w:val="bottom"/>
            <w:hideMark/>
          </w:tcPr>
          <w:p>
            <w:pPr>
              <w:tabs>
                <w:tab w:val="clear" w:pos="2835"/>
              </w:tabs>
              <w:jc w:val="center"/>
              <w:textAlignment w:val="bottom"/>
              <w:rPr>
                <w:rFonts w:eastAsia="Times New Roman"/>
                <w:b w:val="0"/>
                <w:sz w:val="18"/>
                <w:szCs w:val="18"/>
                <w:lang w:eastAsia="es-CL"/>
              </w:rPr>
            </w:pPr>
            <w:r>
              <w:rPr>
                <w:rFonts w:eastAsia="Times New Roman"/>
                <w:b w:val="0"/>
                <w:color w:val="000000"/>
                <w:kern w:val="24"/>
                <w:sz w:val="18"/>
                <w:szCs w:val="18"/>
                <w:lang w:eastAsia="es-CL"/>
              </w:rPr>
              <w:t>34</w:t>
            </w:r>
          </w:p>
        </w:tc>
        <w:tc>
          <w:tcPr>
            <w:tcW w:w="2596" w:type="dxa"/>
            <w:tcBorders>
              <w:top w:val="single" w:sz="4" w:space="0" w:color="FFFFFF"/>
              <w:left w:val="single" w:sz="4" w:space="0" w:color="FFFFFF"/>
              <w:bottom w:val="single" w:sz="4" w:space="0" w:color="FFFFFF"/>
              <w:right w:val="single" w:sz="4" w:space="0" w:color="FFFFFF"/>
            </w:tcBorders>
            <w:shd w:val="clear" w:color="auto" w:fill="DCE6F1"/>
            <w:tcMar>
              <w:top w:w="13" w:type="dxa"/>
              <w:left w:w="13" w:type="dxa"/>
              <w:bottom w:w="0" w:type="dxa"/>
              <w:right w:w="13" w:type="dxa"/>
            </w:tcMar>
            <w:vAlign w:val="bottom"/>
            <w:hideMark/>
          </w:tcPr>
          <w:p>
            <w:pPr>
              <w:tabs>
                <w:tab w:val="clear" w:pos="2835"/>
              </w:tabs>
              <w:jc w:val="left"/>
              <w:textAlignment w:val="bottom"/>
              <w:rPr>
                <w:rFonts w:eastAsia="Times New Roman"/>
                <w:b w:val="0"/>
                <w:sz w:val="18"/>
                <w:szCs w:val="18"/>
                <w:lang w:eastAsia="es-CL"/>
              </w:rPr>
            </w:pPr>
            <w:r>
              <w:rPr>
                <w:rFonts w:eastAsia="Times New Roman"/>
                <w:b w:val="0"/>
                <w:color w:val="000000"/>
                <w:kern w:val="24"/>
                <w:sz w:val="18"/>
                <w:szCs w:val="18"/>
                <w:lang w:eastAsia="es-CL"/>
              </w:rPr>
              <w:t>SERVICIO DE LA DEUDA</w:t>
            </w:r>
          </w:p>
        </w:tc>
        <w:tc>
          <w:tcPr>
            <w:tcW w:w="933" w:type="dxa"/>
            <w:tcBorders>
              <w:top w:val="single" w:sz="4" w:space="0" w:color="FFFFFF"/>
              <w:left w:val="single" w:sz="4" w:space="0" w:color="FFFFFF"/>
              <w:bottom w:val="single" w:sz="4" w:space="0" w:color="FFFFFF"/>
              <w:right w:val="single" w:sz="4" w:space="0" w:color="FFFFFF"/>
            </w:tcBorders>
            <w:shd w:val="clear" w:color="auto" w:fill="DCE6F1"/>
            <w:tcMar>
              <w:top w:w="13" w:type="dxa"/>
              <w:left w:w="13" w:type="dxa"/>
              <w:bottom w:w="0" w:type="dxa"/>
              <w:right w:w="13" w:type="dxa"/>
            </w:tcMar>
            <w:vAlign w:val="bottom"/>
            <w:hideMark/>
          </w:tcPr>
          <w:p>
            <w:pPr>
              <w:tabs>
                <w:tab w:val="clear" w:pos="2835"/>
              </w:tabs>
              <w:jc w:val="right"/>
              <w:textAlignment w:val="bottom"/>
              <w:rPr>
                <w:rFonts w:eastAsia="Times New Roman"/>
                <w:b w:val="0"/>
                <w:sz w:val="18"/>
                <w:szCs w:val="18"/>
                <w:lang w:eastAsia="es-CL"/>
              </w:rPr>
            </w:pPr>
            <w:r>
              <w:rPr>
                <w:rFonts w:eastAsia="Times New Roman"/>
                <w:b w:val="0"/>
                <w:color w:val="000000"/>
                <w:kern w:val="24"/>
                <w:sz w:val="18"/>
                <w:szCs w:val="18"/>
                <w:lang w:eastAsia="es-CL"/>
              </w:rPr>
              <w:t xml:space="preserve">                           10 </w:t>
            </w:r>
          </w:p>
        </w:tc>
        <w:tc>
          <w:tcPr>
            <w:tcW w:w="1096" w:type="dxa"/>
            <w:tcBorders>
              <w:top w:val="single" w:sz="4" w:space="0" w:color="FFFFFF"/>
              <w:left w:val="single" w:sz="4" w:space="0" w:color="FFFFFF"/>
              <w:bottom w:val="single" w:sz="4" w:space="0" w:color="FFFFFF"/>
              <w:right w:val="single" w:sz="4" w:space="0" w:color="FFFFFF"/>
            </w:tcBorders>
            <w:shd w:val="clear" w:color="auto" w:fill="DCE6F1"/>
            <w:tcMar>
              <w:top w:w="13" w:type="dxa"/>
              <w:left w:w="13" w:type="dxa"/>
              <w:bottom w:w="0" w:type="dxa"/>
              <w:right w:w="13" w:type="dxa"/>
            </w:tcMar>
            <w:vAlign w:val="bottom"/>
            <w:hideMark/>
          </w:tcPr>
          <w:p>
            <w:pPr>
              <w:tabs>
                <w:tab w:val="clear" w:pos="2835"/>
              </w:tabs>
              <w:jc w:val="right"/>
              <w:textAlignment w:val="bottom"/>
              <w:rPr>
                <w:rFonts w:eastAsia="Times New Roman"/>
                <w:b w:val="0"/>
                <w:sz w:val="18"/>
                <w:szCs w:val="18"/>
                <w:lang w:eastAsia="es-CL"/>
              </w:rPr>
            </w:pPr>
            <w:r>
              <w:rPr>
                <w:rFonts w:eastAsia="Times New Roman"/>
                <w:b w:val="0"/>
                <w:color w:val="000000"/>
                <w:kern w:val="24"/>
                <w:sz w:val="18"/>
                <w:szCs w:val="18"/>
                <w:lang w:eastAsia="es-CL"/>
              </w:rPr>
              <w:t xml:space="preserve">             1.072.194 </w:t>
            </w:r>
          </w:p>
        </w:tc>
        <w:tc>
          <w:tcPr>
            <w:tcW w:w="1294" w:type="dxa"/>
            <w:tcBorders>
              <w:top w:val="single" w:sz="4" w:space="0" w:color="FFFFFF"/>
              <w:left w:val="single" w:sz="4" w:space="0" w:color="FFFFFF"/>
              <w:bottom w:val="single" w:sz="4" w:space="0" w:color="FFFFFF"/>
              <w:right w:val="single" w:sz="4" w:space="0" w:color="FFFFFF"/>
            </w:tcBorders>
            <w:shd w:val="clear" w:color="auto" w:fill="DCE6F1"/>
            <w:tcMar>
              <w:top w:w="13" w:type="dxa"/>
              <w:left w:w="13" w:type="dxa"/>
              <w:bottom w:w="0" w:type="dxa"/>
              <w:right w:w="13" w:type="dxa"/>
            </w:tcMar>
            <w:vAlign w:val="bottom"/>
            <w:hideMark/>
          </w:tcPr>
          <w:p>
            <w:pPr>
              <w:tabs>
                <w:tab w:val="clear" w:pos="2835"/>
              </w:tabs>
              <w:jc w:val="right"/>
              <w:textAlignment w:val="bottom"/>
              <w:rPr>
                <w:rFonts w:eastAsia="Times New Roman"/>
                <w:b w:val="0"/>
                <w:sz w:val="18"/>
                <w:szCs w:val="18"/>
                <w:lang w:eastAsia="es-CL"/>
              </w:rPr>
            </w:pPr>
            <w:r>
              <w:rPr>
                <w:rFonts w:eastAsia="Times New Roman"/>
                <w:b w:val="0"/>
                <w:color w:val="000000"/>
                <w:kern w:val="24"/>
                <w:sz w:val="18"/>
                <w:szCs w:val="18"/>
                <w:lang w:eastAsia="es-CL"/>
              </w:rPr>
              <w:t xml:space="preserve">                  1.072.194 </w:t>
            </w:r>
          </w:p>
        </w:tc>
        <w:tc>
          <w:tcPr>
            <w:tcW w:w="982" w:type="dxa"/>
            <w:tcBorders>
              <w:top w:val="single" w:sz="4" w:space="0" w:color="FFFFFF"/>
              <w:left w:val="single" w:sz="4" w:space="0" w:color="FFFFFF"/>
              <w:bottom w:val="single" w:sz="4" w:space="0" w:color="FFFFFF"/>
              <w:right w:val="single" w:sz="4" w:space="0" w:color="FFFFFF"/>
            </w:tcBorders>
            <w:shd w:val="clear" w:color="auto" w:fill="DCE6F1"/>
            <w:tcMar>
              <w:top w:w="13" w:type="dxa"/>
              <w:left w:w="13" w:type="dxa"/>
              <w:bottom w:w="0" w:type="dxa"/>
              <w:right w:w="13" w:type="dxa"/>
            </w:tcMar>
            <w:vAlign w:val="bottom"/>
            <w:hideMark/>
          </w:tcPr>
          <w:p>
            <w:pPr>
              <w:tabs>
                <w:tab w:val="clear" w:pos="2835"/>
              </w:tabs>
              <w:jc w:val="center"/>
              <w:textAlignment w:val="bottom"/>
              <w:rPr>
                <w:rFonts w:eastAsia="Times New Roman"/>
                <w:b w:val="0"/>
                <w:sz w:val="18"/>
                <w:szCs w:val="18"/>
                <w:lang w:eastAsia="es-CL"/>
              </w:rPr>
            </w:pPr>
            <w:r>
              <w:rPr>
                <w:rFonts w:eastAsia="Times New Roman"/>
                <w:b w:val="0"/>
                <w:color w:val="000000"/>
                <w:kern w:val="24"/>
                <w:sz w:val="18"/>
                <w:szCs w:val="18"/>
                <w:lang w:eastAsia="es-CL"/>
              </w:rPr>
              <w:t>10721940%</w:t>
            </w:r>
          </w:p>
        </w:tc>
        <w:tc>
          <w:tcPr>
            <w:tcW w:w="1090" w:type="dxa"/>
            <w:tcBorders>
              <w:top w:val="single" w:sz="4" w:space="0" w:color="FFFFFF"/>
              <w:left w:val="single" w:sz="4" w:space="0" w:color="FFFFFF"/>
              <w:bottom w:val="single" w:sz="4" w:space="0" w:color="FFFFFF"/>
              <w:right w:val="single" w:sz="4" w:space="0" w:color="FFFFFF"/>
            </w:tcBorders>
            <w:shd w:val="clear" w:color="auto" w:fill="DCE6F1"/>
            <w:tcMar>
              <w:top w:w="13" w:type="dxa"/>
              <w:left w:w="13" w:type="dxa"/>
              <w:bottom w:w="0" w:type="dxa"/>
              <w:right w:w="13" w:type="dxa"/>
            </w:tcMar>
            <w:vAlign w:val="bottom"/>
            <w:hideMark/>
          </w:tcPr>
          <w:p>
            <w:pPr>
              <w:tabs>
                <w:tab w:val="clear" w:pos="2835"/>
              </w:tabs>
              <w:jc w:val="center"/>
              <w:textAlignment w:val="bottom"/>
              <w:rPr>
                <w:rFonts w:eastAsia="Times New Roman"/>
                <w:b w:val="0"/>
                <w:sz w:val="18"/>
                <w:szCs w:val="18"/>
                <w:lang w:eastAsia="es-CL"/>
              </w:rPr>
            </w:pPr>
            <w:r>
              <w:rPr>
                <w:rFonts w:eastAsia="Times New Roman"/>
                <w:b w:val="0"/>
                <w:color w:val="000000"/>
                <w:kern w:val="24"/>
                <w:sz w:val="18"/>
                <w:szCs w:val="18"/>
                <w:lang w:eastAsia="es-CL"/>
              </w:rPr>
              <w:t>100%</w:t>
            </w:r>
          </w:p>
        </w:tc>
      </w:tr>
    </w:tbl>
    <w:p>
      <w:pPr>
        <w:rPr>
          <w:b w:val="0"/>
        </w:rPr>
      </w:pPr>
    </w:p>
    <w:p>
      <w:pPr>
        <w:rPr>
          <w:b w:val="0"/>
        </w:rPr>
      </w:pPr>
      <w:r>
        <w:rPr>
          <w:b w:val="0"/>
        </w:rPr>
        <w:tab/>
        <w:t>Manifestó que hasta la fecha, tienen una ejecución cercana al 60% cifra razonable toda vez que esta Institución tiene contratos de servicios que se ejecutan durante el año, lo que adicionado al gasto en personal, da un cálculo que linealmente considera pertinente a la altura del año, es decir, a agosto de este año.</w:t>
      </w:r>
    </w:p>
    <w:p>
      <w:pPr>
        <w:rPr>
          <w:b w:val="0"/>
        </w:rPr>
      </w:pPr>
    </w:p>
    <w:p>
      <w:pPr>
        <w:jc w:val="center"/>
      </w:pPr>
      <w:r>
        <w:t>Incremento presupuestario</w:t>
      </w:r>
    </w:p>
    <w:p>
      <w:pPr>
        <w:rPr>
          <w:b w:val="0"/>
        </w:rPr>
      </w:pPr>
    </w:p>
    <w:p>
      <w:pPr>
        <w:rPr>
          <w:b w:val="0"/>
        </w:rPr>
      </w:pPr>
      <w:r>
        <w:rPr>
          <w:b w:val="0"/>
        </w:rPr>
        <w:tab/>
        <w:t>Respecto de los incrementos presupuestarios, en el</w:t>
      </w:r>
      <w:r>
        <w:t xml:space="preserve"> Subtítulo 21: Gasto en Personal, </w:t>
      </w:r>
      <w:r>
        <w:rPr>
          <w:b w:val="0"/>
        </w:rPr>
        <w:t>no se registra variación respecto de la Ley de Presupuesto 2016 (con reajuste).</w:t>
      </w:r>
    </w:p>
    <w:p>
      <w:pPr>
        <w:rPr>
          <w:b w:val="0"/>
        </w:rPr>
      </w:pPr>
    </w:p>
    <w:p>
      <w:pPr>
        <w:rPr>
          <w:b w:val="0"/>
        </w:rPr>
      </w:pPr>
      <w:r>
        <w:rPr>
          <w:b w:val="0"/>
        </w:rPr>
        <w:tab/>
        <w:t>En el caso del</w:t>
      </w:r>
      <w:r>
        <w:t xml:space="preserve"> Subtitulo 22, Bienes y Servicios de Consumo, </w:t>
      </w:r>
      <w:r>
        <w:rPr>
          <w:b w:val="0"/>
        </w:rPr>
        <w:t xml:space="preserve">se registra una disminución de un </w:t>
      </w:r>
      <w:r>
        <w:t xml:space="preserve">3,0% </w:t>
      </w:r>
      <w:r>
        <w:rPr>
          <w:b w:val="0"/>
        </w:rPr>
        <w:t>(M$104.304) respecto de la Ley de Presupuesto 2016, que estima se reorganicen dentro de la Institución para poder generar todas las actividades que requieren para el cumplimiento de sus metas, debiendo ajustar y priorizar el gasto a fin de optimizar los recursos disponibles.</w:t>
      </w:r>
    </w:p>
    <w:p>
      <w:pPr>
        <w:rPr>
          <w:b w:val="0"/>
        </w:rPr>
      </w:pPr>
    </w:p>
    <w:p>
      <w:pPr>
        <w:rPr>
          <w:b w:val="0"/>
        </w:rPr>
      </w:pPr>
      <w:r>
        <w:rPr>
          <w:b w:val="0"/>
        </w:rPr>
        <w:tab/>
        <w:t xml:space="preserve">En cuanto al </w:t>
      </w:r>
      <w:r>
        <w:t xml:space="preserve"> Subtitulo 24, Transferencias Corrientes, s</w:t>
      </w:r>
      <w:r>
        <w:rPr>
          <w:b w:val="0"/>
        </w:rPr>
        <w:t xml:space="preserve">e registra un aumento de M$195.350 respecto de la Ley de Presupuesto 2016 que equivale a un </w:t>
      </w:r>
      <w:r>
        <w:t>12,4%</w:t>
      </w:r>
      <w:r>
        <w:rPr>
          <w:b w:val="0"/>
        </w:rPr>
        <w:t xml:space="preserve"> correspondiendo principalmente al fortalecimiento del Tribunal de Compras Públicas.</w:t>
      </w:r>
    </w:p>
    <w:p>
      <w:pPr>
        <w:rPr>
          <w:b w:val="0"/>
        </w:rPr>
      </w:pPr>
    </w:p>
    <w:p>
      <w:pPr>
        <w:rPr>
          <w:b w:val="0"/>
        </w:rPr>
      </w:pPr>
      <w:r>
        <w:rPr>
          <w:b w:val="0"/>
        </w:rPr>
        <w:tab/>
        <w:t xml:space="preserve">En el caso del </w:t>
      </w:r>
      <w:r>
        <w:t xml:space="preserve"> Subtitulo 29, Adquisición de Activos no Financieros, </w:t>
      </w:r>
      <w:r>
        <w:rPr>
          <w:b w:val="0"/>
        </w:rPr>
        <w:t>también hay un presupuesto de continuidad, no  registrándose variación respecto de la Ley de Presupuesto 2016 (con reajuste).</w:t>
      </w:r>
    </w:p>
    <w:p>
      <w:pPr>
        <w:rPr>
          <w:b w:val="0"/>
        </w:rPr>
      </w:pPr>
    </w:p>
    <w:p>
      <w:r>
        <w:tab/>
        <w:t>Tribunal de Compras Públicas</w:t>
      </w:r>
    </w:p>
    <w:p>
      <w:pPr>
        <w:rPr>
          <w:b w:val="0"/>
        </w:rPr>
      </w:pPr>
    </w:p>
    <w:p>
      <w:pPr>
        <w:rPr>
          <w:b w:val="0"/>
        </w:rPr>
      </w:pPr>
      <w:r>
        <w:rPr>
          <w:b w:val="0"/>
        </w:rPr>
        <w:tab/>
        <w:t>El incremento presupuestario, como señaló anteriormente, se debe al fortalecimiento del Tribunal de Compras Públicas, producto de los cambios en la ley N°20.883 que modificó la Ley de Compras Públicas aumentando el número de sesiones de los magistrados del Tribunal y la ley N°20.774 que suprimió el feriado judicial de febrero. En consecuencia, necesitan contar con los recursos para la cobertura de ese aumento de sesiones. Por ello se incrementa el gasto por esta razón y por el arriendo de Software de Gestión y Tramitación Electrónica de Causas en este Presupuesto 2017 en M$ 537.284.</w:t>
      </w:r>
    </w:p>
    <w:p>
      <w:pPr>
        <w:rPr>
          <w:b w:val="0"/>
        </w:rPr>
      </w:pPr>
    </w:p>
    <w:p>
      <w:pPr>
        <w:rPr>
          <w:b w:val="0"/>
        </w:rPr>
      </w:pPr>
      <w:r>
        <w:rPr>
          <w:b w:val="0"/>
        </w:rPr>
        <w:tab/>
        <w:t>Adicionalmente el Tribunal requiere de algunos sistemas complementarios para el cumplimiento de sus funciones del orden de 60 millones de pesos, lo que sumado al aumento que se requiere en dotación de personal, homologación de funcionarios a honorarios, producto del aumento de audiencias de 132 a 252, genera la nueva cifra del Tribunal para el período que sigue.</w:t>
      </w:r>
    </w:p>
    <w:p>
      <w:pPr>
        <w:rPr>
          <w:b w:val="0"/>
        </w:rPr>
      </w:pPr>
    </w:p>
    <w:p>
      <w:pPr>
        <w:rPr>
          <w:b w:val="0"/>
        </w:rPr>
      </w:pPr>
      <w:r>
        <w:rPr>
          <w:b w:val="0"/>
        </w:rPr>
        <w:tab/>
        <w:t>Además, esta Institución se encuentra en el marco del proyecto de fortalecimiento institucional que lidera el Ministerio de Hacienda a través del equipo de modernización. En el caso de Chilecompras tal como estaba proyectado hay un presupuesto para el período que sigue de 1.220 millones de pesos, cifra que aparece como un aumento, sin embargo, es algo que ya estaba planificado y las acciones se encuentran definidas en el plazo correspondiente.</w:t>
      </w:r>
    </w:p>
    <w:p>
      <w:pPr>
        <w:rPr>
          <w:b w:val="0"/>
        </w:rPr>
      </w:pPr>
    </w:p>
    <w:p>
      <w:pPr>
        <w:rPr>
          <w:b w:val="0"/>
        </w:rPr>
      </w:pPr>
      <w:r>
        <w:rPr>
          <w:b w:val="0"/>
        </w:rPr>
        <w:tab/>
        <w:t>Luego, señaló las metas estratégicas para el año 2017, que son las siguientes:</w:t>
      </w:r>
    </w:p>
    <w:p>
      <w:pPr>
        <w:rPr>
          <w:b w:val="0"/>
        </w:rPr>
      </w:pPr>
    </w:p>
    <w:p>
      <w:r>
        <w:tab/>
        <w:t>Proyecto de Fortalecimiento Institucional - BID</w:t>
      </w:r>
    </w:p>
    <w:p>
      <w:pPr>
        <w:rPr>
          <w:b w:val="0"/>
        </w:rPr>
      </w:pPr>
    </w:p>
    <w:p>
      <w:pPr>
        <w:rPr>
          <w:b w:val="0"/>
        </w:rPr>
      </w:pPr>
      <w:r>
        <w:rPr>
          <w:b w:val="0"/>
        </w:rPr>
        <w:tab/>
        <w:t>Proyecto que busca propiciar procesos de compra de calidad a través de dos líneas de acción:</w:t>
      </w:r>
    </w:p>
    <w:p>
      <w:pPr>
        <w:rPr>
          <w:b w:val="0"/>
        </w:rPr>
      </w:pPr>
    </w:p>
    <w:p>
      <w:pPr>
        <w:rPr>
          <w:b w:val="0"/>
        </w:rPr>
      </w:pPr>
      <w:r>
        <w:rPr>
          <w:b w:val="0"/>
        </w:rPr>
        <w:t xml:space="preserve">- Redefinir el modelo de convenio marco, rediseñar su gestión y operación, e implementar el nuevo diseño, que permita dar continuidad a este servicio y aumentar la satisfacción de usuarios y eficiencia y eficacia del modelo. </w:t>
      </w:r>
    </w:p>
    <w:p>
      <w:pPr>
        <w:rPr>
          <w:b w:val="0"/>
        </w:rPr>
      </w:pPr>
    </w:p>
    <w:p>
      <w:pPr>
        <w:rPr>
          <w:b w:val="0"/>
        </w:rPr>
      </w:pPr>
      <w:r>
        <w:rPr>
          <w:b w:val="0"/>
        </w:rPr>
        <w:t>- Innovar en el modelo actual para optimizar el proceso de compra, profundizando el diseño e implementación de herramientas asociadas a las etapas de planificación de compras, gestión de contratos y monitoreo.</w:t>
      </w:r>
    </w:p>
    <w:p>
      <w:pPr>
        <w:rPr>
          <w:b w:val="0"/>
        </w:rPr>
      </w:pPr>
    </w:p>
    <w:p>
      <w:pPr>
        <w:rPr>
          <w:b w:val="0"/>
        </w:rPr>
      </w:pPr>
      <w:r>
        <w:rPr>
          <w:b w:val="0"/>
        </w:rPr>
        <w:t>- Presupuesto 2017: M$ 1.220.506</w:t>
      </w:r>
    </w:p>
    <w:p>
      <w:pPr>
        <w:rPr>
          <w:b w:val="0"/>
        </w:rPr>
      </w:pPr>
    </w:p>
    <w:p>
      <w:r>
        <w:rPr>
          <w:b w:val="0"/>
        </w:rPr>
        <w:tab/>
      </w:r>
      <w:r>
        <w:t>Terminada la presentación, los señores parlamentarios formularon las siguientes consultas:</w:t>
      </w:r>
    </w:p>
    <w:p/>
    <w:p>
      <w:pPr>
        <w:rPr>
          <w:b w:val="0"/>
        </w:rPr>
      </w:pPr>
      <w:r>
        <w:tab/>
        <w:t xml:space="preserve">El Honorable Diputado señor Silva, </w:t>
      </w:r>
      <w:r>
        <w:rPr>
          <w:b w:val="0"/>
        </w:rPr>
        <w:t>preguntó cómo ha sido el avance en la implementación del Tribunal de Compras Públicas. En qué se traduce este mayor requerimiento de la ley, cuál es la operatividad y si hay algo que se haya aprendido que sea útil  como para la toma de decisiones.</w:t>
      </w:r>
    </w:p>
    <w:p>
      <w:pPr>
        <w:rPr>
          <w:b w:val="0"/>
        </w:rPr>
      </w:pPr>
    </w:p>
    <w:p>
      <w:pPr>
        <w:rPr>
          <w:b w:val="0"/>
        </w:rPr>
      </w:pPr>
      <w:r>
        <w:rPr>
          <w:b w:val="0"/>
        </w:rPr>
        <w:tab/>
        <w:t>Además, consultó sobre las medidas que se han adoptado respecto de la transparencia en los procesos de compras públicas a nivel municipal. Destacó que parecía haber modelos matemáticos, para usar big data, con la finalidad de modelar y simular colusiones. Nunca han visto que se les traiga información sobre el particular. Solicita información sobre el nivel de avance. Cree que a través de comportamientos repetidos y acumulados se pueden extraer conclusiones. Reiteró consultando cuál ha sido el avance.</w:t>
      </w:r>
    </w:p>
    <w:p>
      <w:pPr>
        <w:rPr>
          <w:b w:val="0"/>
        </w:rPr>
      </w:pPr>
    </w:p>
    <w:p>
      <w:pPr>
        <w:rPr>
          <w:b w:val="0"/>
        </w:rPr>
      </w:pPr>
      <w:r>
        <w:rPr>
          <w:b w:val="0"/>
        </w:rPr>
        <w:tab/>
      </w:r>
      <w:r>
        <w:t xml:space="preserve">El Director Subrogante de Chilecompra, señor Claudio Loyola, </w:t>
      </w:r>
      <w:r>
        <w:rPr>
          <w:b w:val="0"/>
        </w:rPr>
        <w:t xml:space="preserve">en relación con el Tribunal señaló que se ha detectado la necesidad de aumentar las audiencias de manera de poder dar cobertura a los requerimientos que llegan a este organismo y que son la causa del aumento presupuestario. No hay otra razón. </w:t>
      </w:r>
    </w:p>
    <w:p>
      <w:pPr>
        <w:rPr>
          <w:b w:val="0"/>
        </w:rPr>
      </w:pPr>
    </w:p>
    <w:p>
      <w:pPr>
        <w:rPr>
          <w:b w:val="0"/>
        </w:rPr>
      </w:pPr>
      <w:r>
        <w:rPr>
          <w:b w:val="0"/>
        </w:rPr>
        <w:tab/>
        <w:t>Añadió que para el aumento de audiencias se requiere de un Abogado que apoye y de un administrativo.</w:t>
      </w:r>
    </w:p>
    <w:p>
      <w:pPr>
        <w:rPr>
          <w:b w:val="0"/>
        </w:rPr>
      </w:pPr>
    </w:p>
    <w:p>
      <w:pPr>
        <w:rPr>
          <w:b w:val="0"/>
        </w:rPr>
      </w:pPr>
      <w:r>
        <w:rPr>
          <w:b w:val="0"/>
        </w:rPr>
        <w:tab/>
        <w:t>Respecto del funcionamiento del Tribunal señaló que hoy día tiene su sede en Santiago y recibe las reclamaciones de los proveedores que se sienten vulnerados en alguna etapa del proceso licitatorio. Estas reclamaciones se hacen al Tribunal en un plazo no superior a 10 días. En el caso de las Regiones las reclamaciones se pueden entregar en las Intendencias las que las remiten directamente al Tribunal. Se revisan y en caso de que tengan mérito se incorporan en el procedimiento habitual. Hay relatores que presentan las causas a los jueces del tribunal y son éstos los que evalúan la pertinencia de cada una de las reclamaciones. Esto sigue un conducto regular al igual que cualquier tribunal similar.</w:t>
      </w:r>
    </w:p>
    <w:p>
      <w:pPr>
        <w:rPr>
          <w:b w:val="0"/>
        </w:rPr>
      </w:pPr>
    </w:p>
    <w:p>
      <w:pPr>
        <w:rPr>
          <w:b w:val="0"/>
        </w:rPr>
      </w:pPr>
      <w:r>
        <w:rPr>
          <w:b w:val="0"/>
        </w:rPr>
        <w:tab/>
      </w:r>
      <w:r>
        <w:t>El Honorable Diputado señor Silva</w:t>
      </w:r>
      <w:r>
        <w:rPr>
          <w:b w:val="0"/>
        </w:rPr>
        <w:t>, solicitó una minuta en donde se desagreguen en los últimos 3 años las causas que se han presentado en licitaciones de salud. Separando el mundo municipal del gobierno central para poder tener una idea o saber dónde están los mayores problemas, dónde hay mayor conflicto.</w:t>
      </w:r>
    </w:p>
    <w:p>
      <w:pPr>
        <w:rPr>
          <w:b w:val="0"/>
        </w:rPr>
      </w:pPr>
    </w:p>
    <w:p>
      <w:pPr>
        <w:rPr>
          <w:b w:val="0"/>
        </w:rPr>
      </w:pPr>
      <w:r>
        <w:rPr>
          <w:b w:val="0"/>
        </w:rPr>
        <w:tab/>
      </w:r>
      <w:r>
        <w:t>El Presidente de la Subcomisión, Honorable Diputado señor De Mussy</w:t>
      </w:r>
      <w:r>
        <w:rPr>
          <w:b w:val="0"/>
        </w:rPr>
        <w:t xml:space="preserve"> solicitó un resumen sobre este tema, principalmente en el mundo municipal donde hay un mayor número de reclamos. </w:t>
      </w:r>
    </w:p>
    <w:p>
      <w:pPr>
        <w:rPr>
          <w:b w:val="0"/>
        </w:rPr>
      </w:pPr>
    </w:p>
    <w:p>
      <w:pPr>
        <w:rPr>
          <w:b w:val="0"/>
        </w:rPr>
      </w:pPr>
      <w:r>
        <w:rPr>
          <w:b w:val="0"/>
        </w:rPr>
        <w:tab/>
        <w:t>También consultó respecto del gasto de personal que se mantiene pero en la glosa 5 se aumenta la dotación máxima de personal en 7 personas, o sea, en un 5% y, además, se agrega un párrafo que no estaba en la ley del año pasado que dice: “Hasta 7 cupos de los señalados en la dotación máxima podrán destinarse al cumplimiento de lo señalado en el inciso segundo del artículo 23 de la Ley 19.886”.</w:t>
      </w:r>
    </w:p>
    <w:p>
      <w:pPr>
        <w:rPr>
          <w:b w:val="0"/>
        </w:rPr>
      </w:pPr>
    </w:p>
    <w:p>
      <w:pPr>
        <w:rPr>
          <w:b w:val="0"/>
        </w:rPr>
      </w:pPr>
      <w:r>
        <w:rPr>
          <w:b w:val="0"/>
        </w:rPr>
        <w:tab/>
        <w:t xml:space="preserve"> Solicita una explicación si con los mismos recursos se está aumentando el número de dotación máxima y por qué se agrega que 7 cupos pueden ser destinados a esto.</w:t>
      </w:r>
    </w:p>
    <w:p>
      <w:pPr>
        <w:rPr>
          <w:b w:val="0"/>
        </w:rPr>
      </w:pPr>
    </w:p>
    <w:p>
      <w:pPr>
        <w:rPr>
          <w:b w:val="0"/>
        </w:rPr>
      </w:pPr>
      <w:r>
        <w:rPr>
          <w:b w:val="0"/>
        </w:rPr>
        <w:tab/>
      </w:r>
      <w:r>
        <w:t>El Director Subrogante de Chilecompra, señor Claudio Loyola</w:t>
      </w:r>
      <w:r>
        <w:rPr>
          <w:b w:val="0"/>
        </w:rPr>
        <w:t xml:space="preserve"> señaló que tienen que cumplir con ciertos compromisos de traspasar funcionarios que están a honorarios y a contrata y, por lo tanto, hay que contemplar estas provisiones ahora en el lanzamiento del presupuesto del próximo período y, adicionalmente, comentó que en este caso la dotación de personal es de 127 funcionarios que han sido informados periódicamente. Hoy día tienen 121 cupos que están utilizados y los otros  que no están utilizados responden al proceso de rotación de personal no es que estén aumentando las necesidades funcionarias dentro de la Institución. En total son 4 los que se traspasan de honorarios a contrata, más los dos del Tribunal, así se completan los seis.</w:t>
      </w:r>
    </w:p>
    <w:p>
      <w:pPr>
        <w:rPr>
          <w:b w:val="0"/>
        </w:rPr>
      </w:pPr>
    </w:p>
    <w:p>
      <w:pPr>
        <w:rPr>
          <w:b w:val="0"/>
        </w:rPr>
      </w:pPr>
      <w:r>
        <w:rPr>
          <w:b w:val="0"/>
        </w:rPr>
        <w:tab/>
      </w:r>
      <w:r>
        <w:t>El Presidente de la Subcomisión, Honorable Diputado señor De Mussy</w:t>
      </w:r>
      <w:r>
        <w:rPr>
          <w:b w:val="0"/>
        </w:rPr>
        <w:t xml:space="preserve"> señaló que, en resumen, el aumento de personal es cero pero se aumentan los cupos porque estarían pasando gente que está a honorarios dentro del presupuesto, a contrata. </w:t>
      </w:r>
    </w:p>
    <w:p>
      <w:pPr>
        <w:rPr>
          <w:b w:val="0"/>
        </w:rPr>
      </w:pPr>
    </w:p>
    <w:p>
      <w:pPr>
        <w:rPr>
          <w:b w:val="0"/>
        </w:rPr>
      </w:pPr>
      <w:r>
        <w:rPr>
          <w:b w:val="0"/>
        </w:rPr>
        <w:tab/>
      </w:r>
      <w:r>
        <w:rPr>
          <w:b w:val="0"/>
        </w:rPr>
        <w:tab/>
        <w:t>Además, consultó qué significa el tema de la glosa antes indicada.</w:t>
      </w:r>
    </w:p>
    <w:p>
      <w:pPr>
        <w:rPr>
          <w:b w:val="0"/>
        </w:rPr>
      </w:pPr>
    </w:p>
    <w:p>
      <w:pPr>
        <w:rPr>
          <w:b w:val="0"/>
        </w:rPr>
      </w:pPr>
      <w:r>
        <w:rPr>
          <w:b w:val="0"/>
        </w:rPr>
        <w:tab/>
        <w:t>Se explicó que el Tribunal de Compras tiene una dotación. La ley establece que el Servicio le va a dar el apoyo operativo y administrativo. En años anteriores estos gastos se encontraban en las transferencias al Tribunal de Compras. Este año quisieron identificar cuánta gente está asociada y apoya el Tribunal de Compras en la dotación máxima. Esto ya estaba el año pasado y en el antepasado y ha estado siempre pero no estaban identificados como dotación máxima y como han tratado de ir acotando todo esto que no queden recursos libres, le colocaron este año de dotación 7 personas que se dedican a atender los requerimientos del Tribunal el que lleva funcionando desde el inicio de la reforma del año 2003. El auto acordado del Tribunal es del año siguiente.</w:t>
      </w:r>
    </w:p>
    <w:p>
      <w:pPr>
        <w:rPr>
          <w:b w:val="0"/>
        </w:rPr>
      </w:pPr>
    </w:p>
    <w:p>
      <w:pPr>
        <w:rPr>
          <w:b w:val="0"/>
        </w:rPr>
      </w:pPr>
      <w:r>
        <w:rPr>
          <w:b w:val="0"/>
        </w:rPr>
        <w:tab/>
      </w:r>
      <w:r>
        <w:t>El Honorable Diputado señor Silva</w:t>
      </w:r>
      <w:r>
        <w:rPr>
          <w:b w:val="0"/>
        </w:rPr>
        <w:t xml:space="preserve"> consultó cómo están viendo la colusión a nivel de licitación en lo municipal.</w:t>
      </w:r>
    </w:p>
    <w:p>
      <w:pPr>
        <w:rPr>
          <w:b w:val="0"/>
        </w:rPr>
      </w:pPr>
    </w:p>
    <w:p>
      <w:pPr>
        <w:rPr>
          <w:b w:val="0"/>
        </w:rPr>
      </w:pPr>
      <w:r>
        <w:rPr>
          <w:b w:val="0"/>
        </w:rPr>
        <w:tab/>
        <w:t>Se le respondió que una de las líneas de trabajo en materia de transparencia con los municipios fue la constitución de mesas de probidad que se hizo en coordinación con la Contraloría General de la República. Estas son acciones concretas para detectar este tipo de casos para levantar la importancia de la probidad tanto a nivel regional como a nivel central.</w:t>
      </w:r>
    </w:p>
    <w:p>
      <w:pPr>
        <w:rPr>
          <w:b w:val="0"/>
        </w:rPr>
      </w:pPr>
    </w:p>
    <w:p>
      <w:pPr>
        <w:rPr>
          <w:b w:val="0"/>
        </w:rPr>
      </w:pPr>
      <w:r>
        <w:rPr>
          <w:b w:val="0"/>
        </w:rPr>
        <w:tab/>
        <w:t>Se efectúan elementos de coordinación para poder detectar casos específicamente con el foco en los municipios. En una línea en términos más generales de impulsar la necesidad de propiciar prácticas a favor de la probidad y de poner a los actores que puedan detectar esos casos.</w:t>
      </w:r>
    </w:p>
    <w:p>
      <w:pPr>
        <w:rPr>
          <w:b w:val="0"/>
        </w:rPr>
      </w:pPr>
      <w:r>
        <w:rPr>
          <w:b w:val="0"/>
        </w:rPr>
        <w:tab/>
        <w:t>En el caso de Chilecompra en términos operativos tienen el Observatorio de Compras Públicas que está siendo reforzado incluso a través del proyecto de fortalecimiento institucional. Este Observatorio mediante herramientas de inteligencia de negocios, de modelos matemáticos es encargado hoy día de detectar posibles casos complejos y éstos se atienden directamente. Hoy día la tasa de detección del Observatorio es realmente interesante, alcanzan a revisar más del 40% de los procesos de contratación pública que están dentro de las metas de aquel Observatorio.</w:t>
      </w:r>
    </w:p>
    <w:p>
      <w:pPr>
        <w:rPr>
          <w:b w:val="0"/>
        </w:rPr>
      </w:pPr>
    </w:p>
    <w:p>
      <w:pPr>
        <w:rPr>
          <w:b w:val="0"/>
        </w:rPr>
      </w:pPr>
      <w:r>
        <w:rPr>
          <w:b w:val="0"/>
        </w:rPr>
        <w:tab/>
        <w:t>Adicionalmente con el proyecto de fortalecimiento quieren facilitar las capacidades de esa línea de trabajo de su Institución.</w:t>
      </w:r>
    </w:p>
    <w:p>
      <w:pPr>
        <w:rPr>
          <w:b w:val="0"/>
        </w:rPr>
      </w:pPr>
    </w:p>
    <w:p>
      <w:pPr>
        <w:rPr>
          <w:b w:val="0"/>
        </w:rPr>
      </w:pPr>
      <w:r>
        <w:rPr>
          <w:b w:val="0"/>
        </w:rPr>
        <w:tab/>
      </w:r>
      <w:r>
        <w:t>El Honorable Diputado señor Silva</w:t>
      </w:r>
      <w:r>
        <w:rPr>
          <w:b w:val="0"/>
        </w:rPr>
        <w:t xml:space="preserve"> destacó que están revisando las reasignaciones y que tomaron Chilecompra como ejemplo, por lo tanto, solicita una explicación de las reasignaciones en el año. </w:t>
      </w:r>
    </w:p>
    <w:p>
      <w:pPr>
        <w:rPr>
          <w:b w:val="0"/>
        </w:rPr>
      </w:pPr>
      <w:r>
        <w:rPr>
          <w:b w:val="0"/>
        </w:rPr>
        <w:t>Entiende que hubo dos decretos que hicieron modificaciones. El  300 del 11 de marzo de 2016 y el 329 de 23 de marzo de este mismo año. Consultó cómo fueron las reasignaciones en el Servicio. Explicó que a raíz del tema de las reasignaciones iniciaron un estudio y quieren entenderlas más. Acá hay altas y bajas de presupuestos en dos decretos distintos y que son de magnitudes no menores en una unidad como las compras públicas. Este ejercicio lo han hecho en todas las Partidas. Quieren entender la lógica de los cambios presupuestarios de cifras relevantes.</w:t>
      </w:r>
    </w:p>
    <w:p>
      <w:pPr>
        <w:rPr>
          <w:b w:val="0"/>
        </w:rPr>
      </w:pPr>
    </w:p>
    <w:p>
      <w:pPr>
        <w:rPr>
          <w:b w:val="0"/>
        </w:rPr>
      </w:pPr>
      <w:r>
        <w:rPr>
          <w:b w:val="0"/>
        </w:rPr>
        <w:tab/>
      </w:r>
      <w:r>
        <w:t>El Director Subrogante de Chilecompra señor Claudio Loyola</w:t>
      </w:r>
      <w:r>
        <w:rPr>
          <w:b w:val="0"/>
        </w:rPr>
        <w:t xml:space="preserve"> explicó que uno de los decretos corresponde al 4% de ajuste y el otro es el decreto de la deuda flotante o el saldo inicial de caja que tienen que modificar ya que lo que queda devengado y no pagado el año anterior de un período para otro tienen que cambiarlo dentro del presupuesto.</w:t>
      </w:r>
    </w:p>
    <w:p>
      <w:pPr>
        <w:rPr>
          <w:b w:val="0"/>
        </w:rPr>
      </w:pPr>
    </w:p>
    <w:p>
      <w:pPr>
        <w:rPr>
          <w:b w:val="0"/>
        </w:rPr>
      </w:pPr>
      <w:r>
        <w:rPr>
          <w:b w:val="0"/>
        </w:rPr>
        <w:tab/>
        <w:t>Finalizó señalando que estos son los dos decretos y que no tienen mayores modificaciones.</w:t>
      </w:r>
    </w:p>
    <w:p>
      <w:pPr>
        <w:rPr>
          <w:b w:val="0"/>
        </w:rPr>
      </w:pPr>
    </w:p>
    <w:p>
      <w:pPr>
        <w:rPr>
          <w:b w:val="0"/>
        </w:rPr>
      </w:pPr>
      <w:r>
        <w:rPr>
          <w:b w:val="0"/>
        </w:rPr>
        <w:tab/>
      </w:r>
      <w:r>
        <w:t>El Honorable Diputado señor Silva</w:t>
      </w:r>
      <w:r>
        <w:rPr>
          <w:b w:val="0"/>
        </w:rPr>
        <w:t>, en resumen, solicitó un informe con las estadísticas sobre transacciones efectuadas por sector, esto es, Gobierno Central y a nivel municipal, junto con el número de transferencias y volumen transado, efectuando de esa forma un resumen del Subtítulo 24.</w:t>
      </w:r>
    </w:p>
    <w:p>
      <w:pPr>
        <w:rPr>
          <w:b w:val="0"/>
        </w:rPr>
      </w:pPr>
    </w:p>
    <w:p>
      <w:pPr>
        <w:rPr>
          <w:lang w:val="es-ES_tradnl"/>
        </w:rPr>
      </w:pPr>
      <w:r>
        <w:rPr>
          <w:b w:val="0"/>
        </w:rPr>
        <w:tab/>
      </w:r>
      <w:r>
        <w:rPr>
          <w:lang w:val="es-ES_tradnl"/>
        </w:rPr>
        <w:t>Sometido a votación el Capítulo 07, Programa 01, fue aprobado sin enmiendas por la unanimidad de los miembros presentes de la Subcomisión, Honorable Diputado señor De Mussy (Presidente), Honorables Senadores señores Coloma y Tuma, y Honorables Diputados señores Schilling y Silva.</w:t>
      </w:r>
    </w:p>
    <w:p>
      <w:pPr>
        <w:rPr>
          <w:b w:val="0"/>
          <w:lang w:val="es-ES_tradnl"/>
        </w:rPr>
      </w:pPr>
    </w:p>
    <w:p>
      <w:pPr>
        <w:rPr>
          <w:b w:val="0"/>
        </w:rPr>
      </w:pPr>
    </w:p>
    <w:p>
      <w:pPr>
        <w:jc w:val="center"/>
        <w:rPr>
          <w:rFonts w:eastAsia="Times New Roman"/>
          <w:bCs/>
          <w:kern w:val="32"/>
          <w:lang w:eastAsia="es-ES"/>
        </w:rPr>
      </w:pPr>
      <w:r>
        <w:rPr>
          <w:rFonts w:eastAsia="Times New Roman"/>
          <w:bCs/>
          <w:kern w:val="32"/>
          <w:lang w:eastAsia="es-ES"/>
        </w:rPr>
        <w:t>CAPITULO 08</w:t>
      </w:r>
    </w:p>
    <w:p>
      <w:pPr>
        <w:jc w:val="center"/>
        <w:rPr>
          <w:rFonts w:eastAsia="Times New Roman"/>
          <w:lang w:eastAsia="es-ES"/>
        </w:rPr>
      </w:pPr>
    </w:p>
    <w:p>
      <w:pPr>
        <w:jc w:val="center"/>
        <w:rPr>
          <w:rFonts w:eastAsia="Times New Roman"/>
          <w:lang w:eastAsia="es-ES"/>
        </w:rPr>
      </w:pPr>
      <w:r>
        <w:rPr>
          <w:rFonts w:eastAsia="Times New Roman"/>
          <w:lang w:eastAsia="es-ES"/>
        </w:rPr>
        <w:t>Programa 01</w:t>
      </w:r>
    </w:p>
    <w:p>
      <w:pPr>
        <w:jc w:val="center"/>
        <w:rPr>
          <w:rFonts w:eastAsia="Times New Roman"/>
          <w:lang w:eastAsia="es-ES"/>
        </w:rPr>
      </w:pPr>
      <w:r>
        <w:rPr>
          <w:rFonts w:eastAsia="Times New Roman"/>
          <w:lang w:eastAsia="es-ES"/>
        </w:rPr>
        <w:t>Superintendencia de Valores y Seguros</w:t>
      </w:r>
    </w:p>
    <w:p>
      <w:pPr>
        <w:rPr>
          <w:rFonts w:eastAsia="Times New Roman"/>
          <w:b w:val="0"/>
          <w:lang w:val="es-ES_tradnl" w:eastAsia="es-ES"/>
        </w:rPr>
      </w:pPr>
    </w:p>
    <w:p>
      <w:pPr>
        <w:rPr>
          <w:rFonts w:eastAsia="Times New Roman"/>
          <w:lang w:eastAsia="es-ES"/>
        </w:rPr>
      </w:pPr>
      <w:r>
        <w:rPr>
          <w:rFonts w:eastAsia="Times New Roman"/>
          <w:b w:val="0"/>
          <w:lang w:eastAsia="es-ES"/>
        </w:rPr>
        <w:tab/>
        <w:t xml:space="preserve">Considera ingresos y gastos por </w:t>
      </w:r>
      <w:r>
        <w:rPr>
          <w:rFonts w:eastAsia="Times New Roman"/>
          <w:lang w:eastAsia="es-ES"/>
        </w:rPr>
        <w:t>$ 16.590.405 miles.</w:t>
      </w:r>
    </w:p>
    <w:p>
      <w:pPr>
        <w:rPr>
          <w:rFonts w:eastAsia="Times New Roman"/>
          <w:b w:val="0"/>
          <w:lang w:eastAsia="es-ES"/>
        </w:rPr>
      </w:pPr>
    </w:p>
    <w:p>
      <w:pPr>
        <w:rPr>
          <w:rFonts w:eastAsia="Times New Roman"/>
          <w:b w:val="0"/>
          <w:lang w:eastAsia="es-ES"/>
        </w:rPr>
      </w:pPr>
      <w:r>
        <w:rPr>
          <w:rFonts w:eastAsia="Times New Roman"/>
          <w:b w:val="0"/>
          <w:lang w:eastAsia="es-ES"/>
        </w:rPr>
        <w:tab/>
        <w:t xml:space="preserve">Su actual presupuesto alcanza una suma de </w:t>
      </w:r>
      <w:r>
        <w:rPr>
          <w:rFonts w:eastAsia="Times New Roman"/>
          <w:b w:val="0"/>
          <w:lang w:eastAsia="es-ES"/>
        </w:rPr>
        <w:br/>
        <w:t>$ 16.616.157 miles, lo que implica una variación de -0,2%.</w:t>
      </w:r>
    </w:p>
    <w:p>
      <w:pPr>
        <w:rPr>
          <w:rFonts w:eastAsia="Times New Roman"/>
          <w:b w:val="0"/>
          <w:lang w:eastAsia="es-ES"/>
        </w:rPr>
      </w:pPr>
    </w:p>
    <w:p>
      <w:pPr>
        <w:rPr>
          <w:rFonts w:eastAsia="Times New Roman"/>
          <w:b w:val="0"/>
          <w:lang w:eastAsia="es-ES"/>
        </w:rPr>
      </w:pPr>
      <w:r>
        <w:rPr>
          <w:rFonts w:eastAsia="Times New Roman"/>
          <w:b w:val="0"/>
          <w:lang w:eastAsia="es-ES"/>
        </w:rPr>
        <w:tab/>
      </w:r>
      <w:r>
        <w:rPr>
          <w:rFonts w:eastAsia="Times New Roman"/>
          <w:lang w:eastAsia="es-ES"/>
        </w:rPr>
        <w:t xml:space="preserve">El Superintendente de Valores y Seguros, señor Carlos Pavez </w:t>
      </w:r>
      <w:r>
        <w:rPr>
          <w:rFonts w:eastAsia="Times New Roman"/>
          <w:b w:val="0"/>
          <w:lang w:eastAsia="es-ES"/>
        </w:rPr>
        <w:t>inició su presentación señalando los lineamientos estratégicos institucionales, que orientan las funciones o tres roles principales del Servicio que son los siguientes:</w:t>
      </w:r>
    </w:p>
    <w:p>
      <w:pPr>
        <w:rPr>
          <w:b w:val="0"/>
        </w:rPr>
      </w:pPr>
      <w:r>
        <w:rPr>
          <w:b w:val="0"/>
        </w:rPr>
        <w:t xml:space="preserve"> </w:t>
      </w:r>
    </w:p>
    <w:p>
      <w:pPr>
        <w:rPr>
          <w:b w:val="0"/>
        </w:rPr>
      </w:pPr>
      <w:r>
        <w:rPr>
          <w:b w:val="0"/>
        </w:rPr>
        <w:tab/>
        <w:t>1.- Supervisión de los mercados de valores y seguros.</w:t>
      </w:r>
    </w:p>
    <w:p>
      <w:pPr>
        <w:rPr>
          <w:b w:val="0"/>
        </w:rPr>
      </w:pPr>
    </w:p>
    <w:p>
      <w:pPr>
        <w:rPr>
          <w:b w:val="0"/>
        </w:rPr>
      </w:pPr>
      <w:r>
        <w:rPr>
          <w:b w:val="0"/>
        </w:rPr>
        <w:tab/>
        <w:t>2.- Regulación de los mercados de valores y seguros.</w:t>
      </w:r>
    </w:p>
    <w:p>
      <w:pPr>
        <w:rPr>
          <w:b w:val="0"/>
        </w:rPr>
      </w:pPr>
    </w:p>
    <w:p>
      <w:pPr>
        <w:rPr>
          <w:b w:val="0"/>
        </w:rPr>
      </w:pPr>
      <w:r>
        <w:rPr>
          <w:b w:val="0"/>
        </w:rPr>
        <w:tab/>
        <w:t>3.- Difusión de información al público en general.</w:t>
      </w:r>
    </w:p>
    <w:p>
      <w:pPr>
        <w:rPr>
          <w:b w:val="0"/>
        </w:rPr>
      </w:pPr>
    </w:p>
    <w:p>
      <w:pPr>
        <w:rPr>
          <w:b w:val="0"/>
        </w:rPr>
      </w:pPr>
      <w:r>
        <w:rPr>
          <w:b w:val="0"/>
        </w:rPr>
        <w:tab/>
        <w:t xml:space="preserve">Agregó que este es un presupuesto de continuidad e informó que hay una pequeña disminución de un 0,2% que está explicada por una parte, por la reducción en el Subtítulo 22, de lo que se estableció en la línea base del presupuesto del año 2017 y que, por otra parte, está en cierta medida compensada por un aumento del presupuesto del Subtítulo 21, para gastos en personal, debido a la incorporación de una nueva Unidad de 4 personas, constituida por un directivo y 3 profesionales, a raíz del nuevo mandato que crea la dictación de la ley 20.880 sobre probidad, para efectos de lo que va a ser el rol de la Superintendencia en la fiscalización de las obligaciones sobre la declaración o de los mandatos de administración de Carteras de autoridades. Este es un tema que se va a implementar a partir del año 2017 que estaba señalado en el informe financiero de la ley. </w:t>
      </w:r>
    </w:p>
    <w:p>
      <w:pPr>
        <w:rPr>
          <w:b w:val="0"/>
        </w:rPr>
      </w:pPr>
    </w:p>
    <w:p>
      <w:pPr>
        <w:rPr>
          <w:b w:val="0"/>
        </w:rPr>
      </w:pPr>
      <w:r>
        <w:rPr>
          <w:b w:val="0"/>
        </w:rPr>
        <w:tab/>
        <w:t>En esa misma línea, agregó que dentro de las metas estratégicas está reforzar todo lo que tiene que ver con la acción de fiscalización, que es lo más importante, donde van a destinar la mayor cantidad de recursos. También destacó que destinarán recursos a los aspectos de mejoras de regulación donde están incorporando un ítem que compensa parte de la reducción del Subtítulo 22 que se traduce en la realización de una actividad conjunta con la Superintendencia de Pensiones y los reguladores de pensiones y de seguros a nivel internacional y con alguna incorporación de un nuevo software de desarrollo informático como nuevas herramientas de fiscalización.</w:t>
      </w:r>
    </w:p>
    <w:p>
      <w:pPr>
        <w:rPr>
          <w:b w:val="0"/>
        </w:rPr>
      </w:pPr>
    </w:p>
    <w:p>
      <w:pPr>
        <w:rPr>
          <w:b w:val="0"/>
        </w:rPr>
      </w:pPr>
      <w:r>
        <w:rPr>
          <w:b w:val="0"/>
        </w:rPr>
        <w:tab/>
        <w:t>Desde el punto de vista de lo que ha sido la ejecución hasta el momento, presentó la siguiente lámina:</w:t>
      </w:r>
    </w:p>
    <w:p>
      <w:pPr>
        <w:rPr>
          <w:b w:val="0"/>
        </w:rPr>
      </w:pPr>
    </w:p>
    <w:p>
      <w:pPr>
        <w:rPr>
          <w:b w:val="0"/>
        </w:rPr>
      </w:pPr>
    </w:p>
    <w:p>
      <w:r>
        <w:t>Presupuesto 2016 – Ejecución Presupuestaria</w:t>
      </w:r>
    </w:p>
    <w:tbl>
      <w:tblPr>
        <w:tblW w:w="9427" w:type="dxa"/>
        <w:tblCellMar>
          <w:left w:w="0" w:type="dxa"/>
          <w:right w:w="0" w:type="dxa"/>
        </w:tblCellMar>
        <w:tblLook w:val="0600" w:firstRow="0" w:lastRow="0" w:firstColumn="0" w:lastColumn="0" w:noHBand="1" w:noVBand="1"/>
      </w:tblPr>
      <w:tblGrid>
        <w:gridCol w:w="1017"/>
        <w:gridCol w:w="2791"/>
        <w:gridCol w:w="1006"/>
        <w:gridCol w:w="1156"/>
        <w:gridCol w:w="1331"/>
        <w:gridCol w:w="1005"/>
        <w:gridCol w:w="1121"/>
      </w:tblGrid>
      <w:tr>
        <w:trPr>
          <w:trHeight w:val="692"/>
        </w:trPr>
        <w:tc>
          <w:tcPr>
            <w:tcW w:w="1021" w:type="dxa"/>
            <w:vMerge w:val="restart"/>
            <w:tcBorders>
              <w:top w:val="single" w:sz="8" w:space="0" w:color="000000"/>
              <w:left w:val="single" w:sz="8" w:space="0" w:color="000000"/>
              <w:bottom w:val="single" w:sz="8" w:space="0" w:color="FFFFFF"/>
              <w:right w:val="single" w:sz="8" w:space="0" w:color="FFFFFF"/>
            </w:tcBorders>
            <w:shd w:val="clear" w:color="auto" w:fill="B9CDE5"/>
            <w:tcMar>
              <w:top w:w="15" w:type="dxa"/>
              <w:left w:w="15" w:type="dxa"/>
              <w:bottom w:w="0" w:type="dxa"/>
              <w:right w:w="15" w:type="dxa"/>
            </w:tcMar>
            <w:vAlign w:val="center"/>
            <w:hideMark/>
          </w:tcPr>
          <w:p>
            <w:pPr>
              <w:tabs>
                <w:tab w:val="clear" w:pos="2835"/>
              </w:tabs>
              <w:jc w:val="center"/>
              <w:textAlignment w:val="center"/>
              <w:rPr>
                <w:rFonts w:eastAsia="Times New Roman"/>
                <w:b w:val="0"/>
                <w:sz w:val="18"/>
                <w:szCs w:val="18"/>
                <w:lang w:eastAsia="es-CL"/>
              </w:rPr>
            </w:pPr>
            <w:r>
              <w:rPr>
                <w:rFonts w:eastAsia="Times New Roman"/>
                <w:bCs/>
                <w:color w:val="000000"/>
                <w:kern w:val="24"/>
                <w:sz w:val="18"/>
                <w:szCs w:val="18"/>
                <w:lang w:eastAsia="es-CL"/>
              </w:rPr>
              <w:t>Subtítulo</w:t>
            </w:r>
          </w:p>
        </w:tc>
        <w:tc>
          <w:tcPr>
            <w:tcW w:w="2818" w:type="dxa"/>
            <w:vMerge w:val="restart"/>
            <w:tcBorders>
              <w:top w:val="single" w:sz="8" w:space="0" w:color="000000"/>
              <w:left w:val="single" w:sz="8" w:space="0" w:color="FFFFFF"/>
              <w:bottom w:val="single" w:sz="8" w:space="0" w:color="FFFFFF"/>
              <w:right w:val="single" w:sz="8" w:space="0" w:color="FFFFFF"/>
            </w:tcBorders>
            <w:shd w:val="clear" w:color="auto" w:fill="B9CDE5"/>
            <w:tcMar>
              <w:top w:w="15" w:type="dxa"/>
              <w:left w:w="15" w:type="dxa"/>
              <w:bottom w:w="0" w:type="dxa"/>
              <w:right w:w="15" w:type="dxa"/>
            </w:tcMar>
            <w:vAlign w:val="center"/>
            <w:hideMark/>
          </w:tcPr>
          <w:p>
            <w:pPr>
              <w:tabs>
                <w:tab w:val="clear" w:pos="2835"/>
              </w:tabs>
              <w:jc w:val="center"/>
              <w:textAlignment w:val="center"/>
              <w:rPr>
                <w:rFonts w:eastAsia="Times New Roman"/>
                <w:b w:val="0"/>
                <w:sz w:val="18"/>
                <w:szCs w:val="18"/>
                <w:lang w:eastAsia="es-CL"/>
              </w:rPr>
            </w:pPr>
            <w:r>
              <w:rPr>
                <w:rFonts w:eastAsia="Times New Roman"/>
                <w:bCs/>
                <w:color w:val="000000"/>
                <w:kern w:val="24"/>
                <w:sz w:val="18"/>
                <w:szCs w:val="18"/>
                <w:lang w:eastAsia="es-CL"/>
              </w:rPr>
              <w:t>Clasificación Presupuestaria</w:t>
            </w:r>
          </w:p>
        </w:tc>
        <w:tc>
          <w:tcPr>
            <w:tcW w:w="3473" w:type="dxa"/>
            <w:gridSpan w:val="3"/>
            <w:tcBorders>
              <w:top w:val="single" w:sz="8" w:space="0" w:color="000000"/>
              <w:left w:val="single" w:sz="8" w:space="0" w:color="FFFFFF"/>
              <w:bottom w:val="single" w:sz="8" w:space="0" w:color="FFFFFF"/>
              <w:right w:val="single" w:sz="8" w:space="0" w:color="FFFFFF"/>
            </w:tcBorders>
            <w:shd w:val="clear" w:color="auto" w:fill="B9CDE5"/>
            <w:tcMar>
              <w:top w:w="15" w:type="dxa"/>
              <w:left w:w="15" w:type="dxa"/>
              <w:bottom w:w="0" w:type="dxa"/>
              <w:right w:w="15" w:type="dxa"/>
            </w:tcMar>
            <w:vAlign w:val="center"/>
            <w:hideMark/>
          </w:tcPr>
          <w:p>
            <w:pPr>
              <w:tabs>
                <w:tab w:val="clear" w:pos="2835"/>
              </w:tabs>
              <w:jc w:val="center"/>
              <w:textAlignment w:val="center"/>
              <w:rPr>
                <w:rFonts w:eastAsia="Times New Roman"/>
                <w:b w:val="0"/>
                <w:sz w:val="18"/>
                <w:szCs w:val="18"/>
                <w:lang w:eastAsia="es-CL"/>
              </w:rPr>
            </w:pPr>
            <w:r>
              <w:rPr>
                <w:rFonts w:eastAsia="Times New Roman"/>
                <w:bCs/>
                <w:color w:val="000000"/>
                <w:kern w:val="24"/>
                <w:sz w:val="18"/>
                <w:szCs w:val="18"/>
                <w:lang w:eastAsia="es-CL"/>
              </w:rPr>
              <w:t>Presupuesto año 2016</w:t>
            </w:r>
          </w:p>
        </w:tc>
        <w:tc>
          <w:tcPr>
            <w:tcW w:w="2114" w:type="dxa"/>
            <w:gridSpan w:val="2"/>
            <w:tcBorders>
              <w:top w:val="single" w:sz="8" w:space="0" w:color="000000"/>
              <w:left w:val="single" w:sz="8" w:space="0" w:color="FFFFFF"/>
              <w:bottom w:val="single" w:sz="8" w:space="0" w:color="FFFFFF"/>
              <w:right w:val="single" w:sz="8" w:space="0" w:color="000000"/>
            </w:tcBorders>
            <w:shd w:val="clear" w:color="auto" w:fill="B9CDE5"/>
            <w:tcMar>
              <w:top w:w="15" w:type="dxa"/>
              <w:left w:w="15" w:type="dxa"/>
              <w:bottom w:w="0" w:type="dxa"/>
              <w:right w:w="15" w:type="dxa"/>
            </w:tcMar>
            <w:vAlign w:val="center"/>
            <w:hideMark/>
          </w:tcPr>
          <w:p>
            <w:pPr>
              <w:tabs>
                <w:tab w:val="clear" w:pos="2835"/>
              </w:tabs>
              <w:jc w:val="center"/>
              <w:textAlignment w:val="center"/>
              <w:rPr>
                <w:rFonts w:eastAsia="Times New Roman"/>
                <w:b w:val="0"/>
                <w:sz w:val="18"/>
                <w:szCs w:val="18"/>
                <w:lang w:eastAsia="es-CL"/>
              </w:rPr>
            </w:pPr>
            <w:r>
              <w:rPr>
                <w:rFonts w:eastAsia="Times New Roman"/>
                <w:bCs/>
                <w:color w:val="000000"/>
                <w:kern w:val="24"/>
                <w:sz w:val="18"/>
                <w:szCs w:val="18"/>
                <w:lang w:eastAsia="es-CL"/>
              </w:rPr>
              <w:t>Avance Ejecución Presupuestaria a agosto 2016</w:t>
            </w:r>
          </w:p>
        </w:tc>
      </w:tr>
      <w:tr>
        <w:trPr>
          <w:trHeight w:val="1038"/>
        </w:trPr>
        <w:tc>
          <w:tcPr>
            <w:tcW w:w="0" w:type="auto"/>
            <w:vMerge/>
            <w:tcBorders>
              <w:top w:val="single" w:sz="8" w:space="0" w:color="000000"/>
              <w:left w:val="single" w:sz="8" w:space="0" w:color="000000"/>
              <w:bottom w:val="single" w:sz="8" w:space="0" w:color="FFFFFF"/>
              <w:right w:val="single" w:sz="8" w:space="0" w:color="FFFFFF"/>
            </w:tcBorders>
            <w:vAlign w:val="center"/>
            <w:hideMark/>
          </w:tcPr>
          <w:p>
            <w:pPr>
              <w:tabs>
                <w:tab w:val="clear" w:pos="2835"/>
              </w:tabs>
              <w:jc w:val="left"/>
              <w:rPr>
                <w:rFonts w:eastAsia="Times New Roman"/>
                <w:b w:val="0"/>
                <w:sz w:val="18"/>
                <w:szCs w:val="18"/>
                <w:lang w:eastAsia="es-CL"/>
              </w:rPr>
            </w:pPr>
          </w:p>
        </w:tc>
        <w:tc>
          <w:tcPr>
            <w:tcW w:w="0" w:type="auto"/>
            <w:vMerge/>
            <w:tcBorders>
              <w:top w:val="single" w:sz="8" w:space="0" w:color="000000"/>
              <w:left w:val="single" w:sz="8" w:space="0" w:color="FFFFFF"/>
              <w:bottom w:val="single" w:sz="8" w:space="0" w:color="FFFFFF"/>
              <w:right w:val="single" w:sz="8" w:space="0" w:color="FFFFFF"/>
            </w:tcBorders>
            <w:vAlign w:val="center"/>
            <w:hideMark/>
          </w:tcPr>
          <w:p>
            <w:pPr>
              <w:tabs>
                <w:tab w:val="clear" w:pos="2835"/>
              </w:tabs>
              <w:jc w:val="left"/>
              <w:rPr>
                <w:rFonts w:eastAsia="Times New Roman"/>
                <w:b w:val="0"/>
                <w:sz w:val="18"/>
                <w:szCs w:val="18"/>
                <w:lang w:eastAsia="es-CL"/>
              </w:rPr>
            </w:pPr>
          </w:p>
        </w:tc>
        <w:tc>
          <w:tcPr>
            <w:tcW w:w="1008" w:type="dxa"/>
            <w:vMerge w:val="restart"/>
            <w:tcBorders>
              <w:top w:val="single" w:sz="8" w:space="0" w:color="FFFFFF"/>
              <w:left w:val="single" w:sz="8" w:space="0" w:color="FFFFFF"/>
              <w:bottom w:val="single" w:sz="8" w:space="0" w:color="FFFFFF"/>
              <w:right w:val="single" w:sz="8" w:space="0" w:color="FFFFFF"/>
            </w:tcBorders>
            <w:shd w:val="clear" w:color="auto" w:fill="B9CDE5"/>
            <w:tcMar>
              <w:top w:w="15" w:type="dxa"/>
              <w:left w:w="15" w:type="dxa"/>
              <w:bottom w:w="0" w:type="dxa"/>
              <w:right w:w="15" w:type="dxa"/>
            </w:tcMar>
            <w:vAlign w:val="center"/>
            <w:hideMark/>
          </w:tcPr>
          <w:p>
            <w:pPr>
              <w:tabs>
                <w:tab w:val="clear" w:pos="2835"/>
              </w:tabs>
              <w:jc w:val="center"/>
              <w:textAlignment w:val="center"/>
              <w:rPr>
                <w:rFonts w:eastAsia="Times New Roman"/>
                <w:b w:val="0"/>
                <w:sz w:val="18"/>
                <w:szCs w:val="18"/>
                <w:lang w:eastAsia="es-CL"/>
              </w:rPr>
            </w:pPr>
            <w:r>
              <w:rPr>
                <w:rFonts w:eastAsia="Times New Roman"/>
                <w:bCs/>
                <w:color w:val="000000"/>
                <w:kern w:val="24"/>
                <w:sz w:val="18"/>
                <w:szCs w:val="18"/>
                <w:lang w:eastAsia="es-CL"/>
              </w:rPr>
              <w:t>Ley Inicial año 2016 (1)</w:t>
            </w:r>
          </w:p>
        </w:tc>
        <w:tc>
          <w:tcPr>
            <w:tcW w:w="1157" w:type="dxa"/>
            <w:vMerge w:val="restart"/>
            <w:tcBorders>
              <w:top w:val="single" w:sz="8" w:space="0" w:color="FFFFFF"/>
              <w:left w:val="single" w:sz="8" w:space="0" w:color="FFFFFF"/>
              <w:bottom w:val="single" w:sz="8" w:space="0" w:color="FFFFFF"/>
              <w:right w:val="single" w:sz="8" w:space="0" w:color="FFFFFF"/>
            </w:tcBorders>
            <w:shd w:val="clear" w:color="auto" w:fill="B9CDE5"/>
            <w:tcMar>
              <w:top w:w="15" w:type="dxa"/>
              <w:left w:w="15" w:type="dxa"/>
              <w:bottom w:w="0" w:type="dxa"/>
              <w:right w:w="15" w:type="dxa"/>
            </w:tcMar>
            <w:vAlign w:val="center"/>
            <w:hideMark/>
          </w:tcPr>
          <w:p>
            <w:pPr>
              <w:tabs>
                <w:tab w:val="clear" w:pos="2835"/>
              </w:tabs>
              <w:jc w:val="center"/>
              <w:textAlignment w:val="center"/>
              <w:rPr>
                <w:rFonts w:eastAsia="Times New Roman"/>
                <w:b w:val="0"/>
                <w:sz w:val="18"/>
                <w:szCs w:val="18"/>
                <w:lang w:eastAsia="es-CL"/>
              </w:rPr>
            </w:pPr>
            <w:r>
              <w:rPr>
                <w:rFonts w:eastAsia="Times New Roman"/>
                <w:bCs/>
                <w:color w:val="000000"/>
                <w:kern w:val="24"/>
                <w:sz w:val="18"/>
                <w:szCs w:val="18"/>
                <w:lang w:eastAsia="es-CL"/>
              </w:rPr>
              <w:t>Presupuesto Vigente a agosto 2016 (2)</w:t>
            </w:r>
          </w:p>
        </w:tc>
        <w:tc>
          <w:tcPr>
            <w:tcW w:w="1309" w:type="dxa"/>
            <w:vMerge w:val="restart"/>
            <w:tcBorders>
              <w:top w:val="single" w:sz="8" w:space="0" w:color="FFFFFF"/>
              <w:left w:val="single" w:sz="8" w:space="0" w:color="FFFFFF"/>
              <w:bottom w:val="single" w:sz="8" w:space="0" w:color="FFFFFF"/>
              <w:right w:val="single" w:sz="8" w:space="0" w:color="FFFFFF"/>
            </w:tcBorders>
            <w:shd w:val="clear" w:color="auto" w:fill="B9CDE5"/>
            <w:tcMar>
              <w:top w:w="15" w:type="dxa"/>
              <w:left w:w="15" w:type="dxa"/>
              <w:bottom w:w="0" w:type="dxa"/>
              <w:right w:w="15" w:type="dxa"/>
            </w:tcMar>
            <w:vAlign w:val="center"/>
            <w:hideMark/>
          </w:tcPr>
          <w:p>
            <w:pPr>
              <w:tabs>
                <w:tab w:val="clear" w:pos="2835"/>
              </w:tabs>
              <w:jc w:val="center"/>
              <w:textAlignment w:val="center"/>
              <w:rPr>
                <w:rFonts w:eastAsia="Times New Roman"/>
                <w:b w:val="0"/>
                <w:sz w:val="18"/>
                <w:szCs w:val="18"/>
                <w:lang w:eastAsia="es-CL"/>
              </w:rPr>
            </w:pPr>
            <w:r>
              <w:rPr>
                <w:rFonts w:eastAsia="Times New Roman"/>
                <w:bCs/>
                <w:color w:val="000000"/>
                <w:kern w:val="24"/>
                <w:sz w:val="18"/>
                <w:szCs w:val="18"/>
                <w:lang w:eastAsia="es-CL"/>
              </w:rPr>
              <w:t>Ejecución Presupuestaria a agosto 2016 (3)</w:t>
            </w:r>
          </w:p>
        </w:tc>
        <w:tc>
          <w:tcPr>
            <w:tcW w:w="1012" w:type="dxa"/>
            <w:tcBorders>
              <w:top w:val="single" w:sz="8" w:space="0" w:color="FFFFFF"/>
              <w:left w:val="single" w:sz="8" w:space="0" w:color="FFFFFF"/>
              <w:bottom w:val="single" w:sz="8" w:space="0" w:color="FFFFFF"/>
              <w:right w:val="single" w:sz="8" w:space="0" w:color="FFFFFF"/>
            </w:tcBorders>
            <w:shd w:val="clear" w:color="auto" w:fill="B9CDE5"/>
            <w:tcMar>
              <w:top w:w="15" w:type="dxa"/>
              <w:left w:w="15" w:type="dxa"/>
              <w:bottom w:w="0" w:type="dxa"/>
              <w:right w:w="15" w:type="dxa"/>
            </w:tcMar>
            <w:vAlign w:val="center"/>
            <w:hideMark/>
          </w:tcPr>
          <w:p>
            <w:pPr>
              <w:tabs>
                <w:tab w:val="clear" w:pos="2835"/>
              </w:tabs>
              <w:jc w:val="center"/>
              <w:textAlignment w:val="center"/>
              <w:rPr>
                <w:rFonts w:eastAsia="Times New Roman"/>
                <w:b w:val="0"/>
                <w:sz w:val="18"/>
                <w:szCs w:val="18"/>
                <w:lang w:eastAsia="es-CL"/>
              </w:rPr>
            </w:pPr>
            <w:r>
              <w:rPr>
                <w:rFonts w:eastAsia="Times New Roman"/>
                <w:bCs/>
                <w:color w:val="000000"/>
                <w:kern w:val="24"/>
                <w:sz w:val="18"/>
                <w:szCs w:val="18"/>
                <w:lang w:eastAsia="es-CL"/>
              </w:rPr>
              <w:t>En relación con Ley Inicial</w:t>
            </w:r>
          </w:p>
        </w:tc>
        <w:tc>
          <w:tcPr>
            <w:tcW w:w="1102" w:type="dxa"/>
            <w:tcBorders>
              <w:top w:val="single" w:sz="8" w:space="0" w:color="FFFFFF"/>
              <w:left w:val="single" w:sz="8" w:space="0" w:color="FFFFFF"/>
              <w:bottom w:val="single" w:sz="8" w:space="0" w:color="FFFFFF"/>
              <w:right w:val="single" w:sz="8" w:space="0" w:color="000000"/>
            </w:tcBorders>
            <w:shd w:val="clear" w:color="auto" w:fill="B9CDE5"/>
            <w:tcMar>
              <w:top w:w="15" w:type="dxa"/>
              <w:left w:w="15" w:type="dxa"/>
              <w:bottom w:w="0" w:type="dxa"/>
              <w:right w:w="15" w:type="dxa"/>
            </w:tcMar>
            <w:vAlign w:val="center"/>
            <w:hideMark/>
          </w:tcPr>
          <w:p>
            <w:pPr>
              <w:tabs>
                <w:tab w:val="clear" w:pos="2835"/>
              </w:tabs>
              <w:jc w:val="center"/>
              <w:textAlignment w:val="center"/>
              <w:rPr>
                <w:rFonts w:eastAsia="Times New Roman"/>
                <w:b w:val="0"/>
                <w:sz w:val="18"/>
                <w:szCs w:val="18"/>
                <w:lang w:eastAsia="es-CL"/>
              </w:rPr>
            </w:pPr>
            <w:r>
              <w:rPr>
                <w:rFonts w:eastAsia="Times New Roman"/>
                <w:bCs/>
                <w:color w:val="000000"/>
                <w:kern w:val="24"/>
                <w:sz w:val="18"/>
                <w:szCs w:val="18"/>
                <w:lang w:eastAsia="es-CL"/>
              </w:rPr>
              <w:t>En relación con Presupuesto Vigente</w:t>
            </w:r>
          </w:p>
        </w:tc>
      </w:tr>
      <w:tr>
        <w:trPr>
          <w:trHeight w:val="346"/>
        </w:trPr>
        <w:tc>
          <w:tcPr>
            <w:tcW w:w="0" w:type="auto"/>
            <w:vMerge/>
            <w:tcBorders>
              <w:top w:val="single" w:sz="8" w:space="0" w:color="000000"/>
              <w:left w:val="single" w:sz="8" w:space="0" w:color="000000"/>
              <w:bottom w:val="single" w:sz="8" w:space="0" w:color="FFFFFF"/>
              <w:right w:val="single" w:sz="8" w:space="0" w:color="FFFFFF"/>
            </w:tcBorders>
            <w:vAlign w:val="center"/>
            <w:hideMark/>
          </w:tcPr>
          <w:p>
            <w:pPr>
              <w:tabs>
                <w:tab w:val="clear" w:pos="2835"/>
              </w:tabs>
              <w:jc w:val="left"/>
              <w:rPr>
                <w:rFonts w:eastAsia="Times New Roman"/>
                <w:b w:val="0"/>
                <w:sz w:val="18"/>
                <w:szCs w:val="18"/>
                <w:lang w:eastAsia="es-CL"/>
              </w:rPr>
            </w:pPr>
          </w:p>
        </w:tc>
        <w:tc>
          <w:tcPr>
            <w:tcW w:w="0" w:type="auto"/>
            <w:vMerge/>
            <w:tcBorders>
              <w:top w:val="single" w:sz="8" w:space="0" w:color="000000"/>
              <w:left w:val="single" w:sz="8" w:space="0" w:color="FFFFFF"/>
              <w:bottom w:val="single" w:sz="8" w:space="0" w:color="FFFFFF"/>
              <w:right w:val="single" w:sz="8" w:space="0" w:color="FFFFFF"/>
            </w:tcBorders>
            <w:vAlign w:val="center"/>
            <w:hideMark/>
          </w:tcPr>
          <w:p>
            <w:pPr>
              <w:tabs>
                <w:tab w:val="clear" w:pos="2835"/>
              </w:tabs>
              <w:jc w:val="left"/>
              <w:rPr>
                <w:rFonts w:eastAsia="Times New Roman"/>
                <w:b w:val="0"/>
                <w:sz w:val="18"/>
                <w:szCs w:val="18"/>
                <w:lang w:eastAsia="es-CL"/>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pPr>
              <w:tabs>
                <w:tab w:val="clear" w:pos="2835"/>
              </w:tabs>
              <w:jc w:val="left"/>
              <w:rPr>
                <w:rFonts w:eastAsia="Times New Roman"/>
                <w:b w:val="0"/>
                <w:sz w:val="18"/>
                <w:szCs w:val="18"/>
                <w:lang w:eastAsia="es-CL"/>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pPr>
              <w:tabs>
                <w:tab w:val="clear" w:pos="2835"/>
              </w:tabs>
              <w:jc w:val="left"/>
              <w:rPr>
                <w:rFonts w:eastAsia="Times New Roman"/>
                <w:b w:val="0"/>
                <w:sz w:val="18"/>
                <w:szCs w:val="18"/>
                <w:lang w:eastAsia="es-CL"/>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pPr>
              <w:tabs>
                <w:tab w:val="clear" w:pos="2835"/>
              </w:tabs>
              <w:jc w:val="left"/>
              <w:rPr>
                <w:rFonts w:eastAsia="Times New Roman"/>
                <w:b w:val="0"/>
                <w:sz w:val="18"/>
                <w:szCs w:val="18"/>
                <w:lang w:eastAsia="es-CL"/>
              </w:rPr>
            </w:pPr>
          </w:p>
        </w:tc>
        <w:tc>
          <w:tcPr>
            <w:tcW w:w="1012" w:type="dxa"/>
            <w:tcBorders>
              <w:top w:val="single" w:sz="8" w:space="0" w:color="FFFFFF"/>
              <w:left w:val="single" w:sz="8" w:space="0" w:color="FFFFFF"/>
              <w:bottom w:val="single" w:sz="8" w:space="0" w:color="FFFFFF"/>
              <w:right w:val="single" w:sz="8" w:space="0" w:color="FFFFFF"/>
            </w:tcBorders>
            <w:shd w:val="clear" w:color="auto" w:fill="B9CDE5"/>
            <w:tcMar>
              <w:top w:w="15" w:type="dxa"/>
              <w:left w:w="15" w:type="dxa"/>
              <w:bottom w:w="0" w:type="dxa"/>
              <w:right w:w="15" w:type="dxa"/>
            </w:tcMar>
            <w:vAlign w:val="center"/>
            <w:hideMark/>
          </w:tcPr>
          <w:p>
            <w:pPr>
              <w:tabs>
                <w:tab w:val="clear" w:pos="2835"/>
              </w:tabs>
              <w:jc w:val="center"/>
              <w:textAlignment w:val="center"/>
              <w:rPr>
                <w:rFonts w:eastAsia="Times New Roman"/>
                <w:b w:val="0"/>
                <w:sz w:val="18"/>
                <w:szCs w:val="18"/>
                <w:lang w:eastAsia="es-CL"/>
              </w:rPr>
            </w:pPr>
            <w:r>
              <w:rPr>
                <w:rFonts w:eastAsia="Times New Roman"/>
                <w:bCs/>
                <w:color w:val="000000"/>
                <w:kern w:val="24"/>
                <w:sz w:val="18"/>
                <w:szCs w:val="18"/>
                <w:lang w:eastAsia="es-CL"/>
              </w:rPr>
              <w:t>% (3)/(1)</w:t>
            </w:r>
          </w:p>
        </w:tc>
        <w:tc>
          <w:tcPr>
            <w:tcW w:w="1102" w:type="dxa"/>
            <w:tcBorders>
              <w:top w:val="single" w:sz="8" w:space="0" w:color="FFFFFF"/>
              <w:left w:val="single" w:sz="8" w:space="0" w:color="FFFFFF"/>
              <w:bottom w:val="single" w:sz="8" w:space="0" w:color="FFFFFF"/>
              <w:right w:val="single" w:sz="8" w:space="0" w:color="000000"/>
            </w:tcBorders>
            <w:shd w:val="clear" w:color="auto" w:fill="B9CDE5"/>
            <w:tcMar>
              <w:top w:w="15" w:type="dxa"/>
              <w:left w:w="15" w:type="dxa"/>
              <w:bottom w:w="0" w:type="dxa"/>
              <w:right w:w="15" w:type="dxa"/>
            </w:tcMar>
            <w:vAlign w:val="center"/>
            <w:hideMark/>
          </w:tcPr>
          <w:p>
            <w:pPr>
              <w:tabs>
                <w:tab w:val="clear" w:pos="2835"/>
              </w:tabs>
              <w:jc w:val="center"/>
              <w:textAlignment w:val="center"/>
              <w:rPr>
                <w:rFonts w:eastAsia="Times New Roman"/>
                <w:b w:val="0"/>
                <w:sz w:val="18"/>
                <w:szCs w:val="18"/>
                <w:lang w:eastAsia="es-CL"/>
              </w:rPr>
            </w:pPr>
            <w:r>
              <w:rPr>
                <w:rFonts w:eastAsia="Times New Roman"/>
                <w:bCs/>
                <w:color w:val="000000"/>
                <w:kern w:val="24"/>
                <w:sz w:val="18"/>
                <w:szCs w:val="18"/>
                <w:lang w:eastAsia="es-CL"/>
              </w:rPr>
              <w:t>% (3)/(2)</w:t>
            </w:r>
          </w:p>
        </w:tc>
      </w:tr>
      <w:tr>
        <w:trPr>
          <w:trHeight w:val="376"/>
        </w:trPr>
        <w:tc>
          <w:tcPr>
            <w:tcW w:w="1021" w:type="dxa"/>
            <w:tcBorders>
              <w:top w:val="single" w:sz="8" w:space="0" w:color="FFFFFF"/>
              <w:left w:val="single" w:sz="8" w:space="0" w:color="000000"/>
              <w:bottom w:val="single" w:sz="8" w:space="0" w:color="FFFFFF"/>
              <w:right w:val="single" w:sz="8" w:space="0" w:color="FFFFFF"/>
            </w:tcBorders>
            <w:shd w:val="clear" w:color="auto" w:fill="C6D9F1"/>
            <w:tcMar>
              <w:top w:w="15" w:type="dxa"/>
              <w:left w:w="15" w:type="dxa"/>
              <w:bottom w:w="0" w:type="dxa"/>
              <w:right w:w="15" w:type="dxa"/>
            </w:tcMar>
            <w:vAlign w:val="bottom"/>
            <w:hideMark/>
          </w:tcPr>
          <w:p>
            <w:pPr>
              <w:tabs>
                <w:tab w:val="clear" w:pos="2835"/>
              </w:tabs>
              <w:jc w:val="left"/>
              <w:textAlignment w:val="bottom"/>
              <w:rPr>
                <w:rFonts w:eastAsia="Times New Roman"/>
                <w:b w:val="0"/>
                <w:sz w:val="18"/>
                <w:szCs w:val="18"/>
                <w:lang w:eastAsia="es-CL"/>
              </w:rPr>
            </w:pPr>
            <w:r>
              <w:rPr>
                <w:rFonts w:eastAsia="Times New Roman"/>
                <w:bCs/>
                <w:color w:val="000000"/>
                <w:kern w:val="24"/>
                <w:sz w:val="18"/>
                <w:szCs w:val="18"/>
                <w:lang w:eastAsia="es-CL"/>
              </w:rPr>
              <w:t> </w:t>
            </w:r>
          </w:p>
        </w:tc>
        <w:tc>
          <w:tcPr>
            <w:tcW w:w="2818" w:type="dxa"/>
            <w:tcBorders>
              <w:top w:val="single" w:sz="8" w:space="0" w:color="FFFFFF"/>
              <w:left w:val="single" w:sz="8" w:space="0" w:color="FFFFFF"/>
              <w:bottom w:val="single" w:sz="8" w:space="0" w:color="FFFFFF"/>
              <w:right w:val="single" w:sz="8" w:space="0" w:color="FFFFFF"/>
            </w:tcBorders>
            <w:shd w:val="clear" w:color="auto" w:fill="F2F2F2"/>
            <w:tcMar>
              <w:top w:w="15" w:type="dxa"/>
              <w:left w:w="15" w:type="dxa"/>
              <w:bottom w:w="0" w:type="dxa"/>
              <w:right w:w="15" w:type="dxa"/>
            </w:tcMar>
            <w:vAlign w:val="bottom"/>
            <w:hideMark/>
          </w:tcPr>
          <w:p>
            <w:pPr>
              <w:tabs>
                <w:tab w:val="clear" w:pos="2835"/>
              </w:tabs>
              <w:jc w:val="left"/>
              <w:textAlignment w:val="bottom"/>
              <w:rPr>
                <w:rFonts w:eastAsia="Times New Roman"/>
                <w:b w:val="0"/>
                <w:sz w:val="18"/>
                <w:szCs w:val="18"/>
                <w:lang w:eastAsia="es-CL"/>
              </w:rPr>
            </w:pPr>
            <w:r>
              <w:rPr>
                <w:rFonts w:eastAsia="Times New Roman"/>
                <w:bCs/>
                <w:color w:val="000000"/>
                <w:kern w:val="24"/>
                <w:sz w:val="18"/>
                <w:szCs w:val="18"/>
                <w:lang w:eastAsia="es-CL"/>
              </w:rPr>
              <w:t>GASTOS</w:t>
            </w:r>
          </w:p>
        </w:tc>
        <w:tc>
          <w:tcPr>
            <w:tcW w:w="1008" w:type="dxa"/>
            <w:tcBorders>
              <w:top w:val="single" w:sz="8" w:space="0" w:color="FFFFFF"/>
              <w:left w:val="single" w:sz="8" w:space="0" w:color="FFFFFF"/>
              <w:bottom w:val="single" w:sz="8" w:space="0" w:color="FFFFFF"/>
              <w:right w:val="single" w:sz="8" w:space="0" w:color="FFFFFF"/>
            </w:tcBorders>
            <w:shd w:val="clear" w:color="auto" w:fill="C6D9F1"/>
            <w:tcMar>
              <w:top w:w="15" w:type="dxa"/>
              <w:left w:w="15" w:type="dxa"/>
              <w:bottom w:w="0" w:type="dxa"/>
              <w:right w:w="15" w:type="dxa"/>
            </w:tcMar>
            <w:vAlign w:val="bottom"/>
            <w:hideMark/>
          </w:tcPr>
          <w:p>
            <w:pPr>
              <w:tabs>
                <w:tab w:val="clear" w:pos="2835"/>
              </w:tabs>
              <w:jc w:val="right"/>
              <w:textAlignment w:val="bottom"/>
              <w:rPr>
                <w:rFonts w:eastAsia="Times New Roman"/>
                <w:b w:val="0"/>
                <w:sz w:val="18"/>
                <w:szCs w:val="18"/>
                <w:lang w:eastAsia="es-CL"/>
              </w:rPr>
            </w:pPr>
            <w:r>
              <w:rPr>
                <w:rFonts w:eastAsia="Times New Roman"/>
                <w:bCs/>
                <w:color w:val="000000"/>
                <w:kern w:val="24"/>
                <w:sz w:val="18"/>
                <w:szCs w:val="18"/>
                <w:lang w:eastAsia="es-CL"/>
              </w:rPr>
              <w:t xml:space="preserve">       16.112.340 </w:t>
            </w:r>
          </w:p>
        </w:tc>
        <w:tc>
          <w:tcPr>
            <w:tcW w:w="1157" w:type="dxa"/>
            <w:tcBorders>
              <w:top w:val="single" w:sz="8" w:space="0" w:color="FFFFFF"/>
              <w:left w:val="single" w:sz="8" w:space="0" w:color="FFFFFF"/>
              <w:bottom w:val="single" w:sz="8" w:space="0" w:color="FFFFFF"/>
              <w:right w:val="single" w:sz="8" w:space="0" w:color="FFFFFF"/>
            </w:tcBorders>
            <w:shd w:val="clear" w:color="auto" w:fill="F2F2F2"/>
            <w:tcMar>
              <w:top w:w="15" w:type="dxa"/>
              <w:left w:w="15" w:type="dxa"/>
              <w:bottom w:w="0" w:type="dxa"/>
              <w:right w:w="15" w:type="dxa"/>
            </w:tcMar>
            <w:vAlign w:val="bottom"/>
            <w:hideMark/>
          </w:tcPr>
          <w:p>
            <w:pPr>
              <w:tabs>
                <w:tab w:val="clear" w:pos="2835"/>
              </w:tabs>
              <w:jc w:val="right"/>
              <w:textAlignment w:val="bottom"/>
              <w:rPr>
                <w:rFonts w:eastAsia="Times New Roman"/>
                <w:b w:val="0"/>
                <w:sz w:val="18"/>
                <w:szCs w:val="18"/>
                <w:lang w:eastAsia="es-CL"/>
              </w:rPr>
            </w:pPr>
            <w:r>
              <w:rPr>
                <w:rFonts w:eastAsia="Times New Roman"/>
                <w:bCs/>
                <w:color w:val="000000"/>
                <w:kern w:val="24"/>
                <w:sz w:val="18"/>
                <w:szCs w:val="18"/>
                <w:lang w:eastAsia="es-CL"/>
              </w:rPr>
              <w:t xml:space="preserve">        16.160.114 </w:t>
            </w:r>
          </w:p>
        </w:tc>
        <w:tc>
          <w:tcPr>
            <w:tcW w:w="1309" w:type="dxa"/>
            <w:tcBorders>
              <w:top w:val="single" w:sz="8" w:space="0" w:color="FFFFFF"/>
              <w:left w:val="single" w:sz="8" w:space="0" w:color="FFFFFF"/>
              <w:bottom w:val="single" w:sz="8" w:space="0" w:color="FFFFFF"/>
              <w:right w:val="single" w:sz="8" w:space="0" w:color="FFFFFF"/>
            </w:tcBorders>
            <w:shd w:val="clear" w:color="auto" w:fill="C6D9F1"/>
            <w:tcMar>
              <w:top w:w="15" w:type="dxa"/>
              <w:left w:w="15" w:type="dxa"/>
              <w:bottom w:w="0" w:type="dxa"/>
              <w:right w:w="15" w:type="dxa"/>
            </w:tcMar>
            <w:vAlign w:val="bottom"/>
            <w:hideMark/>
          </w:tcPr>
          <w:p>
            <w:pPr>
              <w:tabs>
                <w:tab w:val="clear" w:pos="2835"/>
              </w:tabs>
              <w:jc w:val="right"/>
              <w:textAlignment w:val="bottom"/>
              <w:rPr>
                <w:rFonts w:eastAsia="Times New Roman"/>
                <w:b w:val="0"/>
                <w:sz w:val="18"/>
                <w:szCs w:val="18"/>
                <w:lang w:eastAsia="es-CL"/>
              </w:rPr>
            </w:pPr>
            <w:r>
              <w:rPr>
                <w:rFonts w:eastAsia="Times New Roman"/>
                <w:bCs/>
                <w:color w:val="000000"/>
                <w:kern w:val="24"/>
                <w:sz w:val="18"/>
                <w:szCs w:val="18"/>
                <w:lang w:eastAsia="es-CL"/>
              </w:rPr>
              <w:t xml:space="preserve">            10.254.792 </w:t>
            </w:r>
          </w:p>
        </w:tc>
        <w:tc>
          <w:tcPr>
            <w:tcW w:w="1012" w:type="dxa"/>
            <w:tcBorders>
              <w:top w:val="single" w:sz="8" w:space="0" w:color="FFFFFF"/>
              <w:left w:val="single" w:sz="8" w:space="0" w:color="FFFFFF"/>
              <w:bottom w:val="single" w:sz="8" w:space="0" w:color="FFFFFF"/>
              <w:right w:val="single" w:sz="8" w:space="0" w:color="FFFFFF"/>
            </w:tcBorders>
            <w:shd w:val="clear" w:color="auto" w:fill="F2F2F2"/>
            <w:tcMar>
              <w:top w:w="15" w:type="dxa"/>
              <w:left w:w="15" w:type="dxa"/>
              <w:bottom w:w="0" w:type="dxa"/>
              <w:right w:w="15" w:type="dxa"/>
            </w:tcMar>
            <w:vAlign w:val="bottom"/>
            <w:hideMark/>
          </w:tcPr>
          <w:p>
            <w:pPr>
              <w:tabs>
                <w:tab w:val="clear" w:pos="2835"/>
              </w:tabs>
              <w:jc w:val="right"/>
              <w:textAlignment w:val="bottom"/>
              <w:rPr>
                <w:rFonts w:eastAsia="Times New Roman"/>
                <w:b w:val="0"/>
                <w:sz w:val="18"/>
                <w:szCs w:val="18"/>
                <w:lang w:eastAsia="es-CL"/>
              </w:rPr>
            </w:pPr>
            <w:r>
              <w:rPr>
                <w:rFonts w:eastAsia="Times New Roman"/>
                <w:bCs/>
                <w:color w:val="000000"/>
                <w:kern w:val="24"/>
                <w:sz w:val="18"/>
                <w:szCs w:val="18"/>
                <w:lang w:eastAsia="es-CL"/>
              </w:rPr>
              <w:t>63,6%</w:t>
            </w:r>
          </w:p>
        </w:tc>
        <w:tc>
          <w:tcPr>
            <w:tcW w:w="1102" w:type="dxa"/>
            <w:tcBorders>
              <w:top w:val="single" w:sz="8" w:space="0" w:color="FFFFFF"/>
              <w:left w:val="single" w:sz="8" w:space="0" w:color="FFFFFF"/>
              <w:bottom w:val="single" w:sz="8" w:space="0" w:color="FFFFFF"/>
              <w:right w:val="single" w:sz="8" w:space="0" w:color="000000"/>
            </w:tcBorders>
            <w:shd w:val="clear" w:color="auto" w:fill="C6D9F1"/>
            <w:tcMar>
              <w:top w:w="15" w:type="dxa"/>
              <w:left w:w="15" w:type="dxa"/>
              <w:bottom w:w="0" w:type="dxa"/>
              <w:right w:w="15" w:type="dxa"/>
            </w:tcMar>
            <w:vAlign w:val="bottom"/>
            <w:hideMark/>
          </w:tcPr>
          <w:p>
            <w:pPr>
              <w:tabs>
                <w:tab w:val="clear" w:pos="2835"/>
              </w:tabs>
              <w:jc w:val="right"/>
              <w:textAlignment w:val="bottom"/>
              <w:rPr>
                <w:rFonts w:eastAsia="Times New Roman"/>
                <w:b w:val="0"/>
                <w:sz w:val="18"/>
                <w:szCs w:val="18"/>
                <w:lang w:eastAsia="es-CL"/>
              </w:rPr>
            </w:pPr>
            <w:r>
              <w:rPr>
                <w:rFonts w:eastAsia="Times New Roman"/>
                <w:bCs/>
                <w:color w:val="000000"/>
                <w:kern w:val="24"/>
                <w:sz w:val="18"/>
                <w:szCs w:val="18"/>
                <w:lang w:eastAsia="es-CL"/>
              </w:rPr>
              <w:t>63,5%</w:t>
            </w:r>
          </w:p>
        </w:tc>
      </w:tr>
      <w:tr>
        <w:trPr>
          <w:trHeight w:val="355"/>
        </w:trPr>
        <w:tc>
          <w:tcPr>
            <w:tcW w:w="1021" w:type="dxa"/>
            <w:tcBorders>
              <w:top w:val="single" w:sz="8" w:space="0" w:color="FFFFFF"/>
              <w:left w:val="single" w:sz="8" w:space="0" w:color="000000"/>
              <w:bottom w:val="single" w:sz="8" w:space="0" w:color="FFFFFF"/>
              <w:right w:val="single" w:sz="8" w:space="0" w:color="FFFFFF"/>
            </w:tcBorders>
            <w:shd w:val="clear" w:color="auto" w:fill="C6D9F1"/>
            <w:tcMar>
              <w:top w:w="15" w:type="dxa"/>
              <w:left w:w="15" w:type="dxa"/>
              <w:bottom w:w="0" w:type="dxa"/>
              <w:right w:w="15" w:type="dxa"/>
            </w:tcMar>
            <w:vAlign w:val="bottom"/>
            <w:hideMark/>
          </w:tcPr>
          <w:p>
            <w:pPr>
              <w:tabs>
                <w:tab w:val="clear" w:pos="2835"/>
              </w:tabs>
              <w:jc w:val="center"/>
              <w:textAlignment w:val="bottom"/>
              <w:rPr>
                <w:rFonts w:eastAsia="Times New Roman"/>
                <w:b w:val="0"/>
                <w:sz w:val="18"/>
                <w:szCs w:val="18"/>
                <w:lang w:eastAsia="es-CL"/>
              </w:rPr>
            </w:pPr>
            <w:r>
              <w:rPr>
                <w:rFonts w:eastAsia="Times New Roman"/>
                <w:bCs/>
                <w:color w:val="000000"/>
                <w:kern w:val="24"/>
                <w:sz w:val="18"/>
                <w:szCs w:val="18"/>
                <w:lang w:eastAsia="es-CL"/>
              </w:rPr>
              <w:t>21</w:t>
            </w:r>
          </w:p>
        </w:tc>
        <w:tc>
          <w:tcPr>
            <w:tcW w:w="2818" w:type="dxa"/>
            <w:tcBorders>
              <w:top w:val="single" w:sz="8" w:space="0" w:color="FFFFFF"/>
              <w:left w:val="single" w:sz="8" w:space="0" w:color="FFFFFF"/>
              <w:bottom w:val="single" w:sz="8" w:space="0" w:color="FFFFFF"/>
              <w:right w:val="single" w:sz="8" w:space="0" w:color="FFFFFF"/>
            </w:tcBorders>
            <w:shd w:val="clear" w:color="auto" w:fill="F2F2F2"/>
            <w:tcMar>
              <w:top w:w="15" w:type="dxa"/>
              <w:left w:w="15" w:type="dxa"/>
              <w:bottom w:w="0" w:type="dxa"/>
              <w:right w:w="15" w:type="dxa"/>
            </w:tcMar>
            <w:vAlign w:val="bottom"/>
            <w:hideMark/>
          </w:tcPr>
          <w:p>
            <w:pPr>
              <w:tabs>
                <w:tab w:val="clear" w:pos="2835"/>
              </w:tabs>
              <w:jc w:val="left"/>
              <w:textAlignment w:val="bottom"/>
              <w:rPr>
                <w:rFonts w:eastAsia="Times New Roman"/>
                <w:b w:val="0"/>
                <w:sz w:val="18"/>
                <w:szCs w:val="18"/>
                <w:lang w:eastAsia="es-CL"/>
              </w:rPr>
            </w:pPr>
            <w:r>
              <w:rPr>
                <w:rFonts w:eastAsia="Times New Roman"/>
                <w:bCs/>
                <w:color w:val="000000"/>
                <w:kern w:val="24"/>
                <w:sz w:val="18"/>
                <w:szCs w:val="18"/>
                <w:lang w:eastAsia="es-CL"/>
              </w:rPr>
              <w:t>GASTOS EN PERSONAL</w:t>
            </w:r>
          </w:p>
        </w:tc>
        <w:tc>
          <w:tcPr>
            <w:tcW w:w="1008" w:type="dxa"/>
            <w:tcBorders>
              <w:top w:val="single" w:sz="8" w:space="0" w:color="FFFFFF"/>
              <w:left w:val="single" w:sz="8" w:space="0" w:color="FFFFFF"/>
              <w:bottom w:val="single" w:sz="8" w:space="0" w:color="FFFFFF"/>
              <w:right w:val="single" w:sz="8" w:space="0" w:color="FFFFFF"/>
            </w:tcBorders>
            <w:shd w:val="clear" w:color="auto" w:fill="C6D9F1"/>
            <w:tcMar>
              <w:top w:w="15" w:type="dxa"/>
              <w:left w:w="15" w:type="dxa"/>
              <w:bottom w:w="0" w:type="dxa"/>
              <w:right w:w="15" w:type="dxa"/>
            </w:tcMar>
            <w:vAlign w:val="bottom"/>
            <w:hideMark/>
          </w:tcPr>
          <w:p>
            <w:pPr>
              <w:tabs>
                <w:tab w:val="clear" w:pos="2835"/>
              </w:tabs>
              <w:jc w:val="right"/>
              <w:textAlignment w:val="bottom"/>
              <w:rPr>
                <w:rFonts w:eastAsia="Times New Roman"/>
                <w:b w:val="0"/>
                <w:sz w:val="18"/>
                <w:szCs w:val="18"/>
                <w:lang w:eastAsia="es-CL"/>
              </w:rPr>
            </w:pPr>
            <w:r>
              <w:rPr>
                <w:rFonts w:eastAsia="Times New Roman"/>
                <w:bCs/>
                <w:color w:val="000000"/>
                <w:kern w:val="24"/>
                <w:sz w:val="18"/>
                <w:szCs w:val="18"/>
                <w:lang w:eastAsia="es-CL"/>
              </w:rPr>
              <w:t xml:space="preserve">       13.066.211 </w:t>
            </w:r>
          </w:p>
        </w:tc>
        <w:tc>
          <w:tcPr>
            <w:tcW w:w="1157" w:type="dxa"/>
            <w:tcBorders>
              <w:top w:val="single" w:sz="8" w:space="0" w:color="FFFFFF"/>
              <w:left w:val="single" w:sz="8" w:space="0" w:color="FFFFFF"/>
              <w:bottom w:val="single" w:sz="8" w:space="0" w:color="FFFFFF"/>
              <w:right w:val="single" w:sz="8" w:space="0" w:color="FFFFFF"/>
            </w:tcBorders>
            <w:shd w:val="clear" w:color="auto" w:fill="F2F2F2"/>
            <w:tcMar>
              <w:top w:w="15" w:type="dxa"/>
              <w:left w:w="15" w:type="dxa"/>
              <w:bottom w:w="0" w:type="dxa"/>
              <w:right w:w="15" w:type="dxa"/>
            </w:tcMar>
            <w:vAlign w:val="bottom"/>
            <w:hideMark/>
          </w:tcPr>
          <w:p>
            <w:pPr>
              <w:tabs>
                <w:tab w:val="clear" w:pos="2835"/>
              </w:tabs>
              <w:jc w:val="right"/>
              <w:textAlignment w:val="bottom"/>
              <w:rPr>
                <w:rFonts w:eastAsia="Times New Roman"/>
                <w:b w:val="0"/>
                <w:sz w:val="18"/>
                <w:szCs w:val="18"/>
                <w:lang w:eastAsia="es-CL"/>
              </w:rPr>
            </w:pPr>
            <w:r>
              <w:rPr>
                <w:rFonts w:eastAsia="Times New Roman"/>
                <w:bCs/>
                <w:color w:val="000000"/>
                <w:kern w:val="24"/>
                <w:sz w:val="18"/>
                <w:szCs w:val="18"/>
                <w:lang w:eastAsia="es-CL"/>
              </w:rPr>
              <w:t xml:space="preserve">        13.095.060 </w:t>
            </w:r>
          </w:p>
        </w:tc>
        <w:tc>
          <w:tcPr>
            <w:tcW w:w="1309" w:type="dxa"/>
            <w:tcBorders>
              <w:top w:val="single" w:sz="8" w:space="0" w:color="FFFFFF"/>
              <w:left w:val="single" w:sz="8" w:space="0" w:color="FFFFFF"/>
              <w:bottom w:val="single" w:sz="8" w:space="0" w:color="FFFFFF"/>
              <w:right w:val="single" w:sz="8" w:space="0" w:color="FFFFFF"/>
            </w:tcBorders>
            <w:shd w:val="clear" w:color="auto" w:fill="C6D9F1"/>
            <w:tcMar>
              <w:top w:w="15" w:type="dxa"/>
              <w:left w:w="15" w:type="dxa"/>
              <w:bottom w:w="0" w:type="dxa"/>
              <w:right w:w="15" w:type="dxa"/>
            </w:tcMar>
            <w:vAlign w:val="bottom"/>
            <w:hideMark/>
          </w:tcPr>
          <w:p>
            <w:pPr>
              <w:tabs>
                <w:tab w:val="clear" w:pos="2835"/>
              </w:tabs>
              <w:jc w:val="right"/>
              <w:textAlignment w:val="bottom"/>
              <w:rPr>
                <w:rFonts w:eastAsia="Times New Roman"/>
                <w:b w:val="0"/>
                <w:sz w:val="18"/>
                <w:szCs w:val="18"/>
                <w:lang w:eastAsia="es-CL"/>
              </w:rPr>
            </w:pPr>
            <w:r>
              <w:rPr>
                <w:rFonts w:eastAsia="Times New Roman"/>
                <w:bCs/>
                <w:color w:val="000000"/>
                <w:kern w:val="24"/>
                <w:sz w:val="18"/>
                <w:szCs w:val="18"/>
                <w:lang w:eastAsia="es-CL"/>
              </w:rPr>
              <w:t xml:space="preserve">               8.772.919 </w:t>
            </w:r>
          </w:p>
        </w:tc>
        <w:tc>
          <w:tcPr>
            <w:tcW w:w="1012" w:type="dxa"/>
            <w:tcBorders>
              <w:top w:val="single" w:sz="8" w:space="0" w:color="FFFFFF"/>
              <w:left w:val="single" w:sz="8" w:space="0" w:color="FFFFFF"/>
              <w:bottom w:val="single" w:sz="8" w:space="0" w:color="FFFFFF"/>
              <w:right w:val="single" w:sz="8" w:space="0" w:color="FFFFFF"/>
            </w:tcBorders>
            <w:shd w:val="clear" w:color="auto" w:fill="F2F2F2"/>
            <w:tcMar>
              <w:top w:w="15" w:type="dxa"/>
              <w:left w:w="15" w:type="dxa"/>
              <w:bottom w:w="0" w:type="dxa"/>
              <w:right w:w="15" w:type="dxa"/>
            </w:tcMar>
            <w:vAlign w:val="bottom"/>
            <w:hideMark/>
          </w:tcPr>
          <w:p>
            <w:pPr>
              <w:tabs>
                <w:tab w:val="clear" w:pos="2835"/>
              </w:tabs>
              <w:jc w:val="right"/>
              <w:textAlignment w:val="bottom"/>
              <w:rPr>
                <w:rFonts w:eastAsia="Times New Roman"/>
                <w:b w:val="0"/>
                <w:sz w:val="18"/>
                <w:szCs w:val="18"/>
                <w:lang w:eastAsia="es-CL"/>
              </w:rPr>
            </w:pPr>
            <w:r>
              <w:rPr>
                <w:rFonts w:eastAsia="Times New Roman"/>
                <w:bCs/>
                <w:color w:val="000000"/>
                <w:kern w:val="24"/>
                <w:sz w:val="18"/>
                <w:szCs w:val="18"/>
                <w:lang w:eastAsia="es-CL"/>
              </w:rPr>
              <w:t>67,1%</w:t>
            </w:r>
          </w:p>
        </w:tc>
        <w:tc>
          <w:tcPr>
            <w:tcW w:w="1102" w:type="dxa"/>
            <w:tcBorders>
              <w:top w:val="single" w:sz="8" w:space="0" w:color="FFFFFF"/>
              <w:left w:val="single" w:sz="8" w:space="0" w:color="FFFFFF"/>
              <w:bottom w:val="single" w:sz="8" w:space="0" w:color="FFFFFF"/>
              <w:right w:val="single" w:sz="8" w:space="0" w:color="000000"/>
            </w:tcBorders>
            <w:shd w:val="clear" w:color="auto" w:fill="C6D9F1"/>
            <w:tcMar>
              <w:top w:w="15" w:type="dxa"/>
              <w:left w:w="15" w:type="dxa"/>
              <w:bottom w:w="0" w:type="dxa"/>
              <w:right w:w="15" w:type="dxa"/>
            </w:tcMar>
            <w:vAlign w:val="bottom"/>
            <w:hideMark/>
          </w:tcPr>
          <w:p>
            <w:pPr>
              <w:tabs>
                <w:tab w:val="clear" w:pos="2835"/>
              </w:tabs>
              <w:jc w:val="right"/>
              <w:textAlignment w:val="bottom"/>
              <w:rPr>
                <w:rFonts w:eastAsia="Times New Roman"/>
                <w:b w:val="0"/>
                <w:sz w:val="18"/>
                <w:szCs w:val="18"/>
                <w:lang w:eastAsia="es-CL"/>
              </w:rPr>
            </w:pPr>
            <w:r>
              <w:rPr>
                <w:rFonts w:eastAsia="Times New Roman"/>
                <w:bCs/>
                <w:color w:val="000000"/>
                <w:kern w:val="24"/>
                <w:sz w:val="18"/>
                <w:szCs w:val="18"/>
                <w:lang w:eastAsia="es-CL"/>
              </w:rPr>
              <w:t>67,0%</w:t>
            </w:r>
          </w:p>
        </w:tc>
      </w:tr>
      <w:tr>
        <w:trPr>
          <w:trHeight w:val="333"/>
        </w:trPr>
        <w:tc>
          <w:tcPr>
            <w:tcW w:w="1021" w:type="dxa"/>
            <w:tcBorders>
              <w:top w:val="single" w:sz="8" w:space="0" w:color="FFFFFF"/>
              <w:left w:val="single" w:sz="8" w:space="0" w:color="000000"/>
              <w:bottom w:val="single" w:sz="8" w:space="0" w:color="FFFFFF"/>
              <w:right w:val="single" w:sz="8" w:space="0" w:color="FFFFFF"/>
            </w:tcBorders>
            <w:shd w:val="clear" w:color="auto" w:fill="C6D9F1"/>
            <w:tcMar>
              <w:top w:w="15" w:type="dxa"/>
              <w:left w:w="15" w:type="dxa"/>
              <w:bottom w:w="0" w:type="dxa"/>
              <w:right w:w="15" w:type="dxa"/>
            </w:tcMar>
            <w:vAlign w:val="bottom"/>
            <w:hideMark/>
          </w:tcPr>
          <w:p>
            <w:pPr>
              <w:tabs>
                <w:tab w:val="clear" w:pos="2835"/>
              </w:tabs>
              <w:jc w:val="center"/>
              <w:textAlignment w:val="bottom"/>
              <w:rPr>
                <w:rFonts w:eastAsia="Times New Roman"/>
                <w:b w:val="0"/>
                <w:sz w:val="18"/>
                <w:szCs w:val="18"/>
                <w:lang w:eastAsia="es-CL"/>
              </w:rPr>
            </w:pPr>
            <w:r>
              <w:rPr>
                <w:rFonts w:eastAsia="Times New Roman"/>
                <w:bCs/>
                <w:color w:val="000000"/>
                <w:kern w:val="24"/>
                <w:sz w:val="18"/>
                <w:szCs w:val="18"/>
                <w:lang w:eastAsia="es-CL"/>
              </w:rPr>
              <w:t>22</w:t>
            </w:r>
          </w:p>
        </w:tc>
        <w:tc>
          <w:tcPr>
            <w:tcW w:w="2818" w:type="dxa"/>
            <w:tcBorders>
              <w:top w:val="single" w:sz="8" w:space="0" w:color="FFFFFF"/>
              <w:left w:val="single" w:sz="8" w:space="0" w:color="FFFFFF"/>
              <w:bottom w:val="single" w:sz="8" w:space="0" w:color="FFFFFF"/>
              <w:right w:val="single" w:sz="8" w:space="0" w:color="FFFFFF"/>
            </w:tcBorders>
            <w:shd w:val="clear" w:color="auto" w:fill="F2F2F2"/>
            <w:tcMar>
              <w:top w:w="15" w:type="dxa"/>
              <w:left w:w="15" w:type="dxa"/>
              <w:bottom w:w="0" w:type="dxa"/>
              <w:right w:w="15" w:type="dxa"/>
            </w:tcMar>
            <w:vAlign w:val="bottom"/>
            <w:hideMark/>
          </w:tcPr>
          <w:p>
            <w:pPr>
              <w:tabs>
                <w:tab w:val="clear" w:pos="2835"/>
              </w:tabs>
              <w:jc w:val="left"/>
              <w:textAlignment w:val="bottom"/>
              <w:rPr>
                <w:rFonts w:eastAsia="Times New Roman"/>
                <w:b w:val="0"/>
                <w:sz w:val="18"/>
                <w:szCs w:val="18"/>
                <w:lang w:eastAsia="es-CL"/>
              </w:rPr>
            </w:pPr>
            <w:r>
              <w:rPr>
                <w:rFonts w:eastAsia="Times New Roman"/>
                <w:bCs/>
                <w:color w:val="000000"/>
                <w:kern w:val="24"/>
                <w:sz w:val="18"/>
                <w:szCs w:val="18"/>
                <w:lang w:eastAsia="es-CL"/>
              </w:rPr>
              <w:t>BIENES Y SERVICIOS DE CONSUMO</w:t>
            </w:r>
          </w:p>
        </w:tc>
        <w:tc>
          <w:tcPr>
            <w:tcW w:w="1008" w:type="dxa"/>
            <w:tcBorders>
              <w:top w:val="single" w:sz="8" w:space="0" w:color="FFFFFF"/>
              <w:left w:val="single" w:sz="8" w:space="0" w:color="FFFFFF"/>
              <w:bottom w:val="single" w:sz="8" w:space="0" w:color="FFFFFF"/>
              <w:right w:val="single" w:sz="8" w:space="0" w:color="FFFFFF"/>
            </w:tcBorders>
            <w:shd w:val="clear" w:color="auto" w:fill="C6D9F1"/>
            <w:tcMar>
              <w:top w:w="15" w:type="dxa"/>
              <w:left w:w="15" w:type="dxa"/>
              <w:bottom w:w="0" w:type="dxa"/>
              <w:right w:w="15" w:type="dxa"/>
            </w:tcMar>
            <w:vAlign w:val="bottom"/>
            <w:hideMark/>
          </w:tcPr>
          <w:p>
            <w:pPr>
              <w:tabs>
                <w:tab w:val="clear" w:pos="2835"/>
              </w:tabs>
              <w:jc w:val="right"/>
              <w:textAlignment w:val="bottom"/>
              <w:rPr>
                <w:rFonts w:eastAsia="Times New Roman"/>
                <w:b w:val="0"/>
                <w:sz w:val="18"/>
                <w:szCs w:val="18"/>
                <w:lang w:eastAsia="es-CL"/>
              </w:rPr>
            </w:pPr>
            <w:r>
              <w:rPr>
                <w:rFonts w:eastAsia="Times New Roman"/>
                <w:bCs/>
                <w:color w:val="000000"/>
                <w:kern w:val="24"/>
                <w:sz w:val="18"/>
                <w:szCs w:val="18"/>
                <w:lang w:eastAsia="es-CL"/>
              </w:rPr>
              <w:t xml:space="preserve">         2.549.218 </w:t>
            </w:r>
          </w:p>
        </w:tc>
        <w:tc>
          <w:tcPr>
            <w:tcW w:w="1157" w:type="dxa"/>
            <w:tcBorders>
              <w:top w:val="single" w:sz="8" w:space="0" w:color="FFFFFF"/>
              <w:left w:val="single" w:sz="8" w:space="0" w:color="FFFFFF"/>
              <w:bottom w:val="single" w:sz="8" w:space="0" w:color="FFFFFF"/>
              <w:right w:val="single" w:sz="8" w:space="0" w:color="FFFFFF"/>
            </w:tcBorders>
            <w:shd w:val="clear" w:color="auto" w:fill="F2F2F2"/>
            <w:tcMar>
              <w:top w:w="15" w:type="dxa"/>
              <w:left w:w="15" w:type="dxa"/>
              <w:bottom w:w="0" w:type="dxa"/>
              <w:right w:w="15" w:type="dxa"/>
            </w:tcMar>
            <w:vAlign w:val="bottom"/>
            <w:hideMark/>
          </w:tcPr>
          <w:p>
            <w:pPr>
              <w:tabs>
                <w:tab w:val="clear" w:pos="2835"/>
              </w:tabs>
              <w:jc w:val="right"/>
              <w:textAlignment w:val="bottom"/>
              <w:rPr>
                <w:rFonts w:eastAsia="Times New Roman"/>
                <w:b w:val="0"/>
                <w:sz w:val="18"/>
                <w:szCs w:val="18"/>
                <w:lang w:eastAsia="es-CL"/>
              </w:rPr>
            </w:pPr>
            <w:r>
              <w:rPr>
                <w:rFonts w:eastAsia="Times New Roman"/>
                <w:bCs/>
                <w:color w:val="000000"/>
                <w:kern w:val="24"/>
                <w:sz w:val="18"/>
                <w:szCs w:val="18"/>
                <w:lang w:eastAsia="es-CL"/>
              </w:rPr>
              <w:t xml:space="preserve">          2.540.367 </w:t>
            </w:r>
          </w:p>
        </w:tc>
        <w:tc>
          <w:tcPr>
            <w:tcW w:w="1309" w:type="dxa"/>
            <w:tcBorders>
              <w:top w:val="single" w:sz="8" w:space="0" w:color="FFFFFF"/>
              <w:left w:val="single" w:sz="8" w:space="0" w:color="FFFFFF"/>
              <w:bottom w:val="single" w:sz="8" w:space="0" w:color="FFFFFF"/>
              <w:right w:val="single" w:sz="8" w:space="0" w:color="FFFFFF"/>
            </w:tcBorders>
            <w:shd w:val="clear" w:color="auto" w:fill="C6D9F1"/>
            <w:tcMar>
              <w:top w:w="15" w:type="dxa"/>
              <w:left w:w="15" w:type="dxa"/>
              <w:bottom w:w="0" w:type="dxa"/>
              <w:right w:w="15" w:type="dxa"/>
            </w:tcMar>
            <w:vAlign w:val="bottom"/>
            <w:hideMark/>
          </w:tcPr>
          <w:p>
            <w:pPr>
              <w:tabs>
                <w:tab w:val="clear" w:pos="2835"/>
              </w:tabs>
              <w:jc w:val="right"/>
              <w:textAlignment w:val="bottom"/>
              <w:rPr>
                <w:rFonts w:eastAsia="Times New Roman"/>
                <w:b w:val="0"/>
                <w:sz w:val="18"/>
                <w:szCs w:val="18"/>
                <w:lang w:eastAsia="es-CL"/>
              </w:rPr>
            </w:pPr>
            <w:r>
              <w:rPr>
                <w:rFonts w:eastAsia="Times New Roman"/>
                <w:bCs/>
                <w:color w:val="000000"/>
                <w:kern w:val="24"/>
                <w:sz w:val="18"/>
                <w:szCs w:val="18"/>
                <w:lang w:eastAsia="es-CL"/>
              </w:rPr>
              <w:t xml:space="preserve">               1.256.842 </w:t>
            </w:r>
          </w:p>
        </w:tc>
        <w:tc>
          <w:tcPr>
            <w:tcW w:w="1012" w:type="dxa"/>
            <w:tcBorders>
              <w:top w:val="single" w:sz="8" w:space="0" w:color="FFFFFF"/>
              <w:left w:val="single" w:sz="8" w:space="0" w:color="FFFFFF"/>
              <w:bottom w:val="single" w:sz="8" w:space="0" w:color="FFFFFF"/>
              <w:right w:val="single" w:sz="8" w:space="0" w:color="FFFFFF"/>
            </w:tcBorders>
            <w:shd w:val="clear" w:color="auto" w:fill="F2F2F2"/>
            <w:tcMar>
              <w:top w:w="15" w:type="dxa"/>
              <w:left w:w="15" w:type="dxa"/>
              <w:bottom w:w="0" w:type="dxa"/>
              <w:right w:w="15" w:type="dxa"/>
            </w:tcMar>
            <w:vAlign w:val="bottom"/>
            <w:hideMark/>
          </w:tcPr>
          <w:p>
            <w:pPr>
              <w:tabs>
                <w:tab w:val="clear" w:pos="2835"/>
              </w:tabs>
              <w:jc w:val="right"/>
              <w:textAlignment w:val="bottom"/>
              <w:rPr>
                <w:rFonts w:eastAsia="Times New Roman"/>
                <w:b w:val="0"/>
                <w:sz w:val="18"/>
                <w:szCs w:val="18"/>
                <w:lang w:eastAsia="es-CL"/>
              </w:rPr>
            </w:pPr>
            <w:r>
              <w:rPr>
                <w:rFonts w:eastAsia="Times New Roman"/>
                <w:bCs/>
                <w:color w:val="000000"/>
                <w:kern w:val="24"/>
                <w:sz w:val="18"/>
                <w:szCs w:val="18"/>
                <w:lang w:eastAsia="es-CL"/>
              </w:rPr>
              <w:t>49,3%</w:t>
            </w:r>
          </w:p>
        </w:tc>
        <w:tc>
          <w:tcPr>
            <w:tcW w:w="1102" w:type="dxa"/>
            <w:tcBorders>
              <w:top w:val="single" w:sz="8" w:space="0" w:color="FFFFFF"/>
              <w:left w:val="single" w:sz="8" w:space="0" w:color="FFFFFF"/>
              <w:bottom w:val="single" w:sz="8" w:space="0" w:color="FFFFFF"/>
              <w:right w:val="single" w:sz="8" w:space="0" w:color="000000"/>
            </w:tcBorders>
            <w:shd w:val="clear" w:color="auto" w:fill="C6D9F1"/>
            <w:tcMar>
              <w:top w:w="15" w:type="dxa"/>
              <w:left w:w="15" w:type="dxa"/>
              <w:bottom w:w="0" w:type="dxa"/>
              <w:right w:w="15" w:type="dxa"/>
            </w:tcMar>
            <w:vAlign w:val="bottom"/>
            <w:hideMark/>
          </w:tcPr>
          <w:p>
            <w:pPr>
              <w:tabs>
                <w:tab w:val="clear" w:pos="2835"/>
              </w:tabs>
              <w:jc w:val="right"/>
              <w:textAlignment w:val="bottom"/>
              <w:rPr>
                <w:rFonts w:eastAsia="Times New Roman"/>
                <w:b w:val="0"/>
                <w:sz w:val="18"/>
                <w:szCs w:val="18"/>
                <w:lang w:eastAsia="es-CL"/>
              </w:rPr>
            </w:pPr>
            <w:r>
              <w:rPr>
                <w:rFonts w:eastAsia="Times New Roman"/>
                <w:bCs/>
                <w:color w:val="000000"/>
                <w:kern w:val="24"/>
                <w:sz w:val="18"/>
                <w:szCs w:val="18"/>
                <w:lang w:eastAsia="es-CL"/>
              </w:rPr>
              <w:t>49,5%</w:t>
            </w:r>
          </w:p>
        </w:tc>
      </w:tr>
      <w:tr>
        <w:trPr>
          <w:trHeight w:val="296"/>
        </w:trPr>
        <w:tc>
          <w:tcPr>
            <w:tcW w:w="1021" w:type="dxa"/>
            <w:tcBorders>
              <w:top w:val="single" w:sz="8" w:space="0" w:color="FFFFFF"/>
              <w:left w:val="single" w:sz="8" w:space="0" w:color="000000"/>
              <w:bottom w:val="single" w:sz="8" w:space="0" w:color="FFFFFF"/>
              <w:right w:val="single" w:sz="8" w:space="0" w:color="FFFFFF"/>
            </w:tcBorders>
            <w:shd w:val="clear" w:color="auto" w:fill="C6D9F1"/>
            <w:tcMar>
              <w:top w:w="15" w:type="dxa"/>
              <w:left w:w="15" w:type="dxa"/>
              <w:bottom w:w="0" w:type="dxa"/>
              <w:right w:w="15" w:type="dxa"/>
            </w:tcMar>
            <w:vAlign w:val="bottom"/>
            <w:hideMark/>
          </w:tcPr>
          <w:p>
            <w:pPr>
              <w:tabs>
                <w:tab w:val="clear" w:pos="2835"/>
              </w:tabs>
              <w:jc w:val="center"/>
              <w:textAlignment w:val="bottom"/>
              <w:rPr>
                <w:rFonts w:eastAsia="Times New Roman"/>
                <w:b w:val="0"/>
                <w:sz w:val="18"/>
                <w:szCs w:val="18"/>
                <w:lang w:eastAsia="es-CL"/>
              </w:rPr>
            </w:pPr>
            <w:r>
              <w:rPr>
                <w:rFonts w:eastAsia="Times New Roman"/>
                <w:bCs/>
                <w:color w:val="000000"/>
                <w:kern w:val="24"/>
                <w:sz w:val="18"/>
                <w:szCs w:val="18"/>
                <w:lang w:eastAsia="es-CL"/>
              </w:rPr>
              <w:t>23</w:t>
            </w:r>
          </w:p>
        </w:tc>
        <w:tc>
          <w:tcPr>
            <w:tcW w:w="2818" w:type="dxa"/>
            <w:tcBorders>
              <w:top w:val="single" w:sz="8" w:space="0" w:color="FFFFFF"/>
              <w:left w:val="single" w:sz="8" w:space="0" w:color="FFFFFF"/>
              <w:bottom w:val="single" w:sz="8" w:space="0" w:color="FFFFFF"/>
              <w:right w:val="single" w:sz="8" w:space="0" w:color="FFFFFF"/>
            </w:tcBorders>
            <w:shd w:val="clear" w:color="auto" w:fill="F2F2F2"/>
            <w:tcMar>
              <w:top w:w="15" w:type="dxa"/>
              <w:left w:w="15" w:type="dxa"/>
              <w:bottom w:w="0" w:type="dxa"/>
              <w:right w:w="15" w:type="dxa"/>
            </w:tcMar>
            <w:vAlign w:val="bottom"/>
            <w:hideMark/>
          </w:tcPr>
          <w:p>
            <w:pPr>
              <w:tabs>
                <w:tab w:val="clear" w:pos="2835"/>
              </w:tabs>
              <w:jc w:val="left"/>
              <w:textAlignment w:val="bottom"/>
              <w:rPr>
                <w:rFonts w:eastAsia="Times New Roman"/>
                <w:b w:val="0"/>
                <w:sz w:val="18"/>
                <w:szCs w:val="18"/>
                <w:lang w:eastAsia="es-CL"/>
              </w:rPr>
            </w:pPr>
            <w:r>
              <w:rPr>
                <w:rFonts w:eastAsia="Times New Roman"/>
                <w:bCs/>
                <w:color w:val="000000"/>
                <w:kern w:val="24"/>
                <w:sz w:val="18"/>
                <w:szCs w:val="18"/>
                <w:lang w:eastAsia="es-CL"/>
              </w:rPr>
              <w:t>PRESTACIONES DE SEGURIDAD SOCIAL</w:t>
            </w:r>
          </w:p>
        </w:tc>
        <w:tc>
          <w:tcPr>
            <w:tcW w:w="1008" w:type="dxa"/>
            <w:tcBorders>
              <w:top w:val="single" w:sz="8" w:space="0" w:color="FFFFFF"/>
              <w:left w:val="single" w:sz="8" w:space="0" w:color="FFFFFF"/>
              <w:bottom w:val="single" w:sz="8" w:space="0" w:color="FFFFFF"/>
              <w:right w:val="single" w:sz="8" w:space="0" w:color="FFFFFF"/>
            </w:tcBorders>
            <w:shd w:val="clear" w:color="auto" w:fill="C6D9F1"/>
            <w:tcMar>
              <w:top w:w="15" w:type="dxa"/>
              <w:left w:w="15" w:type="dxa"/>
              <w:bottom w:w="0" w:type="dxa"/>
              <w:right w:w="15" w:type="dxa"/>
            </w:tcMar>
            <w:vAlign w:val="bottom"/>
            <w:hideMark/>
          </w:tcPr>
          <w:p>
            <w:pPr>
              <w:tabs>
                <w:tab w:val="clear" w:pos="2835"/>
              </w:tabs>
              <w:jc w:val="right"/>
              <w:textAlignment w:val="bottom"/>
              <w:rPr>
                <w:rFonts w:eastAsia="Times New Roman"/>
                <w:b w:val="0"/>
                <w:sz w:val="18"/>
                <w:szCs w:val="18"/>
                <w:lang w:eastAsia="es-CL"/>
              </w:rPr>
            </w:pPr>
            <w:r>
              <w:rPr>
                <w:rFonts w:eastAsia="Times New Roman"/>
                <w:bCs/>
                <w:color w:val="000000"/>
                <w:kern w:val="24"/>
                <w:sz w:val="18"/>
                <w:szCs w:val="18"/>
                <w:lang w:eastAsia="es-CL"/>
              </w:rPr>
              <w:t xml:space="preserve">                         -   </w:t>
            </w:r>
          </w:p>
        </w:tc>
        <w:tc>
          <w:tcPr>
            <w:tcW w:w="1157" w:type="dxa"/>
            <w:tcBorders>
              <w:top w:val="single" w:sz="8" w:space="0" w:color="FFFFFF"/>
              <w:left w:val="single" w:sz="8" w:space="0" w:color="FFFFFF"/>
              <w:bottom w:val="single" w:sz="8" w:space="0" w:color="FFFFFF"/>
              <w:right w:val="single" w:sz="8" w:space="0" w:color="FFFFFF"/>
            </w:tcBorders>
            <w:shd w:val="clear" w:color="auto" w:fill="F2F2F2"/>
            <w:tcMar>
              <w:top w:w="15" w:type="dxa"/>
              <w:left w:w="15" w:type="dxa"/>
              <w:bottom w:w="0" w:type="dxa"/>
              <w:right w:w="15" w:type="dxa"/>
            </w:tcMar>
            <w:vAlign w:val="bottom"/>
            <w:hideMark/>
          </w:tcPr>
          <w:p>
            <w:pPr>
              <w:tabs>
                <w:tab w:val="clear" w:pos="2835"/>
              </w:tabs>
              <w:jc w:val="right"/>
              <w:textAlignment w:val="bottom"/>
              <w:rPr>
                <w:rFonts w:eastAsia="Times New Roman"/>
                <w:b w:val="0"/>
                <w:sz w:val="18"/>
                <w:szCs w:val="18"/>
                <w:lang w:eastAsia="es-CL"/>
              </w:rPr>
            </w:pPr>
            <w:r>
              <w:rPr>
                <w:rFonts w:eastAsia="Times New Roman"/>
                <w:bCs/>
                <w:color w:val="000000"/>
                <w:kern w:val="24"/>
                <w:sz w:val="18"/>
                <w:szCs w:val="18"/>
                <w:lang w:eastAsia="es-CL"/>
              </w:rPr>
              <w:t xml:space="preserve">                22.340 </w:t>
            </w:r>
          </w:p>
        </w:tc>
        <w:tc>
          <w:tcPr>
            <w:tcW w:w="1309" w:type="dxa"/>
            <w:tcBorders>
              <w:top w:val="single" w:sz="8" w:space="0" w:color="FFFFFF"/>
              <w:left w:val="single" w:sz="8" w:space="0" w:color="FFFFFF"/>
              <w:bottom w:val="single" w:sz="8" w:space="0" w:color="FFFFFF"/>
              <w:right w:val="single" w:sz="8" w:space="0" w:color="FFFFFF"/>
            </w:tcBorders>
            <w:shd w:val="clear" w:color="auto" w:fill="C6D9F1"/>
            <w:tcMar>
              <w:top w:w="15" w:type="dxa"/>
              <w:left w:w="15" w:type="dxa"/>
              <w:bottom w:w="0" w:type="dxa"/>
              <w:right w:w="15" w:type="dxa"/>
            </w:tcMar>
            <w:vAlign w:val="bottom"/>
            <w:hideMark/>
          </w:tcPr>
          <w:p>
            <w:pPr>
              <w:tabs>
                <w:tab w:val="clear" w:pos="2835"/>
              </w:tabs>
              <w:jc w:val="right"/>
              <w:textAlignment w:val="bottom"/>
              <w:rPr>
                <w:rFonts w:eastAsia="Times New Roman"/>
                <w:b w:val="0"/>
                <w:sz w:val="18"/>
                <w:szCs w:val="18"/>
                <w:lang w:eastAsia="es-CL"/>
              </w:rPr>
            </w:pPr>
            <w:r>
              <w:rPr>
                <w:rFonts w:eastAsia="Times New Roman"/>
                <w:bCs/>
                <w:color w:val="000000"/>
                <w:kern w:val="24"/>
                <w:sz w:val="18"/>
                <w:szCs w:val="18"/>
                <w:lang w:eastAsia="es-CL"/>
              </w:rPr>
              <w:t xml:space="preserve">                     22.340 </w:t>
            </w:r>
          </w:p>
        </w:tc>
        <w:tc>
          <w:tcPr>
            <w:tcW w:w="1012" w:type="dxa"/>
            <w:tcBorders>
              <w:top w:val="single" w:sz="8" w:space="0" w:color="FFFFFF"/>
              <w:left w:val="single" w:sz="8" w:space="0" w:color="FFFFFF"/>
              <w:bottom w:val="single" w:sz="8" w:space="0" w:color="FFFFFF"/>
              <w:right w:val="single" w:sz="8" w:space="0" w:color="FFFFFF"/>
            </w:tcBorders>
            <w:shd w:val="clear" w:color="auto" w:fill="F2F2F2"/>
            <w:tcMar>
              <w:top w:w="15" w:type="dxa"/>
              <w:left w:w="15" w:type="dxa"/>
              <w:bottom w:w="0" w:type="dxa"/>
              <w:right w:w="15" w:type="dxa"/>
            </w:tcMar>
            <w:vAlign w:val="bottom"/>
            <w:hideMark/>
          </w:tcPr>
          <w:p>
            <w:pPr>
              <w:tabs>
                <w:tab w:val="clear" w:pos="2835"/>
              </w:tabs>
              <w:jc w:val="right"/>
              <w:textAlignment w:val="bottom"/>
              <w:rPr>
                <w:rFonts w:eastAsia="Times New Roman"/>
                <w:b w:val="0"/>
                <w:sz w:val="18"/>
                <w:szCs w:val="18"/>
                <w:lang w:eastAsia="es-CL"/>
              </w:rPr>
            </w:pPr>
            <w:r>
              <w:rPr>
                <w:rFonts w:eastAsia="Times New Roman"/>
                <w:bCs/>
                <w:color w:val="000000"/>
                <w:kern w:val="24"/>
                <w:sz w:val="18"/>
                <w:szCs w:val="18"/>
                <w:lang w:eastAsia="es-CL"/>
              </w:rPr>
              <w:t>0,0%</w:t>
            </w:r>
          </w:p>
        </w:tc>
        <w:tc>
          <w:tcPr>
            <w:tcW w:w="1102" w:type="dxa"/>
            <w:tcBorders>
              <w:top w:val="single" w:sz="8" w:space="0" w:color="FFFFFF"/>
              <w:left w:val="single" w:sz="8" w:space="0" w:color="FFFFFF"/>
              <w:bottom w:val="single" w:sz="8" w:space="0" w:color="FFFFFF"/>
              <w:right w:val="single" w:sz="8" w:space="0" w:color="000000"/>
            </w:tcBorders>
            <w:shd w:val="clear" w:color="auto" w:fill="C6D9F1"/>
            <w:tcMar>
              <w:top w:w="15" w:type="dxa"/>
              <w:left w:w="15" w:type="dxa"/>
              <w:bottom w:w="0" w:type="dxa"/>
              <w:right w:w="15" w:type="dxa"/>
            </w:tcMar>
            <w:vAlign w:val="bottom"/>
            <w:hideMark/>
          </w:tcPr>
          <w:p>
            <w:pPr>
              <w:tabs>
                <w:tab w:val="clear" w:pos="2835"/>
              </w:tabs>
              <w:jc w:val="right"/>
              <w:textAlignment w:val="bottom"/>
              <w:rPr>
                <w:rFonts w:eastAsia="Times New Roman"/>
                <w:b w:val="0"/>
                <w:sz w:val="18"/>
                <w:szCs w:val="18"/>
                <w:lang w:eastAsia="es-CL"/>
              </w:rPr>
            </w:pPr>
            <w:r>
              <w:rPr>
                <w:rFonts w:eastAsia="Times New Roman"/>
                <w:bCs/>
                <w:color w:val="000000"/>
                <w:kern w:val="24"/>
                <w:sz w:val="18"/>
                <w:szCs w:val="18"/>
                <w:lang w:eastAsia="es-CL"/>
              </w:rPr>
              <w:t>100,0%</w:t>
            </w:r>
          </w:p>
        </w:tc>
      </w:tr>
      <w:tr>
        <w:trPr>
          <w:trHeight w:val="416"/>
        </w:trPr>
        <w:tc>
          <w:tcPr>
            <w:tcW w:w="1021" w:type="dxa"/>
            <w:tcBorders>
              <w:top w:val="single" w:sz="8" w:space="0" w:color="FFFFFF"/>
              <w:left w:val="single" w:sz="8" w:space="0" w:color="000000"/>
              <w:bottom w:val="single" w:sz="8" w:space="0" w:color="FFFFFF"/>
              <w:right w:val="single" w:sz="8" w:space="0" w:color="FFFFFF"/>
            </w:tcBorders>
            <w:shd w:val="clear" w:color="auto" w:fill="C6D9F1"/>
            <w:tcMar>
              <w:top w:w="15" w:type="dxa"/>
              <w:left w:w="15" w:type="dxa"/>
              <w:bottom w:w="0" w:type="dxa"/>
              <w:right w:w="15" w:type="dxa"/>
            </w:tcMar>
            <w:vAlign w:val="bottom"/>
            <w:hideMark/>
          </w:tcPr>
          <w:p>
            <w:pPr>
              <w:tabs>
                <w:tab w:val="clear" w:pos="2835"/>
              </w:tabs>
              <w:jc w:val="center"/>
              <w:textAlignment w:val="bottom"/>
              <w:rPr>
                <w:rFonts w:eastAsia="Times New Roman"/>
                <w:b w:val="0"/>
                <w:sz w:val="18"/>
                <w:szCs w:val="18"/>
                <w:lang w:eastAsia="es-CL"/>
              </w:rPr>
            </w:pPr>
            <w:r>
              <w:rPr>
                <w:rFonts w:eastAsia="Times New Roman"/>
                <w:bCs/>
                <w:color w:val="000000"/>
                <w:kern w:val="24"/>
                <w:sz w:val="18"/>
                <w:szCs w:val="18"/>
                <w:lang w:eastAsia="es-CL"/>
              </w:rPr>
              <w:t>24</w:t>
            </w:r>
          </w:p>
        </w:tc>
        <w:tc>
          <w:tcPr>
            <w:tcW w:w="2818" w:type="dxa"/>
            <w:tcBorders>
              <w:top w:val="single" w:sz="8" w:space="0" w:color="FFFFFF"/>
              <w:left w:val="single" w:sz="8" w:space="0" w:color="FFFFFF"/>
              <w:bottom w:val="single" w:sz="8" w:space="0" w:color="FFFFFF"/>
              <w:right w:val="single" w:sz="8" w:space="0" w:color="FFFFFF"/>
            </w:tcBorders>
            <w:shd w:val="clear" w:color="auto" w:fill="F2F2F2"/>
            <w:tcMar>
              <w:top w:w="15" w:type="dxa"/>
              <w:left w:w="15" w:type="dxa"/>
              <w:bottom w:w="0" w:type="dxa"/>
              <w:right w:w="15" w:type="dxa"/>
            </w:tcMar>
            <w:vAlign w:val="bottom"/>
            <w:hideMark/>
          </w:tcPr>
          <w:p>
            <w:pPr>
              <w:tabs>
                <w:tab w:val="clear" w:pos="2835"/>
              </w:tabs>
              <w:jc w:val="left"/>
              <w:textAlignment w:val="bottom"/>
              <w:rPr>
                <w:rFonts w:eastAsia="Times New Roman"/>
                <w:b w:val="0"/>
                <w:sz w:val="18"/>
                <w:szCs w:val="18"/>
                <w:lang w:eastAsia="es-CL"/>
              </w:rPr>
            </w:pPr>
            <w:r>
              <w:rPr>
                <w:rFonts w:eastAsia="Times New Roman"/>
                <w:bCs/>
                <w:color w:val="000000"/>
                <w:kern w:val="24"/>
                <w:sz w:val="18"/>
                <w:szCs w:val="18"/>
                <w:lang w:eastAsia="es-CL"/>
              </w:rPr>
              <w:t>TRANSFERENCIAS CORRIENTES</w:t>
            </w:r>
          </w:p>
        </w:tc>
        <w:tc>
          <w:tcPr>
            <w:tcW w:w="1008" w:type="dxa"/>
            <w:tcBorders>
              <w:top w:val="single" w:sz="8" w:space="0" w:color="FFFFFF"/>
              <w:left w:val="single" w:sz="8" w:space="0" w:color="FFFFFF"/>
              <w:bottom w:val="single" w:sz="8" w:space="0" w:color="FFFFFF"/>
              <w:right w:val="single" w:sz="8" w:space="0" w:color="FFFFFF"/>
            </w:tcBorders>
            <w:shd w:val="clear" w:color="auto" w:fill="C6D9F1"/>
            <w:tcMar>
              <w:top w:w="15" w:type="dxa"/>
              <w:left w:w="15" w:type="dxa"/>
              <w:bottom w:w="0" w:type="dxa"/>
              <w:right w:w="15" w:type="dxa"/>
            </w:tcMar>
            <w:vAlign w:val="bottom"/>
            <w:hideMark/>
          </w:tcPr>
          <w:p>
            <w:pPr>
              <w:tabs>
                <w:tab w:val="clear" w:pos="2835"/>
              </w:tabs>
              <w:jc w:val="right"/>
              <w:textAlignment w:val="bottom"/>
              <w:rPr>
                <w:rFonts w:eastAsia="Times New Roman"/>
                <w:b w:val="0"/>
                <w:sz w:val="18"/>
                <w:szCs w:val="18"/>
                <w:lang w:eastAsia="es-CL"/>
              </w:rPr>
            </w:pPr>
            <w:r>
              <w:rPr>
                <w:rFonts w:eastAsia="Times New Roman"/>
                <w:bCs/>
                <w:color w:val="000000"/>
                <w:kern w:val="24"/>
                <w:sz w:val="18"/>
                <w:szCs w:val="18"/>
                <w:lang w:eastAsia="es-CL"/>
              </w:rPr>
              <w:t xml:space="preserve">               29.018 </w:t>
            </w:r>
          </w:p>
        </w:tc>
        <w:tc>
          <w:tcPr>
            <w:tcW w:w="1157" w:type="dxa"/>
            <w:tcBorders>
              <w:top w:val="single" w:sz="8" w:space="0" w:color="FFFFFF"/>
              <w:left w:val="single" w:sz="8" w:space="0" w:color="FFFFFF"/>
              <w:bottom w:val="single" w:sz="8" w:space="0" w:color="FFFFFF"/>
              <w:right w:val="single" w:sz="8" w:space="0" w:color="FFFFFF"/>
            </w:tcBorders>
            <w:shd w:val="clear" w:color="auto" w:fill="F2F2F2"/>
            <w:tcMar>
              <w:top w:w="15" w:type="dxa"/>
              <w:left w:w="15" w:type="dxa"/>
              <w:bottom w:w="0" w:type="dxa"/>
              <w:right w:w="15" w:type="dxa"/>
            </w:tcMar>
            <w:vAlign w:val="bottom"/>
            <w:hideMark/>
          </w:tcPr>
          <w:p>
            <w:pPr>
              <w:tabs>
                <w:tab w:val="clear" w:pos="2835"/>
              </w:tabs>
              <w:jc w:val="right"/>
              <w:textAlignment w:val="bottom"/>
              <w:rPr>
                <w:rFonts w:eastAsia="Times New Roman"/>
                <w:b w:val="0"/>
                <w:sz w:val="18"/>
                <w:szCs w:val="18"/>
                <w:lang w:eastAsia="es-CL"/>
              </w:rPr>
            </w:pPr>
            <w:r>
              <w:rPr>
                <w:rFonts w:eastAsia="Times New Roman"/>
                <w:bCs/>
                <w:color w:val="000000"/>
                <w:kern w:val="24"/>
                <w:sz w:val="18"/>
                <w:szCs w:val="18"/>
                <w:lang w:eastAsia="es-CL"/>
              </w:rPr>
              <w:t xml:space="preserve">                34.454 </w:t>
            </w:r>
          </w:p>
        </w:tc>
        <w:tc>
          <w:tcPr>
            <w:tcW w:w="1309" w:type="dxa"/>
            <w:tcBorders>
              <w:top w:val="single" w:sz="8" w:space="0" w:color="FFFFFF"/>
              <w:left w:val="single" w:sz="8" w:space="0" w:color="FFFFFF"/>
              <w:bottom w:val="single" w:sz="8" w:space="0" w:color="FFFFFF"/>
              <w:right w:val="single" w:sz="8" w:space="0" w:color="FFFFFF"/>
            </w:tcBorders>
            <w:shd w:val="clear" w:color="auto" w:fill="C6D9F1"/>
            <w:tcMar>
              <w:top w:w="15" w:type="dxa"/>
              <w:left w:w="15" w:type="dxa"/>
              <w:bottom w:w="0" w:type="dxa"/>
              <w:right w:w="15" w:type="dxa"/>
            </w:tcMar>
            <w:vAlign w:val="bottom"/>
            <w:hideMark/>
          </w:tcPr>
          <w:p>
            <w:pPr>
              <w:tabs>
                <w:tab w:val="clear" w:pos="2835"/>
              </w:tabs>
              <w:jc w:val="right"/>
              <w:textAlignment w:val="bottom"/>
              <w:rPr>
                <w:rFonts w:eastAsia="Times New Roman"/>
                <w:b w:val="0"/>
                <w:sz w:val="18"/>
                <w:szCs w:val="18"/>
                <w:lang w:eastAsia="es-CL"/>
              </w:rPr>
            </w:pPr>
            <w:r>
              <w:rPr>
                <w:rFonts w:eastAsia="Times New Roman"/>
                <w:bCs/>
                <w:color w:val="000000"/>
                <w:kern w:val="24"/>
                <w:sz w:val="18"/>
                <w:szCs w:val="18"/>
                <w:lang w:eastAsia="es-CL"/>
              </w:rPr>
              <w:t xml:space="preserve">                     34.452 </w:t>
            </w:r>
          </w:p>
        </w:tc>
        <w:tc>
          <w:tcPr>
            <w:tcW w:w="1012" w:type="dxa"/>
            <w:tcBorders>
              <w:top w:val="single" w:sz="8" w:space="0" w:color="FFFFFF"/>
              <w:left w:val="single" w:sz="8" w:space="0" w:color="FFFFFF"/>
              <w:bottom w:val="single" w:sz="8" w:space="0" w:color="FFFFFF"/>
              <w:right w:val="single" w:sz="8" w:space="0" w:color="FFFFFF"/>
            </w:tcBorders>
            <w:shd w:val="clear" w:color="auto" w:fill="F2F2F2"/>
            <w:tcMar>
              <w:top w:w="15" w:type="dxa"/>
              <w:left w:w="15" w:type="dxa"/>
              <w:bottom w:w="0" w:type="dxa"/>
              <w:right w:w="15" w:type="dxa"/>
            </w:tcMar>
            <w:vAlign w:val="bottom"/>
            <w:hideMark/>
          </w:tcPr>
          <w:p>
            <w:pPr>
              <w:tabs>
                <w:tab w:val="clear" w:pos="2835"/>
              </w:tabs>
              <w:jc w:val="right"/>
              <w:textAlignment w:val="bottom"/>
              <w:rPr>
                <w:rFonts w:eastAsia="Times New Roman"/>
                <w:b w:val="0"/>
                <w:sz w:val="18"/>
                <w:szCs w:val="18"/>
                <w:lang w:eastAsia="es-CL"/>
              </w:rPr>
            </w:pPr>
            <w:r>
              <w:rPr>
                <w:rFonts w:eastAsia="Times New Roman"/>
                <w:bCs/>
                <w:color w:val="000000"/>
                <w:kern w:val="24"/>
                <w:sz w:val="18"/>
                <w:szCs w:val="18"/>
                <w:lang w:eastAsia="es-CL"/>
              </w:rPr>
              <w:t>118,7%</w:t>
            </w:r>
          </w:p>
        </w:tc>
        <w:tc>
          <w:tcPr>
            <w:tcW w:w="1102" w:type="dxa"/>
            <w:tcBorders>
              <w:top w:val="single" w:sz="8" w:space="0" w:color="FFFFFF"/>
              <w:left w:val="single" w:sz="8" w:space="0" w:color="FFFFFF"/>
              <w:bottom w:val="single" w:sz="8" w:space="0" w:color="FFFFFF"/>
              <w:right w:val="single" w:sz="8" w:space="0" w:color="000000"/>
            </w:tcBorders>
            <w:shd w:val="clear" w:color="auto" w:fill="C6D9F1"/>
            <w:tcMar>
              <w:top w:w="15" w:type="dxa"/>
              <w:left w:w="15" w:type="dxa"/>
              <w:bottom w:w="0" w:type="dxa"/>
              <w:right w:w="15" w:type="dxa"/>
            </w:tcMar>
            <w:vAlign w:val="bottom"/>
            <w:hideMark/>
          </w:tcPr>
          <w:p>
            <w:pPr>
              <w:tabs>
                <w:tab w:val="clear" w:pos="2835"/>
              </w:tabs>
              <w:jc w:val="right"/>
              <w:textAlignment w:val="bottom"/>
              <w:rPr>
                <w:rFonts w:eastAsia="Times New Roman"/>
                <w:b w:val="0"/>
                <w:sz w:val="18"/>
                <w:szCs w:val="18"/>
                <w:lang w:eastAsia="es-CL"/>
              </w:rPr>
            </w:pPr>
            <w:r>
              <w:rPr>
                <w:rFonts w:eastAsia="Times New Roman"/>
                <w:bCs/>
                <w:color w:val="000000"/>
                <w:kern w:val="24"/>
                <w:sz w:val="18"/>
                <w:szCs w:val="18"/>
                <w:lang w:eastAsia="es-CL"/>
              </w:rPr>
              <w:t>100,0%</w:t>
            </w:r>
          </w:p>
        </w:tc>
      </w:tr>
      <w:tr>
        <w:trPr>
          <w:trHeight w:val="394"/>
        </w:trPr>
        <w:tc>
          <w:tcPr>
            <w:tcW w:w="1021" w:type="dxa"/>
            <w:tcBorders>
              <w:top w:val="single" w:sz="8" w:space="0" w:color="FFFFFF"/>
              <w:left w:val="single" w:sz="8" w:space="0" w:color="000000"/>
              <w:bottom w:val="single" w:sz="8" w:space="0" w:color="FFFFFF"/>
              <w:right w:val="single" w:sz="8" w:space="0" w:color="FFFFFF"/>
            </w:tcBorders>
            <w:shd w:val="clear" w:color="auto" w:fill="C6D9F1"/>
            <w:tcMar>
              <w:top w:w="15" w:type="dxa"/>
              <w:left w:w="15" w:type="dxa"/>
              <w:bottom w:w="0" w:type="dxa"/>
              <w:right w:w="15" w:type="dxa"/>
            </w:tcMar>
            <w:vAlign w:val="bottom"/>
            <w:hideMark/>
          </w:tcPr>
          <w:p>
            <w:pPr>
              <w:tabs>
                <w:tab w:val="clear" w:pos="2835"/>
              </w:tabs>
              <w:jc w:val="center"/>
              <w:textAlignment w:val="bottom"/>
              <w:rPr>
                <w:rFonts w:eastAsia="Times New Roman"/>
                <w:b w:val="0"/>
                <w:sz w:val="18"/>
                <w:szCs w:val="18"/>
                <w:lang w:eastAsia="es-CL"/>
              </w:rPr>
            </w:pPr>
            <w:r>
              <w:rPr>
                <w:rFonts w:eastAsia="Times New Roman"/>
                <w:bCs/>
                <w:color w:val="000000"/>
                <w:kern w:val="24"/>
                <w:sz w:val="18"/>
                <w:szCs w:val="18"/>
                <w:lang w:eastAsia="es-CL"/>
              </w:rPr>
              <w:t>29</w:t>
            </w:r>
          </w:p>
        </w:tc>
        <w:tc>
          <w:tcPr>
            <w:tcW w:w="2818" w:type="dxa"/>
            <w:tcBorders>
              <w:top w:val="single" w:sz="8" w:space="0" w:color="FFFFFF"/>
              <w:left w:val="single" w:sz="8" w:space="0" w:color="FFFFFF"/>
              <w:bottom w:val="single" w:sz="8" w:space="0" w:color="FFFFFF"/>
              <w:right w:val="single" w:sz="8" w:space="0" w:color="FFFFFF"/>
            </w:tcBorders>
            <w:shd w:val="clear" w:color="auto" w:fill="F2F2F2"/>
            <w:tcMar>
              <w:top w:w="15" w:type="dxa"/>
              <w:left w:w="15" w:type="dxa"/>
              <w:bottom w:w="0" w:type="dxa"/>
              <w:right w:w="15" w:type="dxa"/>
            </w:tcMar>
            <w:vAlign w:val="bottom"/>
            <w:hideMark/>
          </w:tcPr>
          <w:p>
            <w:pPr>
              <w:tabs>
                <w:tab w:val="clear" w:pos="2835"/>
              </w:tabs>
              <w:jc w:val="left"/>
              <w:textAlignment w:val="bottom"/>
              <w:rPr>
                <w:rFonts w:eastAsia="Times New Roman"/>
                <w:b w:val="0"/>
                <w:sz w:val="18"/>
                <w:szCs w:val="18"/>
                <w:lang w:eastAsia="es-CL"/>
              </w:rPr>
            </w:pPr>
            <w:r>
              <w:rPr>
                <w:rFonts w:eastAsia="Times New Roman"/>
                <w:bCs/>
                <w:color w:val="000000"/>
                <w:kern w:val="24"/>
                <w:sz w:val="18"/>
                <w:szCs w:val="18"/>
                <w:lang w:eastAsia="es-CL"/>
              </w:rPr>
              <w:t>ADQUISICIÓN DE ACTIVOS NO FINANCIEROS</w:t>
            </w:r>
          </w:p>
        </w:tc>
        <w:tc>
          <w:tcPr>
            <w:tcW w:w="1008" w:type="dxa"/>
            <w:tcBorders>
              <w:top w:val="single" w:sz="8" w:space="0" w:color="FFFFFF"/>
              <w:left w:val="single" w:sz="8" w:space="0" w:color="FFFFFF"/>
              <w:bottom w:val="single" w:sz="8" w:space="0" w:color="FFFFFF"/>
              <w:right w:val="single" w:sz="8" w:space="0" w:color="FFFFFF"/>
            </w:tcBorders>
            <w:shd w:val="clear" w:color="auto" w:fill="C6D9F1"/>
            <w:tcMar>
              <w:top w:w="15" w:type="dxa"/>
              <w:left w:w="15" w:type="dxa"/>
              <w:bottom w:w="0" w:type="dxa"/>
              <w:right w:w="15" w:type="dxa"/>
            </w:tcMar>
            <w:vAlign w:val="bottom"/>
            <w:hideMark/>
          </w:tcPr>
          <w:p>
            <w:pPr>
              <w:tabs>
                <w:tab w:val="clear" w:pos="2835"/>
              </w:tabs>
              <w:jc w:val="right"/>
              <w:textAlignment w:val="bottom"/>
              <w:rPr>
                <w:rFonts w:eastAsia="Times New Roman"/>
                <w:b w:val="0"/>
                <w:sz w:val="18"/>
                <w:szCs w:val="18"/>
                <w:lang w:eastAsia="es-CL"/>
              </w:rPr>
            </w:pPr>
            <w:r>
              <w:rPr>
                <w:rFonts w:eastAsia="Times New Roman"/>
                <w:bCs/>
                <w:color w:val="000000"/>
                <w:kern w:val="24"/>
                <w:sz w:val="18"/>
                <w:szCs w:val="18"/>
                <w:lang w:eastAsia="es-CL"/>
              </w:rPr>
              <w:t xml:space="preserve">             304.238 </w:t>
            </w:r>
          </w:p>
        </w:tc>
        <w:tc>
          <w:tcPr>
            <w:tcW w:w="1157" w:type="dxa"/>
            <w:tcBorders>
              <w:top w:val="single" w:sz="8" w:space="0" w:color="FFFFFF"/>
              <w:left w:val="single" w:sz="8" w:space="0" w:color="FFFFFF"/>
              <w:bottom w:val="single" w:sz="8" w:space="0" w:color="FFFFFF"/>
              <w:right w:val="single" w:sz="8" w:space="0" w:color="FFFFFF"/>
            </w:tcBorders>
            <w:shd w:val="clear" w:color="auto" w:fill="F2F2F2"/>
            <w:tcMar>
              <w:top w:w="15" w:type="dxa"/>
              <w:left w:w="15" w:type="dxa"/>
              <w:bottom w:w="0" w:type="dxa"/>
              <w:right w:w="15" w:type="dxa"/>
            </w:tcMar>
            <w:vAlign w:val="bottom"/>
            <w:hideMark/>
          </w:tcPr>
          <w:p>
            <w:pPr>
              <w:tabs>
                <w:tab w:val="clear" w:pos="2835"/>
              </w:tabs>
              <w:jc w:val="right"/>
              <w:textAlignment w:val="bottom"/>
              <w:rPr>
                <w:rFonts w:eastAsia="Times New Roman"/>
                <w:b w:val="0"/>
                <w:sz w:val="18"/>
                <w:szCs w:val="18"/>
                <w:lang w:eastAsia="es-CL"/>
              </w:rPr>
            </w:pPr>
            <w:r>
              <w:rPr>
                <w:rFonts w:eastAsia="Times New Roman"/>
                <w:bCs/>
                <w:color w:val="000000"/>
                <w:kern w:val="24"/>
                <w:sz w:val="18"/>
                <w:szCs w:val="18"/>
                <w:lang w:eastAsia="es-CL"/>
              </w:rPr>
              <w:t xml:space="preserve">              304.238 </w:t>
            </w:r>
          </w:p>
        </w:tc>
        <w:tc>
          <w:tcPr>
            <w:tcW w:w="1309" w:type="dxa"/>
            <w:tcBorders>
              <w:top w:val="single" w:sz="8" w:space="0" w:color="FFFFFF"/>
              <w:left w:val="single" w:sz="8" w:space="0" w:color="FFFFFF"/>
              <w:bottom w:val="single" w:sz="8" w:space="0" w:color="FFFFFF"/>
              <w:right w:val="single" w:sz="8" w:space="0" w:color="FFFFFF"/>
            </w:tcBorders>
            <w:shd w:val="clear" w:color="auto" w:fill="C6D9F1"/>
            <w:tcMar>
              <w:top w:w="15" w:type="dxa"/>
              <w:left w:w="15" w:type="dxa"/>
              <w:bottom w:w="0" w:type="dxa"/>
              <w:right w:w="15" w:type="dxa"/>
            </w:tcMar>
            <w:vAlign w:val="bottom"/>
            <w:hideMark/>
          </w:tcPr>
          <w:p>
            <w:pPr>
              <w:tabs>
                <w:tab w:val="clear" w:pos="2835"/>
              </w:tabs>
              <w:jc w:val="right"/>
              <w:textAlignment w:val="bottom"/>
              <w:rPr>
                <w:rFonts w:eastAsia="Times New Roman"/>
                <w:b w:val="0"/>
                <w:sz w:val="18"/>
                <w:szCs w:val="18"/>
                <w:lang w:eastAsia="es-CL"/>
              </w:rPr>
            </w:pPr>
            <w:r>
              <w:rPr>
                <w:rFonts w:eastAsia="Times New Roman"/>
                <w:bCs/>
                <w:color w:val="000000"/>
                <w:kern w:val="24"/>
                <w:sz w:val="18"/>
                <w:szCs w:val="18"/>
                <w:lang w:eastAsia="es-CL"/>
              </w:rPr>
              <w:t xml:space="preserve">                       6.508 </w:t>
            </w:r>
          </w:p>
        </w:tc>
        <w:tc>
          <w:tcPr>
            <w:tcW w:w="1012" w:type="dxa"/>
            <w:tcBorders>
              <w:top w:val="single" w:sz="8" w:space="0" w:color="FFFFFF"/>
              <w:left w:val="single" w:sz="8" w:space="0" w:color="FFFFFF"/>
              <w:bottom w:val="single" w:sz="8" w:space="0" w:color="FFFFFF"/>
              <w:right w:val="single" w:sz="8" w:space="0" w:color="FFFFFF"/>
            </w:tcBorders>
            <w:shd w:val="clear" w:color="auto" w:fill="F2F2F2"/>
            <w:tcMar>
              <w:top w:w="15" w:type="dxa"/>
              <w:left w:w="15" w:type="dxa"/>
              <w:bottom w:w="0" w:type="dxa"/>
              <w:right w:w="15" w:type="dxa"/>
            </w:tcMar>
            <w:vAlign w:val="bottom"/>
            <w:hideMark/>
          </w:tcPr>
          <w:p>
            <w:pPr>
              <w:tabs>
                <w:tab w:val="clear" w:pos="2835"/>
              </w:tabs>
              <w:jc w:val="right"/>
              <w:textAlignment w:val="bottom"/>
              <w:rPr>
                <w:rFonts w:eastAsia="Times New Roman"/>
                <w:b w:val="0"/>
                <w:sz w:val="18"/>
                <w:szCs w:val="18"/>
                <w:lang w:eastAsia="es-CL"/>
              </w:rPr>
            </w:pPr>
            <w:r>
              <w:rPr>
                <w:rFonts w:eastAsia="Times New Roman"/>
                <w:bCs/>
                <w:color w:val="000000"/>
                <w:kern w:val="24"/>
                <w:sz w:val="18"/>
                <w:szCs w:val="18"/>
                <w:lang w:eastAsia="es-CL"/>
              </w:rPr>
              <w:t>2,1%</w:t>
            </w:r>
          </w:p>
        </w:tc>
        <w:tc>
          <w:tcPr>
            <w:tcW w:w="1102" w:type="dxa"/>
            <w:tcBorders>
              <w:top w:val="single" w:sz="8" w:space="0" w:color="FFFFFF"/>
              <w:left w:val="single" w:sz="8" w:space="0" w:color="FFFFFF"/>
              <w:bottom w:val="single" w:sz="8" w:space="0" w:color="FFFFFF"/>
              <w:right w:val="single" w:sz="8" w:space="0" w:color="000000"/>
            </w:tcBorders>
            <w:shd w:val="clear" w:color="auto" w:fill="C6D9F1"/>
            <w:tcMar>
              <w:top w:w="15" w:type="dxa"/>
              <w:left w:w="15" w:type="dxa"/>
              <w:bottom w:w="0" w:type="dxa"/>
              <w:right w:w="15" w:type="dxa"/>
            </w:tcMar>
            <w:vAlign w:val="bottom"/>
            <w:hideMark/>
          </w:tcPr>
          <w:p>
            <w:pPr>
              <w:tabs>
                <w:tab w:val="clear" w:pos="2835"/>
              </w:tabs>
              <w:jc w:val="right"/>
              <w:textAlignment w:val="bottom"/>
              <w:rPr>
                <w:rFonts w:eastAsia="Times New Roman"/>
                <w:b w:val="0"/>
                <w:sz w:val="18"/>
                <w:szCs w:val="18"/>
                <w:lang w:eastAsia="es-CL"/>
              </w:rPr>
            </w:pPr>
            <w:r>
              <w:rPr>
                <w:rFonts w:eastAsia="Times New Roman"/>
                <w:bCs/>
                <w:color w:val="000000"/>
                <w:kern w:val="24"/>
                <w:sz w:val="18"/>
                <w:szCs w:val="18"/>
                <w:lang w:eastAsia="es-CL"/>
              </w:rPr>
              <w:t>2,1%</w:t>
            </w:r>
          </w:p>
        </w:tc>
      </w:tr>
      <w:tr>
        <w:trPr>
          <w:trHeight w:val="514"/>
        </w:trPr>
        <w:tc>
          <w:tcPr>
            <w:tcW w:w="1021" w:type="dxa"/>
            <w:tcBorders>
              <w:top w:val="single" w:sz="8" w:space="0" w:color="FFFFFF"/>
              <w:left w:val="single" w:sz="8" w:space="0" w:color="000000"/>
              <w:bottom w:val="single" w:sz="8" w:space="0" w:color="000000"/>
              <w:right w:val="single" w:sz="8" w:space="0" w:color="FFFFFF"/>
            </w:tcBorders>
            <w:shd w:val="clear" w:color="auto" w:fill="C6D9F1"/>
            <w:tcMar>
              <w:top w:w="15" w:type="dxa"/>
              <w:left w:w="15" w:type="dxa"/>
              <w:bottom w:w="0" w:type="dxa"/>
              <w:right w:w="15" w:type="dxa"/>
            </w:tcMar>
            <w:vAlign w:val="bottom"/>
            <w:hideMark/>
          </w:tcPr>
          <w:p>
            <w:pPr>
              <w:tabs>
                <w:tab w:val="clear" w:pos="2835"/>
              </w:tabs>
              <w:jc w:val="center"/>
              <w:textAlignment w:val="bottom"/>
              <w:rPr>
                <w:rFonts w:eastAsia="Times New Roman"/>
                <w:b w:val="0"/>
                <w:sz w:val="18"/>
                <w:szCs w:val="18"/>
                <w:lang w:eastAsia="es-CL"/>
              </w:rPr>
            </w:pPr>
            <w:r>
              <w:rPr>
                <w:rFonts w:eastAsia="Times New Roman"/>
                <w:bCs/>
                <w:color w:val="000000"/>
                <w:kern w:val="24"/>
                <w:sz w:val="18"/>
                <w:szCs w:val="18"/>
                <w:lang w:eastAsia="es-CL"/>
              </w:rPr>
              <w:t>34</w:t>
            </w:r>
          </w:p>
        </w:tc>
        <w:tc>
          <w:tcPr>
            <w:tcW w:w="2818" w:type="dxa"/>
            <w:tcBorders>
              <w:top w:val="single" w:sz="8" w:space="0" w:color="FFFFFF"/>
              <w:left w:val="single" w:sz="8" w:space="0" w:color="FFFFFF"/>
              <w:bottom w:val="single" w:sz="8" w:space="0" w:color="000000"/>
              <w:right w:val="single" w:sz="8" w:space="0" w:color="FFFFFF"/>
            </w:tcBorders>
            <w:shd w:val="clear" w:color="auto" w:fill="F2F2F2"/>
            <w:tcMar>
              <w:top w:w="15" w:type="dxa"/>
              <w:left w:w="15" w:type="dxa"/>
              <w:bottom w:w="0" w:type="dxa"/>
              <w:right w:w="15" w:type="dxa"/>
            </w:tcMar>
            <w:vAlign w:val="bottom"/>
            <w:hideMark/>
          </w:tcPr>
          <w:p>
            <w:pPr>
              <w:tabs>
                <w:tab w:val="clear" w:pos="2835"/>
              </w:tabs>
              <w:jc w:val="left"/>
              <w:textAlignment w:val="bottom"/>
              <w:rPr>
                <w:rFonts w:eastAsia="Times New Roman"/>
                <w:b w:val="0"/>
                <w:sz w:val="18"/>
                <w:szCs w:val="18"/>
                <w:lang w:eastAsia="es-CL"/>
              </w:rPr>
            </w:pPr>
            <w:r>
              <w:rPr>
                <w:rFonts w:eastAsia="Times New Roman"/>
                <w:bCs/>
                <w:color w:val="000000"/>
                <w:kern w:val="24"/>
                <w:sz w:val="18"/>
                <w:szCs w:val="18"/>
                <w:lang w:eastAsia="es-CL"/>
              </w:rPr>
              <w:t>SERVICIO DE LA DEUDA</w:t>
            </w:r>
          </w:p>
        </w:tc>
        <w:tc>
          <w:tcPr>
            <w:tcW w:w="1008" w:type="dxa"/>
            <w:tcBorders>
              <w:top w:val="single" w:sz="8" w:space="0" w:color="FFFFFF"/>
              <w:left w:val="single" w:sz="8" w:space="0" w:color="FFFFFF"/>
              <w:bottom w:val="single" w:sz="8" w:space="0" w:color="000000"/>
              <w:right w:val="single" w:sz="8" w:space="0" w:color="FFFFFF"/>
            </w:tcBorders>
            <w:shd w:val="clear" w:color="auto" w:fill="C6D9F1"/>
            <w:tcMar>
              <w:top w:w="15" w:type="dxa"/>
              <w:left w:w="15" w:type="dxa"/>
              <w:bottom w:w="0" w:type="dxa"/>
              <w:right w:w="15" w:type="dxa"/>
            </w:tcMar>
            <w:vAlign w:val="bottom"/>
            <w:hideMark/>
          </w:tcPr>
          <w:p>
            <w:pPr>
              <w:tabs>
                <w:tab w:val="clear" w:pos="2835"/>
              </w:tabs>
              <w:jc w:val="right"/>
              <w:textAlignment w:val="bottom"/>
              <w:rPr>
                <w:rFonts w:eastAsia="Times New Roman"/>
                <w:b w:val="0"/>
                <w:sz w:val="18"/>
                <w:szCs w:val="18"/>
                <w:lang w:eastAsia="es-CL"/>
              </w:rPr>
            </w:pPr>
            <w:r>
              <w:rPr>
                <w:rFonts w:eastAsia="Times New Roman"/>
                <w:bCs/>
                <w:color w:val="000000"/>
                <w:kern w:val="24"/>
                <w:sz w:val="18"/>
                <w:szCs w:val="18"/>
                <w:lang w:eastAsia="es-CL"/>
              </w:rPr>
              <w:t xml:space="preserve">             163.655 </w:t>
            </w:r>
          </w:p>
        </w:tc>
        <w:tc>
          <w:tcPr>
            <w:tcW w:w="1157" w:type="dxa"/>
            <w:tcBorders>
              <w:top w:val="single" w:sz="8" w:space="0" w:color="FFFFFF"/>
              <w:left w:val="single" w:sz="8" w:space="0" w:color="FFFFFF"/>
              <w:bottom w:val="single" w:sz="8" w:space="0" w:color="000000"/>
              <w:right w:val="single" w:sz="8" w:space="0" w:color="FFFFFF"/>
            </w:tcBorders>
            <w:shd w:val="clear" w:color="auto" w:fill="F2F2F2"/>
            <w:tcMar>
              <w:top w:w="15" w:type="dxa"/>
              <w:left w:w="15" w:type="dxa"/>
              <w:bottom w:w="0" w:type="dxa"/>
              <w:right w:w="15" w:type="dxa"/>
            </w:tcMar>
            <w:vAlign w:val="bottom"/>
            <w:hideMark/>
          </w:tcPr>
          <w:p>
            <w:pPr>
              <w:tabs>
                <w:tab w:val="clear" w:pos="2835"/>
              </w:tabs>
              <w:jc w:val="right"/>
              <w:textAlignment w:val="bottom"/>
              <w:rPr>
                <w:rFonts w:eastAsia="Times New Roman"/>
                <w:b w:val="0"/>
                <w:sz w:val="18"/>
                <w:szCs w:val="18"/>
                <w:lang w:eastAsia="es-CL"/>
              </w:rPr>
            </w:pPr>
            <w:r>
              <w:rPr>
                <w:rFonts w:eastAsia="Times New Roman"/>
                <w:bCs/>
                <w:color w:val="000000"/>
                <w:kern w:val="24"/>
                <w:sz w:val="18"/>
                <w:szCs w:val="18"/>
                <w:lang w:eastAsia="es-CL"/>
              </w:rPr>
              <w:t xml:space="preserve">              163.655 </w:t>
            </w:r>
          </w:p>
        </w:tc>
        <w:tc>
          <w:tcPr>
            <w:tcW w:w="1309" w:type="dxa"/>
            <w:tcBorders>
              <w:top w:val="single" w:sz="8" w:space="0" w:color="FFFFFF"/>
              <w:left w:val="single" w:sz="8" w:space="0" w:color="FFFFFF"/>
              <w:bottom w:val="single" w:sz="8" w:space="0" w:color="000000"/>
              <w:right w:val="single" w:sz="8" w:space="0" w:color="FFFFFF"/>
            </w:tcBorders>
            <w:shd w:val="clear" w:color="auto" w:fill="C6D9F1"/>
            <w:tcMar>
              <w:top w:w="15" w:type="dxa"/>
              <w:left w:w="15" w:type="dxa"/>
              <w:bottom w:w="0" w:type="dxa"/>
              <w:right w:w="15" w:type="dxa"/>
            </w:tcMar>
            <w:vAlign w:val="bottom"/>
            <w:hideMark/>
          </w:tcPr>
          <w:p>
            <w:pPr>
              <w:tabs>
                <w:tab w:val="clear" w:pos="2835"/>
              </w:tabs>
              <w:jc w:val="right"/>
              <w:textAlignment w:val="bottom"/>
              <w:rPr>
                <w:rFonts w:eastAsia="Times New Roman"/>
                <w:b w:val="0"/>
                <w:sz w:val="18"/>
                <w:szCs w:val="18"/>
                <w:lang w:eastAsia="es-CL"/>
              </w:rPr>
            </w:pPr>
            <w:r>
              <w:rPr>
                <w:rFonts w:eastAsia="Times New Roman"/>
                <w:bCs/>
                <w:color w:val="000000"/>
                <w:kern w:val="24"/>
                <w:sz w:val="18"/>
                <w:szCs w:val="18"/>
                <w:lang w:eastAsia="es-CL"/>
              </w:rPr>
              <w:t xml:space="preserve">                  161.731 </w:t>
            </w:r>
          </w:p>
        </w:tc>
        <w:tc>
          <w:tcPr>
            <w:tcW w:w="1012" w:type="dxa"/>
            <w:tcBorders>
              <w:top w:val="single" w:sz="8" w:space="0" w:color="FFFFFF"/>
              <w:left w:val="single" w:sz="8" w:space="0" w:color="FFFFFF"/>
              <w:bottom w:val="single" w:sz="8" w:space="0" w:color="000000"/>
              <w:right w:val="single" w:sz="8" w:space="0" w:color="FFFFFF"/>
            </w:tcBorders>
            <w:shd w:val="clear" w:color="auto" w:fill="F2F2F2"/>
            <w:tcMar>
              <w:top w:w="15" w:type="dxa"/>
              <w:left w:w="15" w:type="dxa"/>
              <w:bottom w:w="0" w:type="dxa"/>
              <w:right w:w="15" w:type="dxa"/>
            </w:tcMar>
            <w:vAlign w:val="bottom"/>
            <w:hideMark/>
          </w:tcPr>
          <w:p>
            <w:pPr>
              <w:tabs>
                <w:tab w:val="clear" w:pos="2835"/>
              </w:tabs>
              <w:jc w:val="right"/>
              <w:textAlignment w:val="bottom"/>
              <w:rPr>
                <w:rFonts w:eastAsia="Times New Roman"/>
                <w:b w:val="0"/>
                <w:sz w:val="18"/>
                <w:szCs w:val="18"/>
                <w:lang w:eastAsia="es-CL"/>
              </w:rPr>
            </w:pPr>
            <w:r>
              <w:rPr>
                <w:rFonts w:eastAsia="Times New Roman"/>
                <w:bCs/>
                <w:color w:val="000000"/>
                <w:kern w:val="24"/>
                <w:sz w:val="18"/>
                <w:szCs w:val="18"/>
                <w:lang w:eastAsia="es-CL"/>
              </w:rPr>
              <w:t>99%</w:t>
            </w:r>
          </w:p>
        </w:tc>
        <w:tc>
          <w:tcPr>
            <w:tcW w:w="1102" w:type="dxa"/>
            <w:tcBorders>
              <w:top w:val="single" w:sz="8" w:space="0" w:color="FFFFFF"/>
              <w:left w:val="single" w:sz="8" w:space="0" w:color="FFFFFF"/>
              <w:bottom w:val="single" w:sz="8" w:space="0" w:color="000000"/>
              <w:right w:val="single" w:sz="8" w:space="0" w:color="000000"/>
            </w:tcBorders>
            <w:shd w:val="clear" w:color="auto" w:fill="C6D9F1"/>
            <w:tcMar>
              <w:top w:w="15" w:type="dxa"/>
              <w:left w:w="15" w:type="dxa"/>
              <w:bottom w:w="0" w:type="dxa"/>
              <w:right w:w="15" w:type="dxa"/>
            </w:tcMar>
            <w:vAlign w:val="bottom"/>
            <w:hideMark/>
          </w:tcPr>
          <w:p>
            <w:pPr>
              <w:tabs>
                <w:tab w:val="clear" w:pos="2835"/>
              </w:tabs>
              <w:jc w:val="right"/>
              <w:textAlignment w:val="bottom"/>
              <w:rPr>
                <w:rFonts w:eastAsia="Times New Roman"/>
                <w:b w:val="0"/>
                <w:sz w:val="18"/>
                <w:szCs w:val="18"/>
                <w:lang w:eastAsia="es-CL"/>
              </w:rPr>
            </w:pPr>
            <w:r>
              <w:rPr>
                <w:rFonts w:eastAsia="Times New Roman"/>
                <w:bCs/>
                <w:color w:val="000000"/>
                <w:kern w:val="24"/>
                <w:sz w:val="18"/>
                <w:szCs w:val="18"/>
                <w:lang w:eastAsia="es-CL"/>
              </w:rPr>
              <w:t>99%</w:t>
            </w:r>
          </w:p>
        </w:tc>
      </w:tr>
    </w:tbl>
    <w:p>
      <w:pPr>
        <w:rPr>
          <w:b w:val="0"/>
        </w:rPr>
      </w:pPr>
    </w:p>
    <w:p>
      <w:pPr>
        <w:rPr>
          <w:b w:val="0"/>
        </w:rPr>
      </w:pPr>
      <w:r>
        <w:rPr>
          <w:b w:val="0"/>
        </w:rPr>
        <w:tab/>
        <w:t>Informó que los dos ítem más importantes, que constituyen más del 90% del presupuesto, es el Subtítulo 21, Gastos en Personal y el Subtítulo 22, Bienes y Servicios de Consumo,  que tienen una ejecución acorde al plazo transcurrido hasta agosto del año en curso, con un   67% y 49,5%, respectivamente, y el resto son cifras menores.</w:t>
      </w:r>
    </w:p>
    <w:p>
      <w:pPr>
        <w:rPr>
          <w:b w:val="0"/>
        </w:rPr>
      </w:pPr>
    </w:p>
    <w:p>
      <w:pPr>
        <w:rPr>
          <w:b w:val="0"/>
        </w:rPr>
      </w:pPr>
      <w:r>
        <w:rPr>
          <w:b w:val="0"/>
        </w:rPr>
        <w:tab/>
        <w:t>En seguida, explicó el presupuesto de esta entidad en comparación al de la ley anterior, mediante el siguiente recuadro:</w:t>
      </w:r>
    </w:p>
    <w:p>
      <w:pPr>
        <w:rPr>
          <w:b w:val="0"/>
        </w:rPr>
      </w:pPr>
    </w:p>
    <w:p>
      <w:r>
        <w:t>Presupuesto 2017 – cifras comparadas</w:t>
      </w:r>
    </w:p>
    <w:p>
      <w:pPr>
        <w:rPr>
          <w:b w:val="0"/>
        </w:rPr>
      </w:pPr>
    </w:p>
    <w:tbl>
      <w:tblPr>
        <w:tblW w:w="9380" w:type="dxa"/>
        <w:tblCellMar>
          <w:left w:w="0" w:type="dxa"/>
          <w:right w:w="0" w:type="dxa"/>
        </w:tblCellMar>
        <w:tblLook w:val="0600" w:firstRow="0" w:lastRow="0" w:firstColumn="0" w:lastColumn="0" w:noHBand="1" w:noVBand="1"/>
      </w:tblPr>
      <w:tblGrid>
        <w:gridCol w:w="3956"/>
        <w:gridCol w:w="1469"/>
        <w:gridCol w:w="1485"/>
        <w:gridCol w:w="1352"/>
        <w:gridCol w:w="1118"/>
      </w:tblGrid>
      <w:tr>
        <w:trPr>
          <w:trHeight w:val="409"/>
        </w:trPr>
        <w:tc>
          <w:tcPr>
            <w:tcW w:w="3956" w:type="dxa"/>
            <w:vMerge w:val="restart"/>
            <w:tcBorders>
              <w:top w:val="nil"/>
              <w:left w:val="nil"/>
              <w:bottom w:val="single" w:sz="8" w:space="0" w:color="FFFFFF"/>
              <w:right w:val="single" w:sz="8" w:space="0" w:color="FFFFFF"/>
            </w:tcBorders>
            <w:shd w:val="clear" w:color="auto" w:fill="B9CDE5"/>
            <w:tcMar>
              <w:top w:w="15" w:type="dxa"/>
              <w:left w:w="15" w:type="dxa"/>
              <w:bottom w:w="0" w:type="dxa"/>
              <w:right w:w="15" w:type="dxa"/>
            </w:tcMar>
            <w:hideMark/>
          </w:tcPr>
          <w:p>
            <w:pPr>
              <w:tabs>
                <w:tab w:val="clear" w:pos="2835"/>
              </w:tabs>
              <w:jc w:val="left"/>
              <w:textAlignment w:val="top"/>
              <w:rPr>
                <w:rFonts w:eastAsia="Times New Roman"/>
                <w:b w:val="0"/>
                <w:sz w:val="18"/>
                <w:szCs w:val="18"/>
                <w:lang w:eastAsia="es-CL"/>
              </w:rPr>
            </w:pPr>
            <w:r>
              <w:rPr>
                <w:rFonts w:eastAsia="Times New Roman"/>
                <w:bCs/>
                <w:color w:val="000000"/>
                <w:kern w:val="24"/>
                <w:sz w:val="18"/>
                <w:szCs w:val="18"/>
                <w:lang w:eastAsia="es-CL"/>
              </w:rPr>
              <w:t>CAPÍTULO 8 - Programa 01</w:t>
            </w:r>
            <w:r>
              <w:rPr>
                <w:rFonts w:eastAsia="Times New Roman"/>
                <w:bCs/>
                <w:color w:val="000000"/>
                <w:kern w:val="24"/>
                <w:sz w:val="18"/>
                <w:szCs w:val="18"/>
                <w:lang w:eastAsia="es-CL"/>
              </w:rPr>
              <w:br/>
              <w:t>SUPERINTENDENCIA DE VALORES Y SEGUROS</w:t>
            </w:r>
          </w:p>
        </w:tc>
        <w:tc>
          <w:tcPr>
            <w:tcW w:w="2954" w:type="dxa"/>
            <w:gridSpan w:val="2"/>
            <w:tcBorders>
              <w:top w:val="single" w:sz="8" w:space="0" w:color="FFFFFF"/>
              <w:left w:val="single" w:sz="8" w:space="0" w:color="FFFFFF"/>
              <w:bottom w:val="single" w:sz="8" w:space="0" w:color="FFFFFF"/>
              <w:right w:val="single" w:sz="8" w:space="0" w:color="FFFFFF"/>
            </w:tcBorders>
            <w:shd w:val="clear" w:color="auto" w:fill="B9CDE5"/>
            <w:tcMar>
              <w:top w:w="15" w:type="dxa"/>
              <w:left w:w="15" w:type="dxa"/>
              <w:bottom w:w="0" w:type="dxa"/>
              <w:right w:w="15" w:type="dxa"/>
            </w:tcMar>
            <w:hideMark/>
          </w:tcPr>
          <w:p>
            <w:pPr>
              <w:tabs>
                <w:tab w:val="clear" w:pos="2835"/>
              </w:tabs>
              <w:jc w:val="center"/>
              <w:textAlignment w:val="top"/>
              <w:rPr>
                <w:rFonts w:eastAsia="Times New Roman"/>
                <w:b w:val="0"/>
                <w:sz w:val="18"/>
                <w:szCs w:val="18"/>
                <w:lang w:eastAsia="es-CL"/>
              </w:rPr>
            </w:pPr>
            <w:r>
              <w:rPr>
                <w:rFonts w:eastAsia="Times New Roman"/>
                <w:bCs/>
                <w:color w:val="000000"/>
                <w:kern w:val="24"/>
                <w:sz w:val="18"/>
                <w:szCs w:val="18"/>
                <w:lang w:eastAsia="es-CL"/>
              </w:rPr>
              <w:t>Ley de Presupuestos</w:t>
            </w:r>
          </w:p>
        </w:tc>
        <w:tc>
          <w:tcPr>
            <w:tcW w:w="2470" w:type="dxa"/>
            <w:gridSpan w:val="2"/>
            <w:tcBorders>
              <w:top w:val="single" w:sz="8" w:space="0" w:color="FFFFFF"/>
              <w:left w:val="single" w:sz="8" w:space="0" w:color="FFFFFF"/>
              <w:bottom w:val="single" w:sz="8" w:space="0" w:color="FFFFFF"/>
              <w:right w:val="single" w:sz="8" w:space="0" w:color="FFFFFF"/>
            </w:tcBorders>
            <w:shd w:val="clear" w:color="auto" w:fill="B9CDE5"/>
            <w:tcMar>
              <w:top w:w="15" w:type="dxa"/>
              <w:left w:w="15" w:type="dxa"/>
              <w:bottom w:w="0" w:type="dxa"/>
              <w:right w:w="15" w:type="dxa"/>
            </w:tcMar>
            <w:hideMark/>
          </w:tcPr>
          <w:p>
            <w:pPr>
              <w:tabs>
                <w:tab w:val="clear" w:pos="2835"/>
              </w:tabs>
              <w:jc w:val="center"/>
              <w:textAlignment w:val="top"/>
              <w:rPr>
                <w:rFonts w:eastAsia="Times New Roman"/>
                <w:b w:val="0"/>
                <w:sz w:val="18"/>
                <w:szCs w:val="18"/>
                <w:lang w:eastAsia="es-CL"/>
              </w:rPr>
            </w:pPr>
            <w:r>
              <w:rPr>
                <w:rFonts w:eastAsia="Times New Roman"/>
                <w:bCs/>
                <w:color w:val="000000"/>
                <w:kern w:val="24"/>
                <w:sz w:val="18"/>
                <w:szCs w:val="18"/>
                <w:lang w:eastAsia="es-CL"/>
              </w:rPr>
              <w:t>Variación</w:t>
            </w:r>
          </w:p>
        </w:tc>
      </w:tr>
      <w:tr>
        <w:trPr>
          <w:trHeight w:val="804"/>
        </w:trPr>
        <w:tc>
          <w:tcPr>
            <w:tcW w:w="0" w:type="auto"/>
            <w:vMerge/>
            <w:tcBorders>
              <w:top w:val="nil"/>
              <w:left w:val="nil"/>
              <w:bottom w:val="single" w:sz="8" w:space="0" w:color="FFFFFF"/>
              <w:right w:val="single" w:sz="8" w:space="0" w:color="FFFFFF"/>
            </w:tcBorders>
            <w:vAlign w:val="center"/>
            <w:hideMark/>
          </w:tcPr>
          <w:p>
            <w:pPr>
              <w:tabs>
                <w:tab w:val="clear" w:pos="2835"/>
              </w:tabs>
              <w:jc w:val="left"/>
              <w:rPr>
                <w:rFonts w:eastAsia="Times New Roman"/>
                <w:b w:val="0"/>
                <w:sz w:val="18"/>
                <w:szCs w:val="18"/>
                <w:lang w:eastAsia="es-CL"/>
              </w:rPr>
            </w:pPr>
          </w:p>
        </w:tc>
        <w:tc>
          <w:tcPr>
            <w:tcW w:w="1469" w:type="dxa"/>
            <w:tcBorders>
              <w:top w:val="single" w:sz="8" w:space="0" w:color="FFFFFF"/>
              <w:left w:val="single" w:sz="8" w:space="0" w:color="FFFFFF"/>
              <w:bottom w:val="single" w:sz="8" w:space="0" w:color="FFFFFF"/>
              <w:right w:val="single" w:sz="8" w:space="0" w:color="FFFFFF"/>
            </w:tcBorders>
            <w:shd w:val="clear" w:color="auto" w:fill="B9CDE5"/>
            <w:tcMar>
              <w:top w:w="15" w:type="dxa"/>
              <w:left w:w="15" w:type="dxa"/>
              <w:bottom w:w="0" w:type="dxa"/>
              <w:right w:w="15" w:type="dxa"/>
            </w:tcMar>
            <w:hideMark/>
          </w:tcPr>
          <w:p>
            <w:pPr>
              <w:tabs>
                <w:tab w:val="clear" w:pos="2835"/>
              </w:tabs>
              <w:jc w:val="left"/>
              <w:textAlignment w:val="top"/>
              <w:rPr>
                <w:rFonts w:eastAsia="Times New Roman"/>
                <w:b w:val="0"/>
                <w:sz w:val="18"/>
                <w:szCs w:val="18"/>
                <w:lang w:eastAsia="es-CL"/>
              </w:rPr>
            </w:pPr>
            <w:r>
              <w:rPr>
                <w:rFonts w:eastAsia="Times New Roman"/>
                <w:bCs/>
                <w:color w:val="000000"/>
                <w:kern w:val="24"/>
                <w:sz w:val="18"/>
                <w:szCs w:val="18"/>
                <w:lang w:eastAsia="es-CL"/>
              </w:rPr>
              <w:t>Año 2016</w:t>
            </w:r>
            <w:r>
              <w:rPr>
                <w:rFonts w:eastAsia="Times New Roman"/>
                <w:bCs/>
                <w:color w:val="000000"/>
                <w:kern w:val="24"/>
                <w:sz w:val="18"/>
                <w:szCs w:val="18"/>
                <w:lang w:eastAsia="es-CL"/>
              </w:rPr>
              <w:br/>
              <w:t>(M$ 2017)</w:t>
            </w:r>
          </w:p>
        </w:tc>
        <w:tc>
          <w:tcPr>
            <w:tcW w:w="1485" w:type="dxa"/>
            <w:tcBorders>
              <w:top w:val="single" w:sz="8" w:space="0" w:color="FFFFFF"/>
              <w:left w:val="single" w:sz="8" w:space="0" w:color="FFFFFF"/>
              <w:bottom w:val="single" w:sz="8" w:space="0" w:color="FFFFFF"/>
              <w:right w:val="single" w:sz="8" w:space="0" w:color="FFFFFF"/>
            </w:tcBorders>
            <w:shd w:val="clear" w:color="auto" w:fill="B9CDE5"/>
            <w:tcMar>
              <w:top w:w="15" w:type="dxa"/>
              <w:left w:w="15" w:type="dxa"/>
              <w:bottom w:w="0" w:type="dxa"/>
              <w:right w:w="15" w:type="dxa"/>
            </w:tcMar>
            <w:hideMark/>
          </w:tcPr>
          <w:p>
            <w:pPr>
              <w:tabs>
                <w:tab w:val="clear" w:pos="2835"/>
              </w:tabs>
              <w:jc w:val="left"/>
              <w:textAlignment w:val="top"/>
              <w:rPr>
                <w:rFonts w:eastAsia="Times New Roman"/>
                <w:b w:val="0"/>
                <w:sz w:val="18"/>
                <w:szCs w:val="18"/>
                <w:lang w:eastAsia="es-CL"/>
              </w:rPr>
            </w:pPr>
            <w:r>
              <w:rPr>
                <w:rFonts w:eastAsia="Times New Roman"/>
                <w:bCs/>
                <w:color w:val="000000"/>
                <w:kern w:val="24"/>
                <w:sz w:val="18"/>
                <w:szCs w:val="18"/>
                <w:lang w:eastAsia="es-CL"/>
              </w:rPr>
              <w:t>Año 2017</w:t>
            </w:r>
            <w:r>
              <w:rPr>
                <w:rFonts w:eastAsia="Times New Roman"/>
                <w:bCs/>
                <w:color w:val="000000"/>
                <w:kern w:val="24"/>
                <w:sz w:val="18"/>
                <w:szCs w:val="18"/>
                <w:lang w:eastAsia="es-CL"/>
              </w:rPr>
              <w:br/>
              <w:t>(M$ 2017)</w:t>
            </w:r>
          </w:p>
        </w:tc>
        <w:tc>
          <w:tcPr>
            <w:tcW w:w="1352" w:type="dxa"/>
            <w:tcBorders>
              <w:top w:val="single" w:sz="8" w:space="0" w:color="FFFFFF"/>
              <w:left w:val="single" w:sz="8" w:space="0" w:color="FFFFFF"/>
              <w:bottom w:val="single" w:sz="8" w:space="0" w:color="FFFFFF"/>
              <w:right w:val="single" w:sz="8" w:space="0" w:color="FFFFFF"/>
            </w:tcBorders>
            <w:shd w:val="clear" w:color="auto" w:fill="B9CDE5"/>
            <w:tcMar>
              <w:top w:w="15" w:type="dxa"/>
              <w:left w:w="15" w:type="dxa"/>
              <w:bottom w:w="0" w:type="dxa"/>
              <w:right w:w="15" w:type="dxa"/>
            </w:tcMar>
            <w:hideMark/>
          </w:tcPr>
          <w:p>
            <w:pPr>
              <w:tabs>
                <w:tab w:val="clear" w:pos="2835"/>
              </w:tabs>
              <w:jc w:val="center"/>
              <w:textAlignment w:val="top"/>
              <w:rPr>
                <w:rFonts w:eastAsia="Times New Roman"/>
                <w:b w:val="0"/>
                <w:sz w:val="18"/>
                <w:szCs w:val="18"/>
                <w:lang w:eastAsia="es-CL"/>
              </w:rPr>
            </w:pPr>
            <w:r>
              <w:rPr>
                <w:rFonts w:eastAsia="Times New Roman"/>
                <w:bCs/>
                <w:color w:val="000000"/>
                <w:kern w:val="24"/>
                <w:sz w:val="18"/>
                <w:szCs w:val="18"/>
                <w:lang w:eastAsia="es-CL"/>
              </w:rPr>
              <w:t>(M$ 2017)</w:t>
            </w:r>
          </w:p>
        </w:tc>
        <w:tc>
          <w:tcPr>
            <w:tcW w:w="1118" w:type="dxa"/>
            <w:tcBorders>
              <w:top w:val="single" w:sz="8" w:space="0" w:color="FFFFFF"/>
              <w:left w:val="single" w:sz="8" w:space="0" w:color="FFFFFF"/>
              <w:bottom w:val="single" w:sz="8" w:space="0" w:color="FFFFFF"/>
              <w:right w:val="single" w:sz="8" w:space="0" w:color="FFFFFF"/>
            </w:tcBorders>
            <w:shd w:val="clear" w:color="auto" w:fill="B9CDE5"/>
            <w:tcMar>
              <w:top w:w="15" w:type="dxa"/>
              <w:left w:w="15" w:type="dxa"/>
              <w:bottom w:w="0" w:type="dxa"/>
              <w:right w:w="15" w:type="dxa"/>
            </w:tcMar>
            <w:hideMark/>
          </w:tcPr>
          <w:p>
            <w:pPr>
              <w:tabs>
                <w:tab w:val="clear" w:pos="2835"/>
              </w:tabs>
              <w:jc w:val="center"/>
              <w:textAlignment w:val="top"/>
              <w:rPr>
                <w:rFonts w:eastAsia="Times New Roman"/>
                <w:b w:val="0"/>
                <w:sz w:val="18"/>
                <w:szCs w:val="18"/>
                <w:lang w:eastAsia="es-CL"/>
              </w:rPr>
            </w:pPr>
            <w:r>
              <w:rPr>
                <w:rFonts w:eastAsia="Times New Roman"/>
                <w:bCs/>
                <w:color w:val="000000"/>
                <w:kern w:val="24"/>
                <w:sz w:val="18"/>
                <w:szCs w:val="18"/>
                <w:lang w:eastAsia="es-CL"/>
              </w:rPr>
              <w:t>(%)</w:t>
            </w:r>
          </w:p>
        </w:tc>
      </w:tr>
      <w:tr>
        <w:trPr>
          <w:trHeight w:val="409"/>
        </w:trPr>
        <w:tc>
          <w:tcPr>
            <w:tcW w:w="3956" w:type="dxa"/>
            <w:tcBorders>
              <w:top w:val="single" w:sz="8" w:space="0" w:color="FFFFFF"/>
              <w:left w:val="single" w:sz="8" w:space="0" w:color="FFFFFF"/>
              <w:bottom w:val="single" w:sz="8" w:space="0" w:color="FFFFFF"/>
              <w:right w:val="single" w:sz="8" w:space="0" w:color="FFFFFF"/>
            </w:tcBorders>
            <w:shd w:val="clear" w:color="auto" w:fill="C6D9F1"/>
            <w:tcMar>
              <w:top w:w="15" w:type="dxa"/>
              <w:left w:w="15" w:type="dxa"/>
              <w:bottom w:w="0" w:type="dxa"/>
              <w:right w:w="15" w:type="dxa"/>
            </w:tcMar>
            <w:vAlign w:val="center"/>
            <w:hideMark/>
          </w:tcPr>
          <w:p>
            <w:pPr>
              <w:tabs>
                <w:tab w:val="clear" w:pos="2835"/>
              </w:tabs>
              <w:jc w:val="left"/>
              <w:textAlignment w:val="center"/>
              <w:rPr>
                <w:rFonts w:eastAsia="Times New Roman"/>
                <w:b w:val="0"/>
                <w:sz w:val="18"/>
                <w:szCs w:val="18"/>
                <w:lang w:eastAsia="es-CL"/>
              </w:rPr>
            </w:pPr>
            <w:r>
              <w:rPr>
                <w:rFonts w:eastAsia="Times New Roman"/>
                <w:bCs/>
                <w:color w:val="000000"/>
                <w:kern w:val="24"/>
                <w:sz w:val="18"/>
                <w:szCs w:val="18"/>
                <w:lang w:eastAsia="es-CL"/>
              </w:rPr>
              <w:t>TOTAL</w:t>
            </w:r>
          </w:p>
        </w:tc>
        <w:tc>
          <w:tcPr>
            <w:tcW w:w="1469" w:type="dxa"/>
            <w:tcBorders>
              <w:top w:val="single" w:sz="8" w:space="0" w:color="FFFFFF"/>
              <w:left w:val="single" w:sz="8" w:space="0" w:color="FFFFFF"/>
              <w:bottom w:val="single" w:sz="8" w:space="0" w:color="FFFFFF"/>
              <w:right w:val="single" w:sz="8" w:space="0" w:color="FFFFFF"/>
            </w:tcBorders>
            <w:shd w:val="clear" w:color="auto" w:fill="C6D9F1"/>
            <w:tcMar>
              <w:top w:w="15" w:type="dxa"/>
              <w:left w:w="15" w:type="dxa"/>
              <w:bottom w:w="0" w:type="dxa"/>
              <w:right w:w="15"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Cs/>
                <w:color w:val="000000"/>
                <w:kern w:val="24"/>
                <w:sz w:val="18"/>
                <w:szCs w:val="18"/>
                <w:lang w:eastAsia="es-CL"/>
              </w:rPr>
              <w:t>16.616.157</w:t>
            </w:r>
          </w:p>
        </w:tc>
        <w:tc>
          <w:tcPr>
            <w:tcW w:w="1485" w:type="dxa"/>
            <w:tcBorders>
              <w:top w:val="single" w:sz="8" w:space="0" w:color="FFFFFF"/>
              <w:left w:val="single" w:sz="8" w:space="0" w:color="FFFFFF"/>
              <w:bottom w:val="single" w:sz="8" w:space="0" w:color="FFFFFF"/>
              <w:right w:val="single" w:sz="8" w:space="0" w:color="FFFFFF"/>
            </w:tcBorders>
            <w:shd w:val="clear" w:color="auto" w:fill="C6D9F1"/>
            <w:tcMar>
              <w:top w:w="15" w:type="dxa"/>
              <w:left w:w="15" w:type="dxa"/>
              <w:bottom w:w="0" w:type="dxa"/>
              <w:right w:w="15"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Cs/>
                <w:color w:val="000000"/>
                <w:kern w:val="24"/>
                <w:sz w:val="18"/>
                <w:szCs w:val="18"/>
                <w:lang w:eastAsia="es-CL"/>
              </w:rPr>
              <w:t>16.590.405</w:t>
            </w:r>
          </w:p>
        </w:tc>
        <w:tc>
          <w:tcPr>
            <w:tcW w:w="1352" w:type="dxa"/>
            <w:tcBorders>
              <w:top w:val="single" w:sz="8" w:space="0" w:color="FFFFFF"/>
              <w:left w:val="single" w:sz="8" w:space="0" w:color="FFFFFF"/>
              <w:bottom w:val="single" w:sz="8" w:space="0" w:color="FFFFFF"/>
              <w:right w:val="single" w:sz="8" w:space="0" w:color="FFFFFF"/>
            </w:tcBorders>
            <w:shd w:val="clear" w:color="auto" w:fill="C6D9F1"/>
            <w:tcMar>
              <w:top w:w="15" w:type="dxa"/>
              <w:left w:w="15" w:type="dxa"/>
              <w:bottom w:w="0" w:type="dxa"/>
              <w:right w:w="15"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Cs/>
                <w:color w:val="000000"/>
                <w:kern w:val="24"/>
                <w:sz w:val="18"/>
                <w:szCs w:val="18"/>
                <w:lang w:eastAsia="es-CL"/>
              </w:rPr>
              <w:t>( 25.752)</w:t>
            </w:r>
          </w:p>
        </w:tc>
        <w:tc>
          <w:tcPr>
            <w:tcW w:w="1118" w:type="dxa"/>
            <w:tcBorders>
              <w:top w:val="single" w:sz="8" w:space="0" w:color="FFFFFF"/>
              <w:left w:val="single" w:sz="8" w:space="0" w:color="FFFFFF"/>
              <w:bottom w:val="single" w:sz="8" w:space="0" w:color="FFFFFF"/>
              <w:right w:val="single" w:sz="8" w:space="0" w:color="FFFFFF"/>
            </w:tcBorders>
            <w:shd w:val="clear" w:color="auto" w:fill="C6D9F1"/>
            <w:tcMar>
              <w:top w:w="15" w:type="dxa"/>
              <w:left w:w="15" w:type="dxa"/>
              <w:bottom w:w="0" w:type="dxa"/>
              <w:right w:w="15"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Cs/>
                <w:color w:val="000000"/>
                <w:kern w:val="24"/>
                <w:sz w:val="18"/>
                <w:szCs w:val="18"/>
                <w:lang w:eastAsia="es-CL"/>
              </w:rPr>
              <w:t>- 0,2%</w:t>
            </w:r>
          </w:p>
        </w:tc>
      </w:tr>
      <w:tr>
        <w:trPr>
          <w:trHeight w:val="409"/>
        </w:trPr>
        <w:tc>
          <w:tcPr>
            <w:tcW w:w="395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left"/>
              <w:textAlignment w:val="center"/>
              <w:rPr>
                <w:rFonts w:eastAsia="Times New Roman"/>
                <w:b w:val="0"/>
                <w:sz w:val="18"/>
                <w:szCs w:val="18"/>
                <w:lang w:eastAsia="es-CL"/>
              </w:rPr>
            </w:pPr>
            <w:r>
              <w:rPr>
                <w:rFonts w:eastAsia="Times New Roman"/>
                <w:b w:val="0"/>
                <w:color w:val="000000"/>
                <w:kern w:val="24"/>
                <w:sz w:val="18"/>
                <w:szCs w:val="18"/>
                <w:lang w:eastAsia="es-CL"/>
              </w:rPr>
              <w:t>Gasto en Personal  (</w:t>
            </w:r>
            <w:r>
              <w:rPr>
                <w:rFonts w:eastAsia="Times New Roman"/>
                <w:bCs/>
                <w:color w:val="000000"/>
                <w:kern w:val="24"/>
                <w:sz w:val="18"/>
                <w:szCs w:val="18"/>
                <w:lang w:eastAsia="es-CL"/>
              </w:rPr>
              <w:t>Subtítulo 21</w:t>
            </w:r>
            <w:r>
              <w:rPr>
                <w:rFonts w:eastAsia="Times New Roman"/>
                <w:b w:val="0"/>
                <w:color w:val="000000"/>
                <w:kern w:val="24"/>
                <w:sz w:val="18"/>
                <w:szCs w:val="18"/>
                <w:lang w:eastAsia="es-CL"/>
              </w:rPr>
              <w:t>)</w:t>
            </w:r>
          </w:p>
        </w:tc>
        <w:tc>
          <w:tcPr>
            <w:tcW w:w="146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 w:val="0"/>
                <w:color w:val="000000"/>
                <w:kern w:val="24"/>
                <w:sz w:val="18"/>
                <w:szCs w:val="18"/>
                <w:lang w:eastAsia="es-CL"/>
              </w:rPr>
              <w:t>13.487.762</w:t>
            </w:r>
          </w:p>
        </w:tc>
        <w:tc>
          <w:tcPr>
            <w:tcW w:w="148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 w:val="0"/>
                <w:color w:val="000000"/>
                <w:kern w:val="24"/>
                <w:sz w:val="18"/>
                <w:szCs w:val="18"/>
                <w:lang w:eastAsia="es-CL"/>
              </w:rPr>
              <w:t>13.654.440</w:t>
            </w:r>
          </w:p>
        </w:tc>
        <w:tc>
          <w:tcPr>
            <w:tcW w:w="135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 w:val="0"/>
                <w:color w:val="000000"/>
                <w:kern w:val="24"/>
                <w:sz w:val="18"/>
                <w:szCs w:val="18"/>
                <w:lang w:eastAsia="es-CL"/>
              </w:rPr>
              <w:t>166.678</w:t>
            </w:r>
          </w:p>
        </w:tc>
        <w:tc>
          <w:tcPr>
            <w:tcW w:w="111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 w:val="0"/>
                <w:color w:val="000000"/>
                <w:kern w:val="24"/>
                <w:sz w:val="18"/>
                <w:szCs w:val="18"/>
                <w:lang w:eastAsia="es-CL"/>
              </w:rPr>
              <w:t>1,2%</w:t>
            </w:r>
          </w:p>
        </w:tc>
      </w:tr>
      <w:tr>
        <w:trPr>
          <w:trHeight w:val="804"/>
        </w:trPr>
        <w:tc>
          <w:tcPr>
            <w:tcW w:w="395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left"/>
              <w:textAlignment w:val="center"/>
              <w:rPr>
                <w:rFonts w:eastAsia="Times New Roman"/>
                <w:b w:val="0"/>
                <w:sz w:val="18"/>
                <w:szCs w:val="18"/>
                <w:lang w:eastAsia="es-CL"/>
              </w:rPr>
            </w:pPr>
            <w:r>
              <w:rPr>
                <w:rFonts w:eastAsia="Times New Roman"/>
                <w:b w:val="0"/>
                <w:color w:val="000000"/>
                <w:kern w:val="24"/>
                <w:sz w:val="18"/>
                <w:szCs w:val="18"/>
                <w:lang w:eastAsia="es-CL"/>
              </w:rPr>
              <w:t>Bienes y Servicios de Consumo  (</w:t>
            </w:r>
            <w:r>
              <w:rPr>
                <w:rFonts w:eastAsia="Times New Roman"/>
                <w:bCs/>
                <w:color w:val="000000"/>
                <w:kern w:val="24"/>
                <w:sz w:val="18"/>
                <w:szCs w:val="18"/>
                <w:lang w:eastAsia="es-CL"/>
              </w:rPr>
              <w:t>Subtítulo 22</w:t>
            </w:r>
            <w:r>
              <w:rPr>
                <w:rFonts w:eastAsia="Times New Roman"/>
                <w:b w:val="0"/>
                <w:color w:val="000000"/>
                <w:kern w:val="24"/>
                <w:sz w:val="18"/>
                <w:szCs w:val="18"/>
                <w:lang w:eastAsia="es-CL"/>
              </w:rPr>
              <w:t>)</w:t>
            </w:r>
          </w:p>
        </w:tc>
        <w:tc>
          <w:tcPr>
            <w:tcW w:w="146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 w:val="0"/>
                <w:color w:val="000000"/>
                <w:kern w:val="24"/>
                <w:sz w:val="18"/>
                <w:szCs w:val="18"/>
                <w:lang w:eastAsia="es-CL"/>
              </w:rPr>
              <w:t>2.616.578</w:t>
            </w:r>
          </w:p>
        </w:tc>
        <w:tc>
          <w:tcPr>
            <w:tcW w:w="148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 w:val="0"/>
                <w:color w:val="000000"/>
                <w:kern w:val="24"/>
                <w:sz w:val="18"/>
                <w:szCs w:val="18"/>
                <w:lang w:eastAsia="es-CL"/>
              </w:rPr>
              <w:t>2.584.431</w:t>
            </w:r>
          </w:p>
        </w:tc>
        <w:tc>
          <w:tcPr>
            <w:tcW w:w="135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 w:val="0"/>
                <w:color w:val="000000"/>
                <w:kern w:val="24"/>
                <w:sz w:val="18"/>
                <w:szCs w:val="18"/>
                <w:lang w:eastAsia="es-CL"/>
              </w:rPr>
              <w:t>( 32.147)</w:t>
            </w:r>
          </w:p>
        </w:tc>
        <w:tc>
          <w:tcPr>
            <w:tcW w:w="111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 w:val="0"/>
                <w:color w:val="000000"/>
                <w:kern w:val="24"/>
                <w:sz w:val="18"/>
                <w:szCs w:val="18"/>
                <w:lang w:eastAsia="es-CL"/>
              </w:rPr>
              <w:t>- 1,2%</w:t>
            </w:r>
          </w:p>
        </w:tc>
      </w:tr>
      <w:tr>
        <w:trPr>
          <w:trHeight w:val="737"/>
        </w:trPr>
        <w:tc>
          <w:tcPr>
            <w:tcW w:w="395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left"/>
              <w:textAlignment w:val="center"/>
              <w:rPr>
                <w:rFonts w:eastAsia="Times New Roman"/>
                <w:b w:val="0"/>
                <w:sz w:val="18"/>
                <w:szCs w:val="18"/>
                <w:lang w:eastAsia="es-CL"/>
              </w:rPr>
            </w:pPr>
            <w:r>
              <w:rPr>
                <w:rFonts w:eastAsia="Times New Roman"/>
                <w:b w:val="0"/>
                <w:color w:val="000000"/>
                <w:kern w:val="24"/>
                <w:sz w:val="18"/>
                <w:szCs w:val="18"/>
                <w:lang w:eastAsia="es-CL"/>
              </w:rPr>
              <w:t>Transferencias Corrientes  (</w:t>
            </w:r>
            <w:r>
              <w:rPr>
                <w:rFonts w:eastAsia="Times New Roman"/>
                <w:bCs/>
                <w:color w:val="000000"/>
                <w:kern w:val="24"/>
                <w:sz w:val="18"/>
                <w:szCs w:val="18"/>
                <w:lang w:eastAsia="es-CL"/>
              </w:rPr>
              <w:t>Subtítulo 24</w:t>
            </w:r>
            <w:r>
              <w:rPr>
                <w:rFonts w:eastAsia="Times New Roman"/>
                <w:b w:val="0"/>
                <w:color w:val="000000"/>
                <w:kern w:val="24"/>
                <w:sz w:val="18"/>
                <w:szCs w:val="18"/>
                <w:lang w:eastAsia="es-CL"/>
              </w:rPr>
              <w:t>)</w:t>
            </w:r>
          </w:p>
        </w:tc>
        <w:tc>
          <w:tcPr>
            <w:tcW w:w="146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 w:val="0"/>
                <w:color w:val="000000"/>
                <w:kern w:val="24"/>
                <w:sz w:val="18"/>
                <w:szCs w:val="18"/>
                <w:lang w:eastAsia="es-CL"/>
              </w:rPr>
              <w:t>29.888</w:t>
            </w:r>
          </w:p>
        </w:tc>
        <w:tc>
          <w:tcPr>
            <w:tcW w:w="148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 w:val="0"/>
                <w:color w:val="000000"/>
                <w:kern w:val="24"/>
                <w:sz w:val="18"/>
                <w:szCs w:val="18"/>
                <w:lang w:eastAsia="es-CL"/>
              </w:rPr>
              <w:t>34.454</w:t>
            </w:r>
          </w:p>
        </w:tc>
        <w:tc>
          <w:tcPr>
            <w:tcW w:w="135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 w:val="0"/>
                <w:color w:val="000000"/>
                <w:kern w:val="24"/>
                <w:sz w:val="18"/>
                <w:szCs w:val="18"/>
                <w:lang w:eastAsia="es-CL"/>
              </w:rPr>
              <w:t>4.566</w:t>
            </w:r>
          </w:p>
        </w:tc>
        <w:tc>
          <w:tcPr>
            <w:tcW w:w="111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 w:val="0"/>
                <w:color w:val="000000"/>
                <w:kern w:val="24"/>
                <w:sz w:val="18"/>
                <w:szCs w:val="18"/>
                <w:lang w:eastAsia="es-CL"/>
              </w:rPr>
              <w:t>15,3%</w:t>
            </w:r>
          </w:p>
        </w:tc>
      </w:tr>
      <w:tr>
        <w:trPr>
          <w:trHeight w:val="804"/>
        </w:trPr>
        <w:tc>
          <w:tcPr>
            <w:tcW w:w="395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left"/>
              <w:textAlignment w:val="center"/>
              <w:rPr>
                <w:rFonts w:eastAsia="Times New Roman"/>
                <w:b w:val="0"/>
                <w:sz w:val="18"/>
                <w:szCs w:val="18"/>
                <w:lang w:eastAsia="es-CL"/>
              </w:rPr>
            </w:pPr>
            <w:r>
              <w:rPr>
                <w:rFonts w:eastAsia="Times New Roman"/>
                <w:b w:val="0"/>
                <w:color w:val="000000"/>
                <w:kern w:val="24"/>
                <w:sz w:val="18"/>
                <w:szCs w:val="18"/>
                <w:lang w:eastAsia="es-CL"/>
              </w:rPr>
              <w:t>Adquisición de Activos no financieros  (</w:t>
            </w:r>
            <w:r>
              <w:rPr>
                <w:rFonts w:eastAsia="Times New Roman"/>
                <w:bCs/>
                <w:color w:val="000000"/>
                <w:kern w:val="24"/>
                <w:sz w:val="18"/>
                <w:szCs w:val="18"/>
                <w:lang w:eastAsia="es-CL"/>
              </w:rPr>
              <w:t>Subtítulo 29</w:t>
            </w:r>
            <w:r>
              <w:rPr>
                <w:rFonts w:eastAsia="Times New Roman"/>
                <w:b w:val="0"/>
                <w:color w:val="000000"/>
                <w:kern w:val="24"/>
                <w:sz w:val="18"/>
                <w:szCs w:val="18"/>
                <w:lang w:eastAsia="es-CL"/>
              </w:rPr>
              <w:t>)</w:t>
            </w:r>
          </w:p>
        </w:tc>
        <w:tc>
          <w:tcPr>
            <w:tcW w:w="146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 w:val="0"/>
                <w:color w:val="000000"/>
                <w:kern w:val="24"/>
                <w:sz w:val="18"/>
                <w:szCs w:val="18"/>
                <w:lang w:eastAsia="es-CL"/>
              </w:rPr>
              <w:t>313.365</w:t>
            </w:r>
          </w:p>
        </w:tc>
        <w:tc>
          <w:tcPr>
            <w:tcW w:w="148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 w:val="0"/>
                <w:color w:val="000000"/>
                <w:kern w:val="24"/>
                <w:sz w:val="18"/>
                <w:szCs w:val="18"/>
                <w:lang w:eastAsia="es-CL"/>
              </w:rPr>
              <w:t>148.526</w:t>
            </w:r>
          </w:p>
        </w:tc>
        <w:tc>
          <w:tcPr>
            <w:tcW w:w="135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 w:val="0"/>
                <w:color w:val="000000"/>
                <w:kern w:val="24"/>
                <w:sz w:val="18"/>
                <w:szCs w:val="18"/>
                <w:lang w:eastAsia="es-CL"/>
              </w:rPr>
              <w:t>(164.839)</w:t>
            </w:r>
          </w:p>
        </w:tc>
        <w:tc>
          <w:tcPr>
            <w:tcW w:w="111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 w:val="0"/>
                <w:color w:val="000000"/>
                <w:kern w:val="24"/>
                <w:sz w:val="18"/>
                <w:szCs w:val="18"/>
                <w:lang w:eastAsia="es-CL"/>
              </w:rPr>
              <w:t>-52,6%</w:t>
            </w:r>
          </w:p>
        </w:tc>
      </w:tr>
      <w:tr>
        <w:trPr>
          <w:trHeight w:val="409"/>
        </w:trPr>
        <w:tc>
          <w:tcPr>
            <w:tcW w:w="395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left"/>
              <w:textAlignment w:val="center"/>
              <w:rPr>
                <w:rFonts w:eastAsia="Times New Roman"/>
                <w:b w:val="0"/>
                <w:sz w:val="18"/>
                <w:szCs w:val="18"/>
                <w:lang w:eastAsia="es-CL"/>
              </w:rPr>
            </w:pPr>
            <w:r>
              <w:rPr>
                <w:rFonts w:eastAsia="Times New Roman"/>
                <w:b w:val="0"/>
                <w:color w:val="000000"/>
                <w:kern w:val="24"/>
                <w:sz w:val="18"/>
                <w:szCs w:val="18"/>
                <w:lang w:eastAsia="es-CL"/>
              </w:rPr>
              <w:t>Servicio de la Deuda  (</w:t>
            </w:r>
            <w:r>
              <w:rPr>
                <w:rFonts w:eastAsia="Times New Roman"/>
                <w:bCs/>
                <w:color w:val="000000"/>
                <w:kern w:val="24"/>
                <w:sz w:val="18"/>
                <w:szCs w:val="18"/>
                <w:lang w:eastAsia="es-CL"/>
              </w:rPr>
              <w:t>Subtítulo 34</w:t>
            </w:r>
            <w:r>
              <w:rPr>
                <w:rFonts w:eastAsia="Times New Roman"/>
                <w:b w:val="0"/>
                <w:color w:val="000000"/>
                <w:kern w:val="24"/>
                <w:sz w:val="18"/>
                <w:szCs w:val="18"/>
                <w:lang w:eastAsia="es-CL"/>
              </w:rPr>
              <w:t>)</w:t>
            </w:r>
          </w:p>
        </w:tc>
        <w:tc>
          <w:tcPr>
            <w:tcW w:w="146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 w:val="0"/>
                <w:color w:val="000000"/>
                <w:kern w:val="24"/>
                <w:sz w:val="18"/>
                <w:szCs w:val="18"/>
                <w:lang w:eastAsia="es-CL"/>
              </w:rPr>
              <w:t>168.564</w:t>
            </w:r>
          </w:p>
        </w:tc>
        <w:tc>
          <w:tcPr>
            <w:tcW w:w="148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 w:val="0"/>
                <w:color w:val="000000"/>
                <w:kern w:val="24"/>
                <w:sz w:val="18"/>
                <w:szCs w:val="18"/>
                <w:lang w:eastAsia="es-CL"/>
              </w:rPr>
              <w:t>168.554</w:t>
            </w:r>
          </w:p>
        </w:tc>
        <w:tc>
          <w:tcPr>
            <w:tcW w:w="135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 w:val="0"/>
                <w:color w:val="000000"/>
                <w:kern w:val="24"/>
                <w:sz w:val="18"/>
                <w:szCs w:val="18"/>
                <w:lang w:eastAsia="es-CL"/>
              </w:rPr>
              <w:t>( 10)</w:t>
            </w:r>
          </w:p>
        </w:tc>
        <w:tc>
          <w:tcPr>
            <w:tcW w:w="111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 w:val="0"/>
                <w:color w:val="000000"/>
                <w:kern w:val="24"/>
                <w:sz w:val="18"/>
                <w:szCs w:val="18"/>
                <w:lang w:eastAsia="es-CL"/>
              </w:rPr>
              <w:t>0,0%</w:t>
            </w:r>
          </w:p>
        </w:tc>
      </w:tr>
      <w:tr>
        <w:trPr>
          <w:trHeight w:val="409"/>
        </w:trPr>
        <w:tc>
          <w:tcPr>
            <w:tcW w:w="3956" w:type="dxa"/>
            <w:tcBorders>
              <w:top w:val="single" w:sz="8" w:space="0" w:color="FFFFFF"/>
              <w:left w:val="single" w:sz="8" w:space="0" w:color="FFFFFF"/>
              <w:bottom w:val="single" w:sz="8" w:space="0" w:color="FFFFFF"/>
              <w:right w:val="single" w:sz="8" w:space="0" w:color="FFFFFF"/>
            </w:tcBorders>
            <w:shd w:val="clear" w:color="auto" w:fill="B9CDE5"/>
            <w:tcMar>
              <w:top w:w="15" w:type="dxa"/>
              <w:left w:w="15" w:type="dxa"/>
              <w:bottom w:w="0" w:type="dxa"/>
              <w:right w:w="15" w:type="dxa"/>
            </w:tcMar>
            <w:vAlign w:val="center"/>
            <w:hideMark/>
          </w:tcPr>
          <w:p>
            <w:pPr>
              <w:tabs>
                <w:tab w:val="clear" w:pos="2835"/>
              </w:tabs>
              <w:jc w:val="left"/>
              <w:textAlignment w:val="center"/>
              <w:rPr>
                <w:rFonts w:eastAsia="Times New Roman"/>
                <w:b w:val="0"/>
                <w:sz w:val="18"/>
                <w:szCs w:val="18"/>
                <w:lang w:eastAsia="es-CL"/>
              </w:rPr>
            </w:pPr>
            <w:r>
              <w:rPr>
                <w:rFonts w:eastAsia="Times New Roman"/>
                <w:bCs/>
                <w:color w:val="000000"/>
                <w:kern w:val="24"/>
                <w:sz w:val="18"/>
                <w:szCs w:val="18"/>
                <w:lang w:eastAsia="es-CL"/>
              </w:rPr>
              <w:t xml:space="preserve">Gasto neto </w:t>
            </w:r>
            <w:r>
              <w:rPr>
                <w:rFonts w:eastAsia="Times New Roman"/>
                <w:b w:val="0"/>
                <w:color w:val="000000"/>
                <w:kern w:val="24"/>
                <w:sz w:val="18"/>
                <w:szCs w:val="18"/>
                <w:lang w:eastAsia="es-CL"/>
              </w:rPr>
              <w:t>(*)</w:t>
            </w:r>
          </w:p>
        </w:tc>
        <w:tc>
          <w:tcPr>
            <w:tcW w:w="1469" w:type="dxa"/>
            <w:tcBorders>
              <w:top w:val="single" w:sz="8" w:space="0" w:color="FFFFFF"/>
              <w:left w:val="single" w:sz="8" w:space="0" w:color="FFFFFF"/>
              <w:bottom w:val="single" w:sz="8" w:space="0" w:color="FFFFFF"/>
              <w:right w:val="single" w:sz="8" w:space="0" w:color="FFFFFF"/>
            </w:tcBorders>
            <w:shd w:val="clear" w:color="auto" w:fill="B9CDE5"/>
            <w:tcMar>
              <w:top w:w="15" w:type="dxa"/>
              <w:left w:w="15" w:type="dxa"/>
              <w:bottom w:w="0" w:type="dxa"/>
              <w:right w:w="15"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Cs/>
                <w:color w:val="000000"/>
                <w:kern w:val="24"/>
                <w:sz w:val="18"/>
                <w:szCs w:val="18"/>
                <w:lang w:eastAsia="es-CL"/>
              </w:rPr>
              <w:t>16.519.002</w:t>
            </w:r>
          </w:p>
        </w:tc>
        <w:tc>
          <w:tcPr>
            <w:tcW w:w="1485" w:type="dxa"/>
            <w:tcBorders>
              <w:top w:val="single" w:sz="8" w:space="0" w:color="FFFFFF"/>
              <w:left w:val="single" w:sz="8" w:space="0" w:color="FFFFFF"/>
              <w:bottom w:val="single" w:sz="8" w:space="0" w:color="FFFFFF"/>
              <w:right w:val="single" w:sz="8" w:space="0" w:color="FFFFFF"/>
            </w:tcBorders>
            <w:shd w:val="clear" w:color="auto" w:fill="B9CDE5"/>
            <w:tcMar>
              <w:top w:w="15" w:type="dxa"/>
              <w:left w:w="15" w:type="dxa"/>
              <w:bottom w:w="0" w:type="dxa"/>
              <w:right w:w="15"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Cs/>
                <w:color w:val="000000"/>
                <w:kern w:val="24"/>
                <w:sz w:val="18"/>
                <w:szCs w:val="18"/>
                <w:lang w:eastAsia="es-CL"/>
              </w:rPr>
              <w:t>16.493.260</w:t>
            </w:r>
          </w:p>
        </w:tc>
        <w:tc>
          <w:tcPr>
            <w:tcW w:w="1352" w:type="dxa"/>
            <w:tcBorders>
              <w:top w:val="single" w:sz="8" w:space="0" w:color="FFFFFF"/>
              <w:left w:val="single" w:sz="8" w:space="0" w:color="FFFFFF"/>
              <w:bottom w:val="single" w:sz="8" w:space="0" w:color="FFFFFF"/>
              <w:right w:val="single" w:sz="8" w:space="0" w:color="FFFFFF"/>
            </w:tcBorders>
            <w:shd w:val="clear" w:color="auto" w:fill="B9CDE5"/>
            <w:tcMar>
              <w:top w:w="15" w:type="dxa"/>
              <w:left w:w="15" w:type="dxa"/>
              <w:bottom w:w="0" w:type="dxa"/>
              <w:right w:w="15"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Cs/>
                <w:color w:val="000000"/>
                <w:kern w:val="24"/>
                <w:sz w:val="18"/>
                <w:szCs w:val="18"/>
                <w:lang w:eastAsia="es-CL"/>
              </w:rPr>
              <w:t>( 25.742)</w:t>
            </w:r>
          </w:p>
        </w:tc>
        <w:tc>
          <w:tcPr>
            <w:tcW w:w="1118" w:type="dxa"/>
            <w:tcBorders>
              <w:top w:val="single" w:sz="8" w:space="0" w:color="FFFFFF"/>
              <w:left w:val="single" w:sz="8" w:space="0" w:color="FFFFFF"/>
              <w:bottom w:val="single" w:sz="8" w:space="0" w:color="FFFFFF"/>
              <w:right w:val="single" w:sz="8" w:space="0" w:color="FFFFFF"/>
            </w:tcBorders>
            <w:shd w:val="clear" w:color="auto" w:fill="B9CDE5"/>
            <w:tcMar>
              <w:top w:w="15" w:type="dxa"/>
              <w:left w:w="15" w:type="dxa"/>
              <w:bottom w:w="0" w:type="dxa"/>
              <w:right w:w="15"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Cs/>
                <w:color w:val="000000"/>
                <w:kern w:val="24"/>
                <w:sz w:val="18"/>
                <w:szCs w:val="18"/>
                <w:lang w:eastAsia="es-CL"/>
              </w:rPr>
              <w:t>- 0,2%</w:t>
            </w:r>
          </w:p>
        </w:tc>
      </w:tr>
    </w:tbl>
    <w:p>
      <w:r>
        <w:t>(*) Gasto de Estado de Operaciones = GASTOS-(Subt.25+30+32+34+35) + Ítem25.01+Intereses y Otros Gastos Financieros de Deuda</w:t>
      </w:r>
    </w:p>
    <w:p>
      <w:pPr>
        <w:rPr>
          <w:b w:val="0"/>
        </w:rPr>
      </w:pPr>
    </w:p>
    <w:p>
      <w:pPr>
        <w:rPr>
          <w:b w:val="0"/>
        </w:rPr>
      </w:pPr>
    </w:p>
    <w:p>
      <w:pPr>
        <w:rPr>
          <w:b w:val="0"/>
        </w:rPr>
      </w:pPr>
      <w:r>
        <w:rPr>
          <w:b w:val="0"/>
        </w:rPr>
        <w:tab/>
        <w:t>Respecto de esta lámina señaló que se puede apreciar con mayor detalle que este -0,2% en moneda de 2017 implica una disminución de M$16.616.157 a  M$16.590.405 por las razones que ya explicó.</w:t>
      </w:r>
    </w:p>
    <w:p>
      <w:pPr>
        <w:rPr>
          <w:b w:val="0"/>
        </w:rPr>
      </w:pPr>
    </w:p>
    <w:p>
      <w:pPr>
        <w:rPr>
          <w:b w:val="0"/>
        </w:rPr>
      </w:pPr>
      <w:r>
        <w:rPr>
          <w:b w:val="0"/>
        </w:rPr>
        <w:tab/>
        <w:t>Los M$166.678 son para financiar las regularizaciones de las 4 personas que se incorporan.</w:t>
      </w:r>
    </w:p>
    <w:p>
      <w:pPr>
        <w:rPr>
          <w:b w:val="0"/>
        </w:rPr>
      </w:pPr>
    </w:p>
    <w:p>
      <w:pPr>
        <w:rPr>
          <w:b w:val="0"/>
        </w:rPr>
      </w:pPr>
      <w:r>
        <w:rPr>
          <w:b w:val="0"/>
        </w:rPr>
        <w:tab/>
        <w:t xml:space="preserve">En seguida, el </w:t>
      </w:r>
      <w:r>
        <w:t>señor Superintendente</w:t>
      </w:r>
      <w:r>
        <w:rPr>
          <w:b w:val="0"/>
        </w:rPr>
        <w:t xml:space="preserve"> explicó el incremento presupuestario, mediante el análisis de los siguientes Subtítulos:</w:t>
      </w:r>
    </w:p>
    <w:p/>
    <w:p/>
    <w:p>
      <w:r>
        <w:t>Subtitulo 21: Gastos en Personal</w:t>
      </w:r>
    </w:p>
    <w:p>
      <w:pPr>
        <w:rPr>
          <w:b w:val="0"/>
        </w:rPr>
      </w:pPr>
    </w:p>
    <w:p>
      <w:pPr>
        <w:rPr>
          <w:b w:val="0"/>
        </w:rPr>
      </w:pPr>
      <w:r>
        <w:rPr>
          <w:b w:val="0"/>
        </w:rPr>
        <w:tab/>
        <w:t>Con estos recursos se financia adicionalmente la contratación de un (1) directivo y tres (3) profesionales para la implementación de la Ley N° 20.880 que regula los mecanismos sobre probidad en la función pública y  prevención de los conflictos de intereses, en M$ 166.678.</w:t>
      </w:r>
    </w:p>
    <w:p>
      <w:pPr>
        <w:rPr>
          <w:b w:val="0"/>
        </w:rPr>
      </w:pPr>
    </w:p>
    <w:p>
      <w:r>
        <w:t>Subtitulo 22: Bienes y Servicios de Consumo</w:t>
      </w:r>
    </w:p>
    <w:p>
      <w:pPr>
        <w:rPr>
          <w:b w:val="0"/>
        </w:rPr>
      </w:pPr>
    </w:p>
    <w:p>
      <w:pPr>
        <w:rPr>
          <w:b w:val="0"/>
        </w:rPr>
      </w:pPr>
      <w:r>
        <w:rPr>
          <w:b w:val="0"/>
        </w:rPr>
        <w:t>- Conferencia Anual de ASSAL y Seminario ASSAL-OIOS (*)</w:t>
      </w:r>
    </w:p>
    <w:p>
      <w:pPr>
        <w:rPr>
          <w:b w:val="0"/>
        </w:rPr>
      </w:pPr>
    </w:p>
    <w:p>
      <w:pPr>
        <w:rPr>
          <w:b w:val="0"/>
        </w:rPr>
      </w:pPr>
      <w:r>
        <w:rPr>
          <w:b w:val="0"/>
        </w:rPr>
        <w:tab/>
        <w:t>Explicó que ambos eventos contarán con la participación de los más importantes reguladores y miembros de la industria y con la intervención de organismos internacionales líderes en materia de regulación y elaboración de estándares para los mercados de seguros, como la OCDE, el Banco Mundial, EIOPA, IAIS, NAIC, FIDES, entre otros. Costo M$ 45.000.</w:t>
      </w:r>
    </w:p>
    <w:p>
      <w:pPr>
        <w:rPr>
          <w:b w:val="0"/>
        </w:rPr>
      </w:pPr>
    </w:p>
    <w:p>
      <w:pPr>
        <w:rPr>
          <w:b w:val="0"/>
        </w:rPr>
      </w:pPr>
      <w:r>
        <w:rPr>
          <w:b w:val="0"/>
        </w:rPr>
        <w:t>(*) ASSAL = Asociación de Supervisores de Seguros de América Latina</w:t>
      </w:r>
    </w:p>
    <w:p>
      <w:pPr>
        <w:rPr>
          <w:b w:val="0"/>
        </w:rPr>
      </w:pPr>
      <w:r>
        <w:rPr>
          <w:b w:val="0"/>
        </w:rPr>
        <w:t xml:space="preserve">      AIOS  = Asociación Internacional de Organismos de Supervisores de Fondos de  Pensiones.</w:t>
      </w:r>
    </w:p>
    <w:p>
      <w:pPr>
        <w:rPr>
          <w:b w:val="0"/>
        </w:rPr>
      </w:pPr>
    </w:p>
    <w:p>
      <w:pPr>
        <w:rPr>
          <w:b w:val="0"/>
        </w:rPr>
      </w:pPr>
      <w:r>
        <w:rPr>
          <w:b w:val="0"/>
        </w:rPr>
        <w:tab/>
        <w:t xml:space="preserve">En seguida, el </w:t>
      </w:r>
      <w:r>
        <w:t>señor Superintendente</w:t>
      </w:r>
      <w:r>
        <w:rPr>
          <w:b w:val="0"/>
        </w:rPr>
        <w:t>, explicó los gastos a realizarse por una sola vez.</w:t>
      </w:r>
    </w:p>
    <w:p>
      <w:pPr>
        <w:rPr>
          <w:b w:val="0"/>
        </w:rPr>
      </w:pPr>
      <w:r>
        <w:rPr>
          <w:b w:val="0"/>
        </w:rPr>
        <w:t xml:space="preserve"> </w:t>
      </w:r>
    </w:p>
    <w:p>
      <w:r>
        <w:t>Gastos por una vez:</w:t>
      </w:r>
    </w:p>
    <w:p>
      <w:pPr>
        <w:rPr>
          <w:b w:val="0"/>
        </w:rPr>
      </w:pPr>
    </w:p>
    <w:p>
      <w:r>
        <w:t>Subtitulo 29: Adquisición de Activos No Financieros</w:t>
      </w:r>
    </w:p>
    <w:p>
      <w:pPr>
        <w:rPr>
          <w:b w:val="0"/>
        </w:rPr>
      </w:pPr>
    </w:p>
    <w:p>
      <w:r>
        <w:t>- Mobiliario y Otros:</w:t>
      </w:r>
    </w:p>
    <w:p>
      <w:pPr>
        <w:rPr>
          <w:b w:val="0"/>
        </w:rPr>
      </w:pPr>
    </w:p>
    <w:p>
      <w:pPr>
        <w:rPr>
          <w:b w:val="0"/>
        </w:rPr>
      </w:pPr>
      <w:r>
        <w:rPr>
          <w:b w:val="0"/>
        </w:rPr>
        <w:t>Mobiliario para la dotación adicional de cuatro (4) funcionarios. M$ 14.420.</w:t>
      </w:r>
    </w:p>
    <w:p>
      <w:pPr>
        <w:rPr>
          <w:b w:val="0"/>
        </w:rPr>
      </w:pPr>
    </w:p>
    <w:p>
      <w:r>
        <w:t>Máquinas y Equipos:</w:t>
      </w:r>
    </w:p>
    <w:p>
      <w:pPr>
        <w:rPr>
          <w:b w:val="0"/>
        </w:rPr>
      </w:pPr>
    </w:p>
    <w:p>
      <w:pPr>
        <w:rPr>
          <w:b w:val="0"/>
        </w:rPr>
      </w:pPr>
      <w:r>
        <w:rPr>
          <w:b w:val="0"/>
        </w:rPr>
        <w:t>- Equipo de generación de energía eléctrica de respaldo, para asegurar la continuidad operativa del Servicio en caso de corte de energía. M$ 41.200.</w:t>
      </w:r>
    </w:p>
    <w:p>
      <w:pPr>
        <w:rPr>
          <w:b w:val="0"/>
        </w:rPr>
      </w:pPr>
    </w:p>
    <w:p>
      <w:r>
        <w:t>- Equipos Informáticos:</w:t>
      </w:r>
    </w:p>
    <w:p>
      <w:pPr>
        <w:rPr>
          <w:b w:val="0"/>
        </w:rPr>
      </w:pPr>
    </w:p>
    <w:p>
      <w:pPr>
        <w:rPr>
          <w:b w:val="0"/>
        </w:rPr>
      </w:pPr>
      <w:r>
        <w:rPr>
          <w:b w:val="0"/>
        </w:rPr>
        <w:t xml:space="preserve">Adquisición de equipamiento computacional para la nueva </w:t>
      </w:r>
      <w:r>
        <w:rPr>
          <w:b w:val="0"/>
        </w:rPr>
        <w:tab/>
        <w:t>dotación (4) y ampliación de memoria RAM de host's ESX desde 128 GB a 256 GB por cada host. M$ 20.806.</w:t>
      </w:r>
    </w:p>
    <w:p>
      <w:pPr>
        <w:rPr>
          <w:b w:val="0"/>
        </w:rPr>
      </w:pPr>
    </w:p>
    <w:p>
      <w:r>
        <w:t>- Programas Informáticos M$ 72.100.</w:t>
      </w:r>
    </w:p>
    <w:p>
      <w:pPr>
        <w:rPr>
          <w:b w:val="0"/>
        </w:rPr>
      </w:pPr>
    </w:p>
    <w:p>
      <w:pPr>
        <w:rPr>
          <w:b w:val="0"/>
        </w:rPr>
      </w:pPr>
      <w:r>
        <w:rPr>
          <w:b w:val="0"/>
          <w:u w:val="single"/>
        </w:rPr>
        <w:t>Adquisición de licencias de software</w:t>
      </w:r>
      <w:r>
        <w:rPr>
          <w:b w:val="0"/>
        </w:rPr>
        <w:t>:</w:t>
      </w:r>
    </w:p>
    <w:p>
      <w:pPr>
        <w:rPr>
          <w:b w:val="0"/>
        </w:rPr>
      </w:pPr>
    </w:p>
    <w:p>
      <w:pPr>
        <w:rPr>
          <w:b w:val="0"/>
        </w:rPr>
      </w:pPr>
      <w:r>
        <w:rPr>
          <w:b w:val="0"/>
        </w:rPr>
        <w:t>Compra de licencias ACRONIS, Enterptise Architect, WINRAR, Adobe con OCR, y softwares para borrado seguros de discos.</w:t>
      </w:r>
    </w:p>
    <w:p>
      <w:pPr>
        <w:rPr>
          <w:b w:val="0"/>
        </w:rPr>
      </w:pPr>
    </w:p>
    <w:p>
      <w:pPr>
        <w:rPr>
          <w:b w:val="0"/>
        </w:rPr>
      </w:pPr>
      <w:r>
        <w:rPr>
          <w:b w:val="0"/>
          <w:u w:val="single"/>
        </w:rPr>
        <w:t>Desarrollo de software</w:t>
      </w:r>
      <w:r>
        <w:rPr>
          <w:b w:val="0"/>
        </w:rPr>
        <w:t>:</w:t>
      </w:r>
    </w:p>
    <w:p>
      <w:pPr>
        <w:rPr>
          <w:b w:val="0"/>
        </w:rPr>
      </w:pPr>
    </w:p>
    <w:p>
      <w:pPr>
        <w:rPr>
          <w:b w:val="0"/>
        </w:rPr>
      </w:pPr>
      <w:r>
        <w:rPr>
          <w:b w:val="0"/>
        </w:rPr>
        <w:t>Adquisición de horas hombre para desarrollo de: Sistema de Valorización de Cartera de Inversiones y TSA; despliegue de las revelaciones a los EEFF en planillas Excel; gestión información del Sistema de Recursos Humanos; y gestión de activos y contratos de servicios y mantenimiento de la infraestructura de la SVS.</w:t>
      </w:r>
    </w:p>
    <w:p>
      <w:pPr>
        <w:rPr>
          <w:b w:val="0"/>
        </w:rPr>
      </w:pPr>
    </w:p>
    <w:p>
      <w:pPr>
        <w:rPr>
          <w:b w:val="0"/>
        </w:rPr>
      </w:pPr>
      <w:r>
        <w:rPr>
          <w:b w:val="0"/>
        </w:rPr>
        <w:tab/>
        <w:t xml:space="preserve">A continuación el </w:t>
      </w:r>
      <w:r>
        <w:t>señor Superintendente</w:t>
      </w:r>
      <w:r>
        <w:rPr>
          <w:b w:val="0"/>
        </w:rPr>
        <w:t xml:space="preserve"> informó que la reducción en el neto del Subtítulo 22, Bienes y Servicios de Consumo,  de 32 millones obedece a una disminución general del 4% de este ítem más el aumento de esta actividad por el Seminario Internacional que están organizando con la Superintendencia de Pensiones.</w:t>
      </w:r>
    </w:p>
    <w:p>
      <w:pPr>
        <w:rPr>
          <w:b w:val="0"/>
        </w:rPr>
      </w:pPr>
    </w:p>
    <w:p>
      <w:pPr>
        <w:rPr>
          <w:b w:val="0"/>
        </w:rPr>
      </w:pPr>
      <w:r>
        <w:rPr>
          <w:b w:val="0"/>
        </w:rPr>
        <w:tab/>
        <w:t>Destacó que en el ámbito de la Supervisión de Seguros tienen la Secretaría Técnica de lo que se denomina ASSAL que es la organización de reguladores de seguros de la Región Latinoamericana y aparte de tener la Secretaría Técnica y dar todo el soporte al resto de los supervisores de la Región tienen también la Presidencia de ese organismo que constituye un reconocimiento al sistema y al país y en el caso de pensiones también tienen la Secretaría Técnica de los Reguladores de Pensiones a nivel internacional.</w:t>
      </w:r>
    </w:p>
    <w:p>
      <w:pPr>
        <w:rPr>
          <w:b w:val="0"/>
        </w:rPr>
      </w:pPr>
    </w:p>
    <w:p>
      <w:pPr>
        <w:rPr>
          <w:b w:val="0"/>
        </w:rPr>
      </w:pPr>
      <w:r>
        <w:rPr>
          <w:b w:val="0"/>
        </w:rPr>
        <w:tab/>
        <w:t>Lo que están haciendo es llevar adelante actividades de capacitación, de encuentro y discusión sobre los mejores estándares en materia de regulación y supervisión, lo que van a materializar a través de un Seminario en abril del próximo año el que van a financiar conjuntamente y mayoritariamente con aportes de estos organismos internacionales.</w:t>
      </w:r>
    </w:p>
    <w:p>
      <w:pPr>
        <w:rPr>
          <w:b w:val="0"/>
        </w:rPr>
      </w:pPr>
    </w:p>
    <w:p>
      <w:pPr>
        <w:rPr>
          <w:b w:val="0"/>
        </w:rPr>
      </w:pPr>
      <w:r>
        <w:rPr>
          <w:b w:val="0"/>
        </w:rPr>
        <w:tab/>
        <w:t xml:space="preserve">En seguida, el </w:t>
      </w:r>
      <w:r>
        <w:t>señor Superintendente</w:t>
      </w:r>
      <w:r>
        <w:rPr>
          <w:b w:val="0"/>
        </w:rPr>
        <w:t xml:space="preserve"> explicó que en el Subtítulo 29, Adquisición de Activos No Financieros, se encuentra el ítem 04, Mobiliario y Otros, cuyos recursos tienen por finalidad financiar el mobiliario de estas cuatro personas que se van a incorporar a propósito de esta nueva actividad que les mandata la ley 20.880.</w:t>
      </w:r>
    </w:p>
    <w:p>
      <w:pPr>
        <w:rPr>
          <w:b w:val="0"/>
        </w:rPr>
      </w:pPr>
    </w:p>
    <w:p>
      <w:pPr>
        <w:rPr>
          <w:b w:val="0"/>
        </w:rPr>
      </w:pPr>
      <w:r>
        <w:rPr>
          <w:b w:val="0"/>
        </w:rPr>
        <w:tab/>
        <w:t>Por otra parte, agregó que están tratando de subsanar un tema que dice relación con aspectos operacionales que se encuentra en el ítem 05 del Subtítulo 29, de máquinas y equipos. Se trata de la compra de un equipo de generación de energía eléctrica de respaldo dentro de un contexto mayor que desarrollaron este año, de continuidad operacional, para efecto de estar cubierto sobre este tipo de riesgo y, también, para tener más espacio en sus servidores. Además, informó respecto de la adquisición de algunas licencias de software y el desarrollo de software asociados a actividades de fiscalización.</w:t>
      </w:r>
    </w:p>
    <w:p>
      <w:pPr>
        <w:rPr>
          <w:b w:val="0"/>
        </w:rPr>
      </w:pPr>
    </w:p>
    <w:p>
      <w:pPr>
        <w:rPr>
          <w:b w:val="0"/>
        </w:rPr>
      </w:pPr>
      <w:r>
        <w:rPr>
          <w:b w:val="0"/>
        </w:rPr>
        <w:tab/>
        <w:t>Respecto de la adquisición de software, señaló que implican una mayor disponibilidad de información hacia el público. Destacó el gran número de actividades que entregan información financiera periódica. Están tratando de que esta información sea accesible a las personas que consultan y también para los equipos de fiscalización de manera de hacer mayor y mejor uso de la información de las actividades de fiscalización. Desde el punto de vista de desarrollo del software están tratando de poder generar o implementar mejores herramientas para la revisión de los estados financieros que entregan las instituciones fiscalizadas.</w:t>
      </w:r>
    </w:p>
    <w:p>
      <w:pPr>
        <w:rPr>
          <w:b w:val="0"/>
        </w:rPr>
      </w:pPr>
    </w:p>
    <w:p>
      <w:pPr>
        <w:rPr>
          <w:b w:val="0"/>
        </w:rPr>
      </w:pPr>
      <w:r>
        <w:rPr>
          <w:b w:val="0"/>
        </w:rPr>
        <w:tab/>
        <w:t xml:space="preserve">Por último, destacó que están desarrollando aplicaciones para mejorar la fiscalización en dos aspectos importantes: uno, en lo que tiene que ver con las obligaciones de las compañías de seguros, particularmente con las compañías de seguros de vida que tienen un rol importante en el sistema previsional y, también, con lo que es el ESX el sistema de compra y de consulta y oferta de montos de pensión que es una institución que reúne a todas las compañías de seguros donde se canaliza y administra el sistema de oferta y de información que se entrega a las personas que se encuentran en edad de pensionarse para que puedan comparar y tomar sus decisiones de pensión a la modalidad que eligen si es retiro programado o renta vitalicia y también a las entidades específicas a las cuales les confían esos activos financieros para que se hagan cargo de sus montos de pensiones. </w:t>
      </w:r>
    </w:p>
    <w:p>
      <w:pPr>
        <w:rPr>
          <w:b w:val="0"/>
        </w:rPr>
      </w:pPr>
    </w:p>
    <w:p>
      <w:pPr>
        <w:rPr>
          <w:b w:val="0"/>
        </w:rPr>
      </w:pPr>
      <w:r>
        <w:rPr>
          <w:b w:val="0"/>
        </w:rPr>
        <w:tab/>
        <w:t>Este es, señaló, en términos muy generales el presupuesto que tienen.</w:t>
      </w:r>
    </w:p>
    <w:p>
      <w:pPr>
        <w:rPr>
          <w:b w:val="0"/>
        </w:rPr>
      </w:pPr>
    </w:p>
    <w:p>
      <w:pPr>
        <w:rPr>
          <w:b w:val="0"/>
        </w:rPr>
      </w:pPr>
      <w:r>
        <w:rPr>
          <w:b w:val="0"/>
        </w:rPr>
        <w:tab/>
        <w:t>Finalmente, señaló las siguientes metas estratégicas para el año 2017:</w:t>
      </w:r>
    </w:p>
    <w:p>
      <w:pPr>
        <w:rPr>
          <w:b w:val="0"/>
        </w:rPr>
      </w:pPr>
    </w:p>
    <w:p>
      <w:pPr>
        <w:jc w:val="center"/>
      </w:pPr>
      <w:r>
        <w:t>Metas estratégicas 2017</w:t>
      </w:r>
    </w:p>
    <w:p>
      <w:pPr>
        <w:rPr>
          <w:b w:val="0"/>
        </w:rPr>
      </w:pPr>
    </w:p>
    <w:p>
      <w:pPr>
        <w:rPr>
          <w:b w:val="0"/>
        </w:rPr>
      </w:pPr>
      <w:r>
        <w:rPr>
          <w:b w:val="0"/>
        </w:rPr>
        <w:tab/>
        <w:t>1.- Reducir la brecha entre los estándares locales de regulación y supervisión y los estándares internacionalmente aceptados, mediante la promulgación de normas, la participación activa en propuestas de cambios legales y la adopción de modelos de supervisión adecuados.</w:t>
      </w:r>
    </w:p>
    <w:p>
      <w:pPr>
        <w:rPr>
          <w:b w:val="0"/>
        </w:rPr>
      </w:pPr>
    </w:p>
    <w:p>
      <w:pPr>
        <w:rPr>
          <w:b w:val="0"/>
        </w:rPr>
      </w:pPr>
      <w:r>
        <w:rPr>
          <w:b w:val="0"/>
        </w:rPr>
        <w:tab/>
        <w:t>2.- Promover que los supervisados implementen mecanismos eficientes de gestión de riesgos que les permitan cumplir exigencias normativas, en materia de solvencia y/o conducta de mercado. Ello se propiciará mediante la aplicación de políticas de supervisión y regulación efectivas.</w:t>
      </w:r>
    </w:p>
    <w:p>
      <w:pPr>
        <w:rPr>
          <w:b w:val="0"/>
        </w:rPr>
      </w:pPr>
    </w:p>
    <w:p>
      <w:pPr>
        <w:rPr>
          <w:b w:val="0"/>
        </w:rPr>
      </w:pPr>
      <w:r>
        <w:rPr>
          <w:b w:val="0"/>
        </w:rPr>
        <w:tab/>
        <w:t>3.- Reducir la asimetría de información para que los inversionistas, asegurados y público en general puedan tomar decisiones informadas. Para ello se requerirá al supervisado el mejoramiento continuo de sus sistemas de gestión y la difusión de la información relevante.</w:t>
      </w:r>
    </w:p>
    <w:p>
      <w:pPr>
        <w:rPr>
          <w:b w:val="0"/>
        </w:rPr>
      </w:pPr>
    </w:p>
    <w:p>
      <w:pPr>
        <w:rPr>
          <w:b w:val="0"/>
        </w:rPr>
      </w:pPr>
      <w:r>
        <w:rPr>
          <w:b w:val="0"/>
        </w:rPr>
        <w:tab/>
        <w:t>4.- Mejoramiento continuo de los procesos de detección de infracciones, así como de los procedimientos investigativos y sancionatorios, en términos de su agilidad y oportunidad, sin menoscabo del debido proceso.</w:t>
      </w:r>
    </w:p>
    <w:p>
      <w:pPr>
        <w:rPr>
          <w:b w:val="0"/>
        </w:rPr>
      </w:pPr>
    </w:p>
    <w:p>
      <w:pPr>
        <w:rPr>
          <w:b w:val="0"/>
        </w:rPr>
      </w:pPr>
      <w:r>
        <w:rPr>
          <w:b w:val="0"/>
        </w:rPr>
        <w:tab/>
        <w:t>5.- Mejorar el conocimiento que inversionistas y asegurados tienen de sus derechos, mediante un perfeccionamiento de los contenidos y medios de difusión, así como del fortalecimiento en la atención de consultas y reclamos.</w:t>
      </w:r>
    </w:p>
    <w:p>
      <w:pPr>
        <w:rPr>
          <w:b w:val="0"/>
        </w:rPr>
      </w:pPr>
    </w:p>
    <w:p>
      <w:pPr>
        <w:rPr>
          <w:b w:val="0"/>
        </w:rPr>
      </w:pPr>
      <w:r>
        <w:rPr>
          <w:b w:val="0"/>
        </w:rPr>
        <w:tab/>
        <w:t>6.- Fortalecer la gestión interna por medio del cumplimiento de la ley N° 20.880 que regula los mecanismos sobre probidad en la función pública y  prevención de los conflictos de intereses y la aplicación de los instructivos presidenciales en materia de recursos humanos y eficiencia del gasto público.</w:t>
      </w:r>
    </w:p>
    <w:p>
      <w:pPr>
        <w:rPr>
          <w:b w:val="0"/>
        </w:rPr>
      </w:pPr>
    </w:p>
    <w:p>
      <w:pPr>
        <w:rPr>
          <w:b w:val="0"/>
        </w:rPr>
      </w:pPr>
      <w:r>
        <w:rPr>
          <w:b w:val="0"/>
        </w:rPr>
        <w:tab/>
        <w:t>7.- Fortalecer los mecanismos para reducir los riesgos que afectan la continuidad operacional de la SVS.</w:t>
      </w:r>
    </w:p>
    <w:p>
      <w:pPr>
        <w:rPr>
          <w:b w:val="0"/>
        </w:rPr>
      </w:pPr>
    </w:p>
    <w:p>
      <w:pPr>
        <w:rPr>
          <w:b w:val="0"/>
        </w:rPr>
      </w:pPr>
    </w:p>
    <w:p>
      <w:r>
        <w:tab/>
        <w:t>Terminada la presentación los señores miembros de la Subcomisión formularon las siguientes consultas:</w:t>
      </w:r>
    </w:p>
    <w:p>
      <w:pPr>
        <w:rPr>
          <w:b w:val="0"/>
        </w:rPr>
      </w:pPr>
    </w:p>
    <w:p>
      <w:pPr>
        <w:rPr>
          <w:b w:val="0"/>
        </w:rPr>
      </w:pPr>
    </w:p>
    <w:p>
      <w:pPr>
        <w:rPr>
          <w:b w:val="0"/>
        </w:rPr>
      </w:pPr>
      <w:r>
        <w:rPr>
          <w:b w:val="0"/>
        </w:rPr>
        <w:tab/>
      </w:r>
      <w:r>
        <w:t>El Honorable Diputado señor Silva</w:t>
      </w:r>
      <w:r>
        <w:rPr>
          <w:b w:val="0"/>
        </w:rPr>
        <w:t xml:space="preserve"> consultó respecto del aumento del Subtítulo 24, Transferencias Corrientes, que no aparece explicado en las láminas, que asciende a un 15,3%.</w:t>
      </w:r>
    </w:p>
    <w:p>
      <w:pPr>
        <w:rPr>
          <w:b w:val="0"/>
        </w:rPr>
      </w:pPr>
    </w:p>
    <w:p>
      <w:pPr>
        <w:rPr>
          <w:b w:val="0"/>
        </w:rPr>
      </w:pPr>
    </w:p>
    <w:p>
      <w:pPr>
        <w:rPr>
          <w:b w:val="0"/>
        </w:rPr>
      </w:pPr>
      <w:r>
        <w:rPr>
          <w:b w:val="0"/>
        </w:rPr>
        <w:tab/>
      </w:r>
      <w:r>
        <w:t>El Superintendente, señor Pavez</w:t>
      </w:r>
      <w:r>
        <w:rPr>
          <w:b w:val="0"/>
        </w:rPr>
        <w:t>, explicó que los recursos se destinan a pagar las cuotas que se deben a los organismos internacionales de supervisión. Tanto a IOSCO como a IAIS que son el primero organismos internacionales de supervisores de valores a nivel mundial y AIS es la organización internacional de reguladores de seguros.</w:t>
      </w:r>
    </w:p>
    <w:p>
      <w:pPr>
        <w:rPr>
          <w:b w:val="0"/>
        </w:rPr>
      </w:pPr>
    </w:p>
    <w:p>
      <w:pPr>
        <w:rPr>
          <w:b w:val="0"/>
        </w:rPr>
      </w:pPr>
      <w:r>
        <w:rPr>
          <w:b w:val="0"/>
        </w:rPr>
        <w:tab/>
        <w:t>Particularmente en el caso de los seguros se aumentaron las cuotas de membresía, no se trata de una membresía nueva es un aumento en las cuotas a pesar de que este tipo de organizaciones distingue por niveles de países. La Superintendencia está en un rango medio alto como un mercado desarrollado en ambos ámbitos en cuanto a valores y seguros, por lo tanto, pagan membresía en ambos organismos en los rangos medios y altos promedios.</w:t>
      </w:r>
    </w:p>
    <w:p>
      <w:pPr>
        <w:rPr>
          <w:b w:val="0"/>
        </w:rPr>
      </w:pPr>
    </w:p>
    <w:p>
      <w:pPr>
        <w:rPr>
          <w:b w:val="0"/>
        </w:rPr>
      </w:pPr>
    </w:p>
    <w:p>
      <w:pPr>
        <w:rPr>
          <w:b w:val="0"/>
        </w:rPr>
      </w:pPr>
      <w:r>
        <w:rPr>
          <w:b w:val="0"/>
        </w:rPr>
        <w:tab/>
      </w:r>
      <w:r>
        <w:t xml:space="preserve">El Presidente de la Subcomisión Honorable Diputado señor De Mussy </w:t>
      </w:r>
      <w:r>
        <w:rPr>
          <w:b w:val="0"/>
        </w:rPr>
        <w:t>consultó por el aumento en el Subtítulo 29, Adquisición de Activos No Financieros, ítem 04, Mobiliario y otros, con recursos por 14 millones. Preguntó si es para remodelación del lugar de trabajo.</w:t>
      </w:r>
    </w:p>
    <w:p>
      <w:pPr>
        <w:rPr>
          <w:b w:val="0"/>
        </w:rPr>
      </w:pPr>
    </w:p>
    <w:p>
      <w:pPr>
        <w:rPr>
          <w:b w:val="0"/>
        </w:rPr>
      </w:pPr>
    </w:p>
    <w:p>
      <w:pPr>
        <w:rPr>
          <w:b w:val="0"/>
        </w:rPr>
      </w:pPr>
      <w:r>
        <w:rPr>
          <w:b w:val="0"/>
        </w:rPr>
        <w:tab/>
      </w:r>
      <w:r>
        <w:t>El señor Superintendente</w:t>
      </w:r>
      <w:r>
        <w:rPr>
          <w:b w:val="0"/>
        </w:rPr>
        <w:t xml:space="preserve"> informó que es estrictamente para el equipamiento de los 4 nuevos funcionarios que contrataron para cumplir con la ley de probidad.</w:t>
      </w:r>
    </w:p>
    <w:p>
      <w:pPr>
        <w:rPr>
          <w:b w:val="0"/>
        </w:rPr>
      </w:pPr>
    </w:p>
    <w:p>
      <w:pPr>
        <w:rPr>
          <w:b w:val="0"/>
        </w:rPr>
      </w:pPr>
    </w:p>
    <w:p>
      <w:pPr>
        <w:rPr>
          <w:b w:val="0"/>
        </w:rPr>
      </w:pPr>
      <w:r>
        <w:rPr>
          <w:b w:val="0"/>
        </w:rPr>
        <w:tab/>
      </w:r>
      <w:r>
        <w:t>El Presidente de la Subcomisión Honorable Diputado señor De Mussy</w:t>
      </w:r>
      <w:r>
        <w:rPr>
          <w:b w:val="0"/>
        </w:rPr>
        <w:t xml:space="preserve"> consultó también respecto de los equipos informáticos, por ejemplo, un computador de un funcionario nuevo va en el ítem 04, Mobiliario y Otros, o en el ítem 06, Equipos Informáticos?</w:t>
      </w:r>
    </w:p>
    <w:p>
      <w:pPr>
        <w:rPr>
          <w:b w:val="0"/>
        </w:rPr>
      </w:pPr>
    </w:p>
    <w:p>
      <w:pPr>
        <w:rPr>
          <w:b w:val="0"/>
        </w:rPr>
      </w:pPr>
    </w:p>
    <w:p>
      <w:pPr>
        <w:rPr>
          <w:b w:val="0"/>
        </w:rPr>
      </w:pPr>
      <w:r>
        <w:rPr>
          <w:b w:val="0"/>
        </w:rPr>
        <w:tab/>
      </w:r>
      <w:r>
        <w:t>El señor Superintendente</w:t>
      </w:r>
      <w:r>
        <w:rPr>
          <w:b w:val="0"/>
        </w:rPr>
        <w:t xml:space="preserve"> explicó que estos recursos corresponden al ítem 06, Equipos Informáticos. Señaló que 4 equipos informáticos valen alrededor de 16 millones de pesos de los 20 que figuran. Se trata de computadores potentes para efectos de que soporten las aplicaciones. Destacó, que en general trabajan con programas con muchos datos para hacer cruces de información, particularmente, con lo que tiene que ver con bases de personas, de inversionistas, y, en este caso, también de autoridades, con las bases transaccionales que se llevan adelante en las distintas bolsas por los distintos tipos de administradoras de fondos fiscalizados.</w:t>
      </w:r>
    </w:p>
    <w:p>
      <w:pPr>
        <w:rPr>
          <w:b w:val="0"/>
        </w:rPr>
      </w:pPr>
    </w:p>
    <w:p>
      <w:pPr>
        <w:rPr>
          <w:b w:val="0"/>
        </w:rPr>
      </w:pPr>
    </w:p>
    <w:p>
      <w:pPr>
        <w:rPr>
          <w:b w:val="0"/>
        </w:rPr>
      </w:pPr>
      <w:r>
        <w:rPr>
          <w:b w:val="0"/>
        </w:rPr>
        <w:tab/>
      </w:r>
      <w:r>
        <w:t xml:space="preserve">El Presidente de la Subcomisión Honorable Diputado señor De Mussy </w:t>
      </w:r>
      <w:r>
        <w:rPr>
          <w:b w:val="0"/>
        </w:rPr>
        <w:t>consultó por el aumento de personal en la glosa de 6 personas, en circunstancias que se contemplan 4 para este tema.</w:t>
      </w:r>
    </w:p>
    <w:p>
      <w:pPr>
        <w:rPr>
          <w:b w:val="0"/>
        </w:rPr>
      </w:pPr>
    </w:p>
    <w:p>
      <w:pPr>
        <w:rPr>
          <w:b w:val="0"/>
        </w:rPr>
      </w:pPr>
      <w:r>
        <w:rPr>
          <w:b w:val="0"/>
        </w:rPr>
        <w:tab/>
        <w:t>Se le informa que hay 2 de traspaso de honorarios a la dotación.</w:t>
      </w:r>
    </w:p>
    <w:p>
      <w:pPr>
        <w:rPr>
          <w:b w:val="0"/>
        </w:rPr>
      </w:pPr>
    </w:p>
    <w:p>
      <w:pPr>
        <w:rPr>
          <w:b w:val="0"/>
        </w:rPr>
      </w:pPr>
    </w:p>
    <w:p>
      <w:pPr>
        <w:rPr>
          <w:lang w:val="es-ES_tradnl"/>
        </w:rPr>
      </w:pPr>
      <w:r>
        <w:rPr>
          <w:b w:val="0"/>
        </w:rPr>
        <w:tab/>
      </w:r>
      <w:r>
        <w:rPr>
          <w:lang w:val="es-ES_tradnl"/>
        </w:rPr>
        <w:t>Sometido a votación el Capítulo 08, Programa 01, fue aprobado sin enmiendas por la unanimidad de los miembros presentes de la Subcomisión, Honorable Diputado señor De Mussy (Presidente), Honorables Senadores señores Coloma y Tuma, y Honorables Diputados señores Schilling y Silva.</w:t>
      </w:r>
    </w:p>
    <w:p>
      <w:pPr>
        <w:rPr>
          <w:b w:val="0"/>
          <w:lang w:val="es-ES_tradnl"/>
        </w:rPr>
      </w:pPr>
    </w:p>
    <w:p>
      <w:pPr>
        <w:rPr>
          <w:b w:val="0"/>
        </w:rPr>
      </w:pPr>
    </w:p>
    <w:p>
      <w:pPr>
        <w:jc w:val="center"/>
        <w:rPr>
          <w:rFonts w:eastAsia="Times New Roman"/>
          <w:lang w:eastAsia="es-ES"/>
        </w:rPr>
      </w:pPr>
      <w:r>
        <w:rPr>
          <w:rFonts w:eastAsia="Times New Roman"/>
          <w:lang w:eastAsia="es-ES"/>
        </w:rPr>
        <w:t>CAPITULO 11</w:t>
      </w:r>
    </w:p>
    <w:p>
      <w:pPr>
        <w:jc w:val="center"/>
        <w:rPr>
          <w:rFonts w:eastAsia="Times New Roman"/>
          <w:lang w:eastAsia="es-ES"/>
        </w:rPr>
      </w:pPr>
    </w:p>
    <w:p>
      <w:pPr>
        <w:jc w:val="center"/>
        <w:rPr>
          <w:rFonts w:eastAsia="Times New Roman"/>
          <w:lang w:eastAsia="es-ES"/>
        </w:rPr>
      </w:pPr>
      <w:r>
        <w:rPr>
          <w:rFonts w:eastAsia="Times New Roman"/>
          <w:lang w:eastAsia="es-ES"/>
        </w:rPr>
        <w:t>Programa 01</w:t>
      </w:r>
    </w:p>
    <w:p>
      <w:pPr>
        <w:jc w:val="center"/>
        <w:rPr>
          <w:rFonts w:eastAsia="Times New Roman"/>
          <w:lang w:val="es-ES" w:eastAsia="es-ES"/>
        </w:rPr>
      </w:pPr>
      <w:r>
        <w:rPr>
          <w:rFonts w:eastAsia="Times New Roman"/>
          <w:lang w:val="es-ES" w:eastAsia="es-ES"/>
        </w:rPr>
        <w:t>Superintendencia de Bancos e Instituciones Financieras</w:t>
      </w:r>
    </w:p>
    <w:p>
      <w:pPr>
        <w:rPr>
          <w:rFonts w:eastAsia="Times New Roman"/>
          <w:lang w:val="es-ES" w:eastAsia="es-ES"/>
        </w:rPr>
      </w:pPr>
    </w:p>
    <w:p>
      <w:pPr>
        <w:rPr>
          <w:rFonts w:eastAsia="Times New Roman"/>
          <w:lang w:eastAsia="es-ES"/>
        </w:rPr>
      </w:pPr>
      <w:r>
        <w:rPr>
          <w:rFonts w:eastAsia="Times New Roman"/>
          <w:b w:val="0"/>
          <w:lang w:eastAsia="es-ES"/>
        </w:rPr>
        <w:tab/>
        <w:t xml:space="preserve">Considera ingresos y gastos por </w:t>
      </w:r>
      <w:r>
        <w:rPr>
          <w:rFonts w:eastAsia="Times New Roman"/>
          <w:lang w:eastAsia="es-ES"/>
        </w:rPr>
        <w:t>$ 61.012.386 miles.</w:t>
      </w:r>
    </w:p>
    <w:p>
      <w:pPr>
        <w:rPr>
          <w:rFonts w:eastAsia="Times New Roman"/>
          <w:b w:val="0"/>
          <w:lang w:eastAsia="es-ES"/>
        </w:rPr>
      </w:pPr>
    </w:p>
    <w:p>
      <w:pPr>
        <w:rPr>
          <w:rFonts w:eastAsia="Times New Roman"/>
          <w:b w:val="0"/>
          <w:highlight w:val="yellow"/>
          <w:lang w:eastAsia="es-ES"/>
        </w:rPr>
      </w:pPr>
      <w:r>
        <w:rPr>
          <w:rFonts w:eastAsia="Times New Roman"/>
          <w:b w:val="0"/>
          <w:lang w:eastAsia="es-ES"/>
        </w:rPr>
        <w:tab/>
        <w:t>El presupuesto actual de esta Superintendencia es de $ 56.054.670 miles, lo que significa un aumento de un 8,8%.</w:t>
      </w:r>
      <w:r>
        <w:rPr>
          <w:rFonts w:eastAsia="Times New Roman"/>
          <w:b w:val="0"/>
          <w:highlight w:val="yellow"/>
          <w:lang w:eastAsia="es-ES"/>
        </w:rPr>
        <w:t xml:space="preserve"> </w:t>
      </w:r>
    </w:p>
    <w:p>
      <w:pPr>
        <w:rPr>
          <w:rFonts w:eastAsia="Times New Roman"/>
          <w:b w:val="0"/>
          <w:highlight w:val="yellow"/>
          <w:lang w:eastAsia="es-ES"/>
        </w:rPr>
      </w:pPr>
    </w:p>
    <w:p>
      <w:pPr>
        <w:rPr>
          <w:b w:val="0"/>
        </w:rPr>
      </w:pPr>
      <w:r>
        <w:rPr>
          <w:b w:val="0"/>
        </w:rPr>
        <w:tab/>
      </w:r>
      <w:r>
        <w:t>El Superintendente de Bancos e Instituciones Financieras, señor Eric Parrado,</w:t>
      </w:r>
      <w:r>
        <w:rPr>
          <w:b w:val="0"/>
        </w:rPr>
        <w:t xml:space="preserve"> inició su exposición señalando los l</w:t>
      </w:r>
      <w:r>
        <w:rPr>
          <w:b w:val="0"/>
          <w:bCs/>
        </w:rPr>
        <w:t>ineamientos estratégicos de su Institución, los cuales son los siguientes:</w:t>
      </w:r>
    </w:p>
    <w:p>
      <w:pPr>
        <w:rPr>
          <w:b w:val="0"/>
        </w:rPr>
      </w:pPr>
    </w:p>
    <w:p>
      <w:pPr>
        <w:rPr>
          <w:b w:val="0"/>
        </w:rPr>
      </w:pPr>
      <w:r>
        <w:rPr>
          <w:b w:val="0"/>
        </w:rPr>
        <w:tab/>
        <w:t>1.- Avances Normativos: Basilea III (liquidez), conglomerados financieros, nuevos fiscalizados, información de endeudamiento.</w:t>
      </w:r>
    </w:p>
    <w:p>
      <w:pPr>
        <w:rPr>
          <w:b w:val="0"/>
        </w:rPr>
      </w:pPr>
    </w:p>
    <w:p>
      <w:pPr>
        <w:rPr>
          <w:b w:val="0"/>
        </w:rPr>
      </w:pPr>
      <w:r>
        <w:rPr>
          <w:b w:val="0"/>
        </w:rPr>
        <w:tab/>
        <w:t>2.- Protección al depositante y mejor información al deudor.</w:t>
      </w:r>
    </w:p>
    <w:p>
      <w:pPr>
        <w:rPr>
          <w:b w:val="0"/>
        </w:rPr>
      </w:pPr>
    </w:p>
    <w:p>
      <w:pPr>
        <w:rPr>
          <w:b w:val="0"/>
        </w:rPr>
      </w:pPr>
      <w:r>
        <w:rPr>
          <w:b w:val="0"/>
        </w:rPr>
        <w:tab/>
        <w:t>3.- Promoción de la inclusión y educación financiera.</w:t>
      </w:r>
    </w:p>
    <w:p>
      <w:pPr>
        <w:rPr>
          <w:b w:val="0"/>
        </w:rPr>
      </w:pPr>
    </w:p>
    <w:p>
      <w:pPr>
        <w:rPr>
          <w:b w:val="0"/>
        </w:rPr>
      </w:pPr>
    </w:p>
    <w:p>
      <w:pPr>
        <w:rPr>
          <w:b w:val="0"/>
        </w:rPr>
      </w:pPr>
      <w:r>
        <w:rPr>
          <w:b w:val="0"/>
        </w:rPr>
        <w:t>1.- Aumento de la Presencia Internacional</w:t>
      </w:r>
    </w:p>
    <w:p>
      <w:pPr>
        <w:rPr>
          <w:b w:val="0"/>
        </w:rPr>
      </w:pPr>
    </w:p>
    <w:p>
      <w:pPr>
        <w:rPr>
          <w:b w:val="0"/>
        </w:rPr>
      </w:pPr>
      <w:r>
        <w:rPr>
          <w:b w:val="0"/>
        </w:rPr>
        <w:t>- Observador miembro del Comité de Basilea</w:t>
      </w:r>
    </w:p>
    <w:p>
      <w:pPr>
        <w:rPr>
          <w:b w:val="0"/>
        </w:rPr>
      </w:pPr>
      <w:r>
        <w:rPr>
          <w:b w:val="0"/>
        </w:rPr>
        <w:t>- Presidencia del Comité Técnico de ASBA</w:t>
      </w:r>
    </w:p>
    <w:p>
      <w:pPr>
        <w:rPr>
          <w:b w:val="0"/>
        </w:rPr>
      </w:pPr>
      <w:r>
        <w:rPr>
          <w:b w:val="0"/>
        </w:rPr>
        <w:t>- Conferencia Internacional de Desarrollo y Estabilidad Financiera</w:t>
      </w:r>
    </w:p>
    <w:p>
      <w:pPr>
        <w:rPr>
          <w:b w:val="0"/>
        </w:rPr>
      </w:pPr>
    </w:p>
    <w:p>
      <w:pPr>
        <w:rPr>
          <w:b w:val="0"/>
        </w:rPr>
      </w:pPr>
    </w:p>
    <w:p>
      <w:pPr>
        <w:rPr>
          <w:b w:val="0"/>
        </w:rPr>
      </w:pPr>
      <w:r>
        <w:rPr>
          <w:b w:val="0"/>
        </w:rPr>
        <w:t>2.- Nuevos Productos</w:t>
      </w:r>
    </w:p>
    <w:p>
      <w:pPr>
        <w:rPr>
          <w:b w:val="0"/>
        </w:rPr>
      </w:pPr>
    </w:p>
    <w:p>
      <w:pPr>
        <w:rPr>
          <w:b w:val="0"/>
        </w:rPr>
      </w:pPr>
      <w:r>
        <w:rPr>
          <w:b w:val="0"/>
        </w:rPr>
        <w:t xml:space="preserve">- Informe Anual </w:t>
      </w:r>
    </w:p>
    <w:p>
      <w:pPr>
        <w:rPr>
          <w:b w:val="0"/>
        </w:rPr>
      </w:pPr>
      <w:r>
        <w:rPr>
          <w:b w:val="0"/>
        </w:rPr>
        <w:t>- Informe de Género en el Sistema Financiero</w:t>
      </w:r>
    </w:p>
    <w:p>
      <w:pPr>
        <w:rPr>
          <w:b w:val="0"/>
        </w:rPr>
      </w:pPr>
      <w:r>
        <w:rPr>
          <w:b w:val="0"/>
        </w:rPr>
        <w:t>- Serie de Estudios Normativos</w:t>
      </w:r>
    </w:p>
    <w:p>
      <w:pPr>
        <w:rPr>
          <w:b w:val="0"/>
        </w:rPr>
      </w:pPr>
      <w:r>
        <w:rPr>
          <w:b w:val="0"/>
        </w:rPr>
        <w:t>- 1era Encuesta Nacional de Educación Financiera (2016)</w:t>
      </w:r>
    </w:p>
    <w:p>
      <w:pPr>
        <w:rPr>
          <w:b w:val="0"/>
        </w:rPr>
      </w:pPr>
    </w:p>
    <w:p>
      <w:pPr>
        <w:rPr>
          <w:b w:val="0"/>
        </w:rPr>
      </w:pPr>
    </w:p>
    <w:p>
      <w:pPr>
        <w:rPr>
          <w:b w:val="0"/>
        </w:rPr>
      </w:pPr>
      <w:r>
        <w:rPr>
          <w:b w:val="0"/>
        </w:rPr>
        <w:tab/>
        <w:t>En seguida, se refirió a la ejecución presupuestaria del año 2016 a Agosto del año en curso, para lo cual exhibió la siguiente lámina:</w:t>
      </w:r>
    </w:p>
    <w:p>
      <w:pPr>
        <w:rPr>
          <w:b w:val="0"/>
        </w:rPr>
      </w:pPr>
    </w:p>
    <w:p>
      <w:pPr>
        <w:rPr>
          <w:b w:val="0"/>
        </w:rPr>
      </w:pPr>
    </w:p>
    <w:p>
      <w:pPr>
        <w:rPr>
          <w:b w:val="0"/>
        </w:rPr>
      </w:pPr>
    </w:p>
    <w:p>
      <w:pPr>
        <w:rPr>
          <w:b w:val="0"/>
        </w:rPr>
      </w:pPr>
    </w:p>
    <w:p>
      <w:pPr>
        <w:rPr>
          <w:b w:val="0"/>
        </w:rPr>
      </w:pPr>
      <w:r>
        <w:rPr>
          <w:b w:val="0"/>
          <w:noProof/>
          <w:lang w:eastAsia="es-CL"/>
        </w:rPr>
      </w:r>
      <w:r>
        <w:rPr>
          <w:b w:val="0"/>
        </w:rPr>
        <w:pict>
          <v:shape id="_x0000_s1027" type="#_x0000_t75" style="width:477.1pt;height:232.2pt;mso-position-horizontal-relative:char;mso-position-vertical-relative:line" fillcolor="black">
            <v:fill color2="black"/>
            <v:imagedata r:id="rId27" o:title=""/>
            <v:shadow color="black"/>
            <w10:anchorlock/>
          </v:shape>
        </w:pict>
      </w:r>
    </w:p>
    <w:p>
      <w:pPr>
        <w:rPr>
          <w:b w:val="0"/>
        </w:rPr>
      </w:pPr>
    </w:p>
    <w:p>
      <w:pPr>
        <w:rPr>
          <w:b w:val="0"/>
        </w:rPr>
      </w:pPr>
    </w:p>
    <w:p>
      <w:r>
        <w:t>(*) Gasto de Estado de Operaciones = GASTOS-(Subt.25+30+32+34+35) + Ítem25.01+Intereses y Otros Gastos Financieros de Deuda</w:t>
      </w:r>
    </w:p>
    <w:p>
      <w:pPr>
        <w:rPr>
          <w:b w:val="0"/>
        </w:rPr>
      </w:pPr>
    </w:p>
    <w:p>
      <w:pPr>
        <w:rPr>
          <w:b w:val="0"/>
        </w:rPr>
      </w:pPr>
    </w:p>
    <w:p>
      <w:pPr>
        <w:rPr>
          <w:b w:val="0"/>
        </w:rPr>
      </w:pPr>
      <w:r>
        <w:rPr>
          <w:b w:val="0"/>
        </w:rPr>
        <w:tab/>
        <w:t>Al respecto, señaló que los gastos del estado de las operaciones se encuentran en casi un 60%.</w:t>
      </w:r>
    </w:p>
    <w:p>
      <w:pPr>
        <w:rPr>
          <w:b w:val="0"/>
        </w:rPr>
      </w:pPr>
    </w:p>
    <w:p>
      <w:pPr>
        <w:rPr>
          <w:b w:val="0"/>
        </w:rPr>
      </w:pPr>
    </w:p>
    <w:p>
      <w:pPr>
        <w:rPr>
          <w:b w:val="0"/>
        </w:rPr>
      </w:pPr>
      <w:r>
        <w:rPr>
          <w:b w:val="0"/>
        </w:rPr>
        <w:tab/>
        <w:t xml:space="preserve">Respecto del </w:t>
      </w:r>
      <w:r>
        <w:t>Subtítulo 22</w:t>
      </w:r>
      <w:r>
        <w:rPr>
          <w:b w:val="0"/>
        </w:rPr>
        <w:t>, Bienes y Servicios de Consumo, señaló que tiene casi un 44% de ejecución, que se debe a dos aspectos principales. El primero, debido a que la Superintendencia desde el año pasado entró al sistema de compras públicas y se encuentran cumpliendo con todas las formalidades exigidas para ello y, el segundo, que los pagos fuertes se hacen a fin de año.</w:t>
      </w:r>
    </w:p>
    <w:p>
      <w:pPr>
        <w:rPr>
          <w:b w:val="0"/>
        </w:rPr>
      </w:pPr>
    </w:p>
    <w:p>
      <w:pPr>
        <w:rPr>
          <w:b w:val="0"/>
        </w:rPr>
      </w:pPr>
    </w:p>
    <w:p>
      <w:pPr>
        <w:rPr>
          <w:b w:val="0"/>
        </w:rPr>
      </w:pPr>
      <w:r>
        <w:rPr>
          <w:b w:val="0"/>
        </w:rPr>
        <w:tab/>
        <w:t>Destacó que están tratando de ordenar los flujos de gastos durante el año para lograr un mayor equilibrio.</w:t>
      </w:r>
    </w:p>
    <w:p>
      <w:pPr>
        <w:rPr>
          <w:b w:val="0"/>
        </w:rPr>
      </w:pPr>
    </w:p>
    <w:p>
      <w:pPr>
        <w:rPr>
          <w:b w:val="0"/>
        </w:rPr>
      </w:pPr>
    </w:p>
    <w:p>
      <w:pPr>
        <w:rPr>
          <w:b w:val="0"/>
        </w:rPr>
      </w:pPr>
      <w:r>
        <w:rPr>
          <w:b w:val="0"/>
        </w:rPr>
        <w:tab/>
        <w:t>Luego señaló que un gasto mayor que realizarán en el segundo semestre corresponde a la Conferencia Internacional de Supervisores Bancarios.</w:t>
      </w:r>
    </w:p>
    <w:p>
      <w:pPr>
        <w:rPr>
          <w:b w:val="0"/>
        </w:rPr>
      </w:pPr>
    </w:p>
    <w:p>
      <w:pPr>
        <w:rPr>
          <w:b w:val="0"/>
        </w:rPr>
      </w:pPr>
    </w:p>
    <w:p>
      <w:pPr>
        <w:rPr>
          <w:b w:val="0"/>
        </w:rPr>
      </w:pPr>
    </w:p>
    <w:p>
      <w:pPr>
        <w:jc w:val="center"/>
        <w:rPr>
          <w:b w:val="0"/>
        </w:rPr>
      </w:pPr>
      <w:r>
        <w:rPr>
          <w:bCs/>
        </w:rPr>
        <w:t>Presupuesto 2017 – cifras comparadas</w:t>
      </w:r>
    </w:p>
    <w:tbl>
      <w:tblPr>
        <w:tblW w:w="9329" w:type="dxa"/>
        <w:tblCellMar>
          <w:left w:w="0" w:type="dxa"/>
          <w:right w:w="0" w:type="dxa"/>
        </w:tblCellMar>
        <w:tblLook w:val="0600" w:firstRow="0" w:lastRow="0" w:firstColumn="0" w:lastColumn="0" w:noHBand="1" w:noVBand="1"/>
      </w:tblPr>
      <w:tblGrid>
        <w:gridCol w:w="3998"/>
        <w:gridCol w:w="1448"/>
        <w:gridCol w:w="1448"/>
        <w:gridCol w:w="1333"/>
        <w:gridCol w:w="1102"/>
      </w:tblGrid>
      <w:tr>
        <w:trPr>
          <w:trHeight w:val="384"/>
        </w:trPr>
        <w:tc>
          <w:tcPr>
            <w:tcW w:w="3998" w:type="dxa"/>
            <w:vMerge w:val="restart"/>
            <w:tcBorders>
              <w:top w:val="nil"/>
              <w:left w:val="nil"/>
              <w:bottom w:val="single" w:sz="8" w:space="0" w:color="FFFFFF"/>
              <w:right w:val="single" w:sz="8" w:space="0" w:color="FFFFFF"/>
            </w:tcBorders>
            <w:shd w:val="clear" w:color="auto" w:fill="B9CDE5"/>
            <w:tcMar>
              <w:top w:w="15" w:type="dxa"/>
              <w:left w:w="15" w:type="dxa"/>
              <w:bottom w:w="0" w:type="dxa"/>
              <w:right w:w="15" w:type="dxa"/>
            </w:tcMar>
            <w:hideMark/>
          </w:tcPr>
          <w:p>
            <w:pPr>
              <w:tabs>
                <w:tab w:val="clear" w:pos="2835"/>
              </w:tabs>
              <w:jc w:val="left"/>
              <w:textAlignment w:val="top"/>
              <w:rPr>
                <w:rFonts w:eastAsia="Times New Roman"/>
                <w:b w:val="0"/>
                <w:sz w:val="18"/>
                <w:szCs w:val="18"/>
                <w:lang w:eastAsia="es-CL"/>
              </w:rPr>
            </w:pPr>
            <w:r>
              <w:rPr>
                <w:rFonts w:eastAsia="Times New Roman"/>
                <w:bCs/>
                <w:color w:val="000000"/>
                <w:kern w:val="24"/>
                <w:sz w:val="18"/>
                <w:szCs w:val="18"/>
                <w:lang w:eastAsia="es-CL"/>
              </w:rPr>
              <w:t>CAPÍTULO 11 - Programa 01</w:t>
            </w:r>
            <w:r>
              <w:rPr>
                <w:rFonts w:eastAsia="Times New Roman"/>
                <w:bCs/>
                <w:color w:val="000000"/>
                <w:kern w:val="24"/>
                <w:sz w:val="18"/>
                <w:szCs w:val="18"/>
                <w:lang w:eastAsia="es-CL"/>
              </w:rPr>
              <w:br/>
              <w:t>SUPERINTENDENCIA DE BANCOS E INSTITUCIONES FINANCIERAS</w:t>
            </w:r>
          </w:p>
        </w:tc>
        <w:tc>
          <w:tcPr>
            <w:tcW w:w="2896" w:type="dxa"/>
            <w:gridSpan w:val="2"/>
            <w:tcBorders>
              <w:top w:val="single" w:sz="8" w:space="0" w:color="FFFFFF"/>
              <w:left w:val="single" w:sz="8" w:space="0" w:color="FFFFFF"/>
              <w:bottom w:val="single" w:sz="8" w:space="0" w:color="FFFFFF"/>
              <w:right w:val="single" w:sz="8" w:space="0" w:color="FFFFFF"/>
            </w:tcBorders>
            <w:shd w:val="clear" w:color="auto" w:fill="B9CDE5"/>
            <w:tcMar>
              <w:top w:w="15" w:type="dxa"/>
              <w:left w:w="15" w:type="dxa"/>
              <w:bottom w:w="0" w:type="dxa"/>
              <w:right w:w="15" w:type="dxa"/>
            </w:tcMar>
            <w:hideMark/>
          </w:tcPr>
          <w:p>
            <w:pPr>
              <w:tabs>
                <w:tab w:val="clear" w:pos="2835"/>
              </w:tabs>
              <w:jc w:val="center"/>
              <w:textAlignment w:val="top"/>
              <w:rPr>
                <w:rFonts w:eastAsia="Times New Roman"/>
                <w:b w:val="0"/>
                <w:sz w:val="18"/>
                <w:szCs w:val="18"/>
                <w:lang w:eastAsia="es-CL"/>
              </w:rPr>
            </w:pPr>
            <w:r>
              <w:rPr>
                <w:rFonts w:eastAsia="Times New Roman"/>
                <w:bCs/>
                <w:color w:val="000000"/>
                <w:kern w:val="24"/>
                <w:sz w:val="18"/>
                <w:szCs w:val="18"/>
                <w:lang w:eastAsia="es-CL"/>
              </w:rPr>
              <w:t>Ley de Presupuesto</w:t>
            </w:r>
          </w:p>
        </w:tc>
        <w:tc>
          <w:tcPr>
            <w:tcW w:w="2435" w:type="dxa"/>
            <w:gridSpan w:val="2"/>
            <w:tcBorders>
              <w:top w:val="single" w:sz="8" w:space="0" w:color="FFFFFF"/>
              <w:left w:val="single" w:sz="8" w:space="0" w:color="FFFFFF"/>
              <w:bottom w:val="single" w:sz="8" w:space="0" w:color="FFFFFF"/>
              <w:right w:val="single" w:sz="8" w:space="0" w:color="FFFFFF"/>
            </w:tcBorders>
            <w:shd w:val="clear" w:color="auto" w:fill="B9CDE5"/>
            <w:tcMar>
              <w:top w:w="15" w:type="dxa"/>
              <w:left w:w="15" w:type="dxa"/>
              <w:bottom w:w="0" w:type="dxa"/>
              <w:right w:w="15" w:type="dxa"/>
            </w:tcMar>
            <w:hideMark/>
          </w:tcPr>
          <w:p>
            <w:pPr>
              <w:tabs>
                <w:tab w:val="clear" w:pos="2835"/>
              </w:tabs>
              <w:jc w:val="center"/>
              <w:textAlignment w:val="top"/>
              <w:rPr>
                <w:rFonts w:eastAsia="Times New Roman"/>
                <w:b w:val="0"/>
                <w:sz w:val="18"/>
                <w:szCs w:val="18"/>
                <w:lang w:eastAsia="es-CL"/>
              </w:rPr>
            </w:pPr>
            <w:r>
              <w:rPr>
                <w:rFonts w:eastAsia="Times New Roman"/>
                <w:bCs/>
                <w:color w:val="000000"/>
                <w:kern w:val="24"/>
                <w:sz w:val="18"/>
                <w:szCs w:val="18"/>
                <w:lang w:eastAsia="es-CL"/>
              </w:rPr>
              <w:t>Variación</w:t>
            </w:r>
          </w:p>
        </w:tc>
      </w:tr>
      <w:tr>
        <w:trPr>
          <w:trHeight w:val="755"/>
        </w:trPr>
        <w:tc>
          <w:tcPr>
            <w:tcW w:w="0" w:type="auto"/>
            <w:vMerge/>
            <w:tcBorders>
              <w:top w:val="nil"/>
              <w:left w:val="nil"/>
              <w:bottom w:val="single" w:sz="8" w:space="0" w:color="FFFFFF"/>
              <w:right w:val="single" w:sz="8" w:space="0" w:color="FFFFFF"/>
            </w:tcBorders>
            <w:vAlign w:val="center"/>
            <w:hideMark/>
          </w:tcPr>
          <w:p>
            <w:pPr>
              <w:tabs>
                <w:tab w:val="clear" w:pos="2835"/>
              </w:tabs>
              <w:jc w:val="left"/>
              <w:rPr>
                <w:rFonts w:eastAsia="Times New Roman"/>
                <w:b w:val="0"/>
                <w:sz w:val="18"/>
                <w:szCs w:val="18"/>
                <w:lang w:eastAsia="es-CL"/>
              </w:rPr>
            </w:pPr>
          </w:p>
        </w:tc>
        <w:tc>
          <w:tcPr>
            <w:tcW w:w="1448" w:type="dxa"/>
            <w:tcBorders>
              <w:top w:val="single" w:sz="8" w:space="0" w:color="FFFFFF"/>
              <w:left w:val="single" w:sz="8" w:space="0" w:color="FFFFFF"/>
              <w:bottom w:val="single" w:sz="8" w:space="0" w:color="FFFFFF"/>
              <w:right w:val="single" w:sz="8" w:space="0" w:color="FFFFFF"/>
            </w:tcBorders>
            <w:shd w:val="clear" w:color="auto" w:fill="B9CDE5"/>
            <w:tcMar>
              <w:top w:w="15" w:type="dxa"/>
              <w:left w:w="15" w:type="dxa"/>
              <w:bottom w:w="0" w:type="dxa"/>
              <w:right w:w="15" w:type="dxa"/>
            </w:tcMar>
            <w:hideMark/>
          </w:tcPr>
          <w:p>
            <w:pPr>
              <w:tabs>
                <w:tab w:val="clear" w:pos="2835"/>
              </w:tabs>
              <w:jc w:val="left"/>
              <w:textAlignment w:val="top"/>
              <w:rPr>
                <w:rFonts w:eastAsia="Times New Roman"/>
                <w:b w:val="0"/>
                <w:sz w:val="18"/>
                <w:szCs w:val="18"/>
                <w:lang w:eastAsia="es-CL"/>
              </w:rPr>
            </w:pPr>
            <w:r>
              <w:rPr>
                <w:rFonts w:eastAsia="Times New Roman"/>
                <w:bCs/>
                <w:color w:val="000000"/>
                <w:kern w:val="24"/>
                <w:sz w:val="18"/>
                <w:szCs w:val="18"/>
                <w:lang w:eastAsia="es-CL"/>
              </w:rPr>
              <w:t>Año 2016</w:t>
            </w:r>
            <w:r>
              <w:rPr>
                <w:rFonts w:eastAsia="Times New Roman"/>
                <w:bCs/>
                <w:color w:val="000000"/>
                <w:kern w:val="24"/>
                <w:sz w:val="18"/>
                <w:szCs w:val="18"/>
                <w:lang w:eastAsia="es-CL"/>
              </w:rPr>
              <w:br/>
              <w:t>(M$ 2017)</w:t>
            </w:r>
          </w:p>
        </w:tc>
        <w:tc>
          <w:tcPr>
            <w:tcW w:w="1448" w:type="dxa"/>
            <w:tcBorders>
              <w:top w:val="single" w:sz="8" w:space="0" w:color="FFFFFF"/>
              <w:left w:val="single" w:sz="8" w:space="0" w:color="FFFFFF"/>
              <w:bottom w:val="single" w:sz="8" w:space="0" w:color="FFFFFF"/>
              <w:right w:val="single" w:sz="8" w:space="0" w:color="FFFFFF"/>
            </w:tcBorders>
            <w:shd w:val="clear" w:color="auto" w:fill="B9CDE5"/>
            <w:tcMar>
              <w:top w:w="15" w:type="dxa"/>
              <w:left w:w="15" w:type="dxa"/>
              <w:bottom w:w="0" w:type="dxa"/>
              <w:right w:w="15" w:type="dxa"/>
            </w:tcMar>
            <w:hideMark/>
          </w:tcPr>
          <w:p>
            <w:pPr>
              <w:tabs>
                <w:tab w:val="clear" w:pos="2835"/>
              </w:tabs>
              <w:jc w:val="left"/>
              <w:textAlignment w:val="top"/>
              <w:rPr>
                <w:rFonts w:eastAsia="Times New Roman"/>
                <w:b w:val="0"/>
                <w:sz w:val="18"/>
                <w:szCs w:val="18"/>
                <w:lang w:eastAsia="es-CL"/>
              </w:rPr>
            </w:pPr>
            <w:r>
              <w:rPr>
                <w:rFonts w:eastAsia="Times New Roman"/>
                <w:bCs/>
                <w:color w:val="000000"/>
                <w:kern w:val="24"/>
                <w:sz w:val="18"/>
                <w:szCs w:val="18"/>
                <w:lang w:eastAsia="es-CL"/>
              </w:rPr>
              <w:t>Año 2017</w:t>
            </w:r>
            <w:r>
              <w:rPr>
                <w:rFonts w:eastAsia="Times New Roman"/>
                <w:bCs/>
                <w:color w:val="000000"/>
                <w:kern w:val="24"/>
                <w:sz w:val="18"/>
                <w:szCs w:val="18"/>
                <w:lang w:eastAsia="es-CL"/>
              </w:rPr>
              <w:br/>
              <w:t>(M$ 2017)</w:t>
            </w:r>
          </w:p>
        </w:tc>
        <w:tc>
          <w:tcPr>
            <w:tcW w:w="1333" w:type="dxa"/>
            <w:tcBorders>
              <w:top w:val="single" w:sz="8" w:space="0" w:color="FFFFFF"/>
              <w:left w:val="single" w:sz="8" w:space="0" w:color="FFFFFF"/>
              <w:bottom w:val="single" w:sz="8" w:space="0" w:color="FFFFFF"/>
              <w:right w:val="single" w:sz="8" w:space="0" w:color="FFFFFF"/>
            </w:tcBorders>
            <w:shd w:val="clear" w:color="auto" w:fill="B9CDE5"/>
            <w:tcMar>
              <w:top w:w="15" w:type="dxa"/>
              <w:left w:w="15" w:type="dxa"/>
              <w:bottom w:w="0" w:type="dxa"/>
              <w:right w:w="15" w:type="dxa"/>
            </w:tcMar>
            <w:hideMark/>
          </w:tcPr>
          <w:p>
            <w:pPr>
              <w:tabs>
                <w:tab w:val="clear" w:pos="2835"/>
              </w:tabs>
              <w:jc w:val="center"/>
              <w:textAlignment w:val="top"/>
              <w:rPr>
                <w:rFonts w:eastAsia="Times New Roman"/>
                <w:b w:val="0"/>
                <w:sz w:val="18"/>
                <w:szCs w:val="18"/>
                <w:lang w:eastAsia="es-CL"/>
              </w:rPr>
            </w:pPr>
            <w:r>
              <w:rPr>
                <w:rFonts w:eastAsia="Times New Roman"/>
                <w:bCs/>
                <w:color w:val="000000"/>
                <w:kern w:val="24"/>
                <w:sz w:val="18"/>
                <w:szCs w:val="18"/>
                <w:lang w:eastAsia="es-CL"/>
              </w:rPr>
              <w:t>(M$ 2017)</w:t>
            </w:r>
          </w:p>
        </w:tc>
        <w:tc>
          <w:tcPr>
            <w:tcW w:w="1102" w:type="dxa"/>
            <w:tcBorders>
              <w:top w:val="single" w:sz="8" w:space="0" w:color="FFFFFF"/>
              <w:left w:val="single" w:sz="8" w:space="0" w:color="FFFFFF"/>
              <w:bottom w:val="single" w:sz="8" w:space="0" w:color="FFFFFF"/>
              <w:right w:val="single" w:sz="8" w:space="0" w:color="FFFFFF"/>
            </w:tcBorders>
            <w:shd w:val="clear" w:color="auto" w:fill="B9CDE5"/>
            <w:tcMar>
              <w:top w:w="15" w:type="dxa"/>
              <w:left w:w="15" w:type="dxa"/>
              <w:bottom w:w="0" w:type="dxa"/>
              <w:right w:w="15" w:type="dxa"/>
            </w:tcMar>
            <w:hideMark/>
          </w:tcPr>
          <w:p>
            <w:pPr>
              <w:tabs>
                <w:tab w:val="clear" w:pos="2835"/>
              </w:tabs>
              <w:jc w:val="center"/>
              <w:textAlignment w:val="top"/>
              <w:rPr>
                <w:rFonts w:eastAsia="Times New Roman"/>
                <w:b w:val="0"/>
                <w:sz w:val="18"/>
                <w:szCs w:val="18"/>
                <w:lang w:eastAsia="es-CL"/>
              </w:rPr>
            </w:pPr>
            <w:r>
              <w:rPr>
                <w:rFonts w:eastAsia="Times New Roman"/>
                <w:bCs/>
                <w:color w:val="000000"/>
                <w:kern w:val="24"/>
                <w:sz w:val="18"/>
                <w:szCs w:val="18"/>
                <w:lang w:eastAsia="es-CL"/>
              </w:rPr>
              <w:t>(%)</w:t>
            </w:r>
          </w:p>
        </w:tc>
      </w:tr>
      <w:tr>
        <w:trPr>
          <w:trHeight w:val="384"/>
        </w:trPr>
        <w:tc>
          <w:tcPr>
            <w:tcW w:w="3998" w:type="dxa"/>
            <w:tcBorders>
              <w:top w:val="single" w:sz="8" w:space="0" w:color="FFFFFF"/>
              <w:left w:val="single" w:sz="8" w:space="0" w:color="FFFFFF"/>
              <w:bottom w:val="single" w:sz="8" w:space="0" w:color="FFFFFF"/>
              <w:right w:val="single" w:sz="8" w:space="0" w:color="FFFFFF"/>
            </w:tcBorders>
            <w:shd w:val="clear" w:color="auto" w:fill="C6D9F1"/>
            <w:tcMar>
              <w:top w:w="15" w:type="dxa"/>
              <w:left w:w="15" w:type="dxa"/>
              <w:bottom w:w="0" w:type="dxa"/>
              <w:right w:w="15" w:type="dxa"/>
            </w:tcMar>
            <w:vAlign w:val="center"/>
            <w:hideMark/>
          </w:tcPr>
          <w:p>
            <w:pPr>
              <w:tabs>
                <w:tab w:val="clear" w:pos="2835"/>
              </w:tabs>
              <w:jc w:val="left"/>
              <w:textAlignment w:val="center"/>
              <w:rPr>
                <w:rFonts w:eastAsia="Times New Roman"/>
                <w:b w:val="0"/>
                <w:sz w:val="18"/>
                <w:szCs w:val="18"/>
                <w:lang w:eastAsia="es-CL"/>
              </w:rPr>
            </w:pPr>
            <w:r>
              <w:rPr>
                <w:rFonts w:eastAsia="Times New Roman"/>
                <w:bCs/>
                <w:color w:val="000000"/>
                <w:kern w:val="24"/>
                <w:sz w:val="18"/>
                <w:szCs w:val="18"/>
                <w:lang w:eastAsia="es-CL"/>
              </w:rPr>
              <w:t>TOTAL</w:t>
            </w:r>
          </w:p>
        </w:tc>
        <w:tc>
          <w:tcPr>
            <w:tcW w:w="1448" w:type="dxa"/>
            <w:tcBorders>
              <w:top w:val="single" w:sz="8" w:space="0" w:color="FFFFFF"/>
              <w:left w:val="single" w:sz="8" w:space="0" w:color="FFFFFF"/>
              <w:bottom w:val="single" w:sz="8" w:space="0" w:color="FFFFFF"/>
              <w:right w:val="single" w:sz="8" w:space="0" w:color="FFFFFF"/>
            </w:tcBorders>
            <w:shd w:val="clear" w:color="auto" w:fill="C6D9F1"/>
            <w:tcMar>
              <w:top w:w="15" w:type="dxa"/>
              <w:left w:w="15" w:type="dxa"/>
              <w:bottom w:w="0" w:type="dxa"/>
              <w:right w:w="15"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Cs/>
                <w:color w:val="000000"/>
                <w:kern w:val="24"/>
                <w:sz w:val="18"/>
                <w:szCs w:val="18"/>
                <w:lang w:eastAsia="es-CL"/>
              </w:rPr>
              <w:t>56.054.670</w:t>
            </w:r>
          </w:p>
        </w:tc>
        <w:tc>
          <w:tcPr>
            <w:tcW w:w="1448" w:type="dxa"/>
            <w:tcBorders>
              <w:top w:val="single" w:sz="8" w:space="0" w:color="FFFFFF"/>
              <w:left w:val="single" w:sz="8" w:space="0" w:color="FFFFFF"/>
              <w:bottom w:val="single" w:sz="8" w:space="0" w:color="FFFFFF"/>
              <w:right w:val="single" w:sz="8" w:space="0" w:color="FFFFFF"/>
            </w:tcBorders>
            <w:shd w:val="clear" w:color="auto" w:fill="C6D9F1"/>
            <w:tcMar>
              <w:top w:w="15" w:type="dxa"/>
              <w:left w:w="15" w:type="dxa"/>
              <w:bottom w:w="0" w:type="dxa"/>
              <w:right w:w="15"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Cs/>
                <w:color w:val="000000"/>
                <w:kern w:val="24"/>
                <w:sz w:val="18"/>
                <w:szCs w:val="18"/>
                <w:lang w:eastAsia="es-CL"/>
              </w:rPr>
              <w:t>61.012.386</w:t>
            </w:r>
          </w:p>
        </w:tc>
        <w:tc>
          <w:tcPr>
            <w:tcW w:w="1333" w:type="dxa"/>
            <w:tcBorders>
              <w:top w:val="single" w:sz="8" w:space="0" w:color="FFFFFF"/>
              <w:left w:val="single" w:sz="8" w:space="0" w:color="FFFFFF"/>
              <w:bottom w:val="single" w:sz="8" w:space="0" w:color="FFFFFF"/>
              <w:right w:val="single" w:sz="8" w:space="0" w:color="FFFFFF"/>
            </w:tcBorders>
            <w:shd w:val="clear" w:color="auto" w:fill="C6D9F1"/>
            <w:tcMar>
              <w:top w:w="15" w:type="dxa"/>
              <w:left w:w="15" w:type="dxa"/>
              <w:bottom w:w="0" w:type="dxa"/>
              <w:right w:w="15"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Cs/>
                <w:color w:val="000000"/>
                <w:kern w:val="24"/>
                <w:sz w:val="18"/>
                <w:szCs w:val="18"/>
                <w:lang w:eastAsia="es-CL"/>
              </w:rPr>
              <w:t>4.957.716</w:t>
            </w:r>
          </w:p>
        </w:tc>
        <w:tc>
          <w:tcPr>
            <w:tcW w:w="1102" w:type="dxa"/>
            <w:tcBorders>
              <w:top w:val="single" w:sz="8" w:space="0" w:color="FFFFFF"/>
              <w:left w:val="single" w:sz="8" w:space="0" w:color="FFFFFF"/>
              <w:bottom w:val="single" w:sz="8" w:space="0" w:color="FFFFFF"/>
              <w:right w:val="single" w:sz="8" w:space="0" w:color="FFFFFF"/>
            </w:tcBorders>
            <w:shd w:val="clear" w:color="auto" w:fill="C6D9F1"/>
            <w:tcMar>
              <w:top w:w="15" w:type="dxa"/>
              <w:left w:w="15" w:type="dxa"/>
              <w:bottom w:w="0" w:type="dxa"/>
              <w:right w:w="15"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Cs/>
                <w:color w:val="000000"/>
                <w:kern w:val="24"/>
                <w:sz w:val="18"/>
                <w:szCs w:val="18"/>
                <w:lang w:eastAsia="es-CL"/>
              </w:rPr>
              <w:t>8,8%</w:t>
            </w:r>
          </w:p>
        </w:tc>
      </w:tr>
      <w:tr>
        <w:trPr>
          <w:trHeight w:val="384"/>
        </w:trPr>
        <w:tc>
          <w:tcPr>
            <w:tcW w:w="399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left"/>
              <w:textAlignment w:val="center"/>
              <w:rPr>
                <w:rFonts w:eastAsia="Times New Roman"/>
                <w:b w:val="0"/>
                <w:sz w:val="18"/>
                <w:szCs w:val="18"/>
                <w:lang w:eastAsia="es-CL"/>
              </w:rPr>
            </w:pPr>
            <w:r>
              <w:rPr>
                <w:rFonts w:eastAsia="Times New Roman"/>
                <w:b w:val="0"/>
                <w:color w:val="000000"/>
                <w:kern w:val="24"/>
                <w:sz w:val="18"/>
                <w:szCs w:val="18"/>
                <w:lang w:eastAsia="es-CL"/>
              </w:rPr>
              <w:t>Gasto en Personal  (</w:t>
            </w:r>
            <w:r>
              <w:rPr>
                <w:rFonts w:eastAsia="Times New Roman"/>
                <w:bCs/>
                <w:color w:val="000000"/>
                <w:kern w:val="24"/>
                <w:sz w:val="18"/>
                <w:szCs w:val="18"/>
                <w:lang w:eastAsia="es-CL"/>
              </w:rPr>
              <w:t>Subtítulo 21</w:t>
            </w:r>
            <w:r>
              <w:rPr>
                <w:rFonts w:eastAsia="Times New Roman"/>
                <w:b w:val="0"/>
                <w:color w:val="000000"/>
                <w:kern w:val="24"/>
                <w:sz w:val="18"/>
                <w:szCs w:val="18"/>
                <w:lang w:eastAsia="es-CL"/>
              </w:rPr>
              <w:t>)</w:t>
            </w:r>
          </w:p>
        </w:tc>
        <w:tc>
          <w:tcPr>
            <w:tcW w:w="144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 w:val="0"/>
                <w:color w:val="000000"/>
                <w:kern w:val="24"/>
                <w:sz w:val="18"/>
                <w:szCs w:val="18"/>
                <w:lang w:eastAsia="es-CL"/>
              </w:rPr>
              <w:t>12.689.047</w:t>
            </w:r>
          </w:p>
        </w:tc>
        <w:tc>
          <w:tcPr>
            <w:tcW w:w="144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 w:val="0"/>
                <w:color w:val="000000"/>
                <w:kern w:val="24"/>
                <w:sz w:val="18"/>
                <w:szCs w:val="18"/>
                <w:lang w:eastAsia="es-CL"/>
              </w:rPr>
              <w:t>12.891.507</w:t>
            </w:r>
          </w:p>
        </w:tc>
        <w:tc>
          <w:tcPr>
            <w:tcW w:w="133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 w:val="0"/>
                <w:color w:val="000000"/>
                <w:kern w:val="24"/>
                <w:sz w:val="18"/>
                <w:szCs w:val="18"/>
                <w:lang w:eastAsia="es-CL"/>
              </w:rPr>
              <w:t>202.460</w:t>
            </w:r>
          </w:p>
        </w:tc>
        <w:tc>
          <w:tcPr>
            <w:tcW w:w="110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 w:val="0"/>
                <w:color w:val="000000"/>
                <w:kern w:val="24"/>
                <w:sz w:val="18"/>
                <w:szCs w:val="18"/>
                <w:lang w:eastAsia="es-CL"/>
              </w:rPr>
              <w:t>1,6%</w:t>
            </w:r>
          </w:p>
        </w:tc>
      </w:tr>
      <w:tr>
        <w:trPr>
          <w:trHeight w:val="755"/>
        </w:trPr>
        <w:tc>
          <w:tcPr>
            <w:tcW w:w="399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left"/>
              <w:textAlignment w:val="center"/>
              <w:rPr>
                <w:rFonts w:eastAsia="Times New Roman"/>
                <w:b w:val="0"/>
                <w:sz w:val="18"/>
                <w:szCs w:val="18"/>
                <w:lang w:eastAsia="es-CL"/>
              </w:rPr>
            </w:pPr>
            <w:r>
              <w:rPr>
                <w:rFonts w:eastAsia="Times New Roman"/>
                <w:b w:val="0"/>
                <w:color w:val="000000"/>
                <w:kern w:val="24"/>
                <w:sz w:val="18"/>
                <w:szCs w:val="18"/>
                <w:lang w:eastAsia="es-CL"/>
              </w:rPr>
              <w:t>Bienes y Servicios de Consumo  (</w:t>
            </w:r>
            <w:r>
              <w:rPr>
                <w:rFonts w:eastAsia="Times New Roman"/>
                <w:bCs/>
                <w:color w:val="000000"/>
                <w:kern w:val="24"/>
                <w:sz w:val="18"/>
                <w:szCs w:val="18"/>
                <w:lang w:eastAsia="es-CL"/>
              </w:rPr>
              <w:t>Subtítulo 22</w:t>
            </w:r>
            <w:r>
              <w:rPr>
                <w:rFonts w:eastAsia="Times New Roman"/>
                <w:b w:val="0"/>
                <w:color w:val="000000"/>
                <w:kern w:val="24"/>
                <w:sz w:val="18"/>
                <w:szCs w:val="18"/>
                <w:lang w:eastAsia="es-CL"/>
              </w:rPr>
              <w:t>)</w:t>
            </w:r>
          </w:p>
        </w:tc>
        <w:tc>
          <w:tcPr>
            <w:tcW w:w="144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 w:val="0"/>
                <w:color w:val="000000"/>
                <w:kern w:val="24"/>
                <w:sz w:val="18"/>
                <w:szCs w:val="18"/>
                <w:lang w:eastAsia="es-CL"/>
              </w:rPr>
              <w:t>5.502.040</w:t>
            </w:r>
          </w:p>
        </w:tc>
        <w:tc>
          <w:tcPr>
            <w:tcW w:w="144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 w:val="0"/>
                <w:color w:val="000000"/>
                <w:kern w:val="24"/>
                <w:sz w:val="18"/>
                <w:szCs w:val="18"/>
                <w:lang w:eastAsia="es-CL"/>
              </w:rPr>
              <w:t>5.178.092</w:t>
            </w:r>
          </w:p>
        </w:tc>
        <w:tc>
          <w:tcPr>
            <w:tcW w:w="133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 w:val="0"/>
                <w:color w:val="000000"/>
                <w:kern w:val="24"/>
                <w:sz w:val="18"/>
                <w:szCs w:val="18"/>
                <w:lang w:eastAsia="es-CL"/>
              </w:rPr>
              <w:t>-323.948</w:t>
            </w:r>
          </w:p>
        </w:tc>
        <w:tc>
          <w:tcPr>
            <w:tcW w:w="110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 w:val="0"/>
                <w:color w:val="000000"/>
                <w:kern w:val="24"/>
                <w:sz w:val="18"/>
                <w:szCs w:val="18"/>
                <w:lang w:eastAsia="es-CL"/>
              </w:rPr>
              <w:t>-5,9%</w:t>
            </w:r>
          </w:p>
        </w:tc>
      </w:tr>
      <w:tr>
        <w:trPr>
          <w:trHeight w:val="711"/>
        </w:trPr>
        <w:tc>
          <w:tcPr>
            <w:tcW w:w="399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left"/>
              <w:textAlignment w:val="center"/>
              <w:rPr>
                <w:rFonts w:eastAsia="Times New Roman"/>
                <w:b w:val="0"/>
                <w:sz w:val="18"/>
                <w:szCs w:val="18"/>
                <w:lang w:eastAsia="es-CL"/>
              </w:rPr>
            </w:pPr>
            <w:r>
              <w:rPr>
                <w:rFonts w:eastAsia="Times New Roman"/>
                <w:b w:val="0"/>
                <w:color w:val="000000"/>
                <w:kern w:val="24"/>
                <w:sz w:val="18"/>
                <w:szCs w:val="18"/>
                <w:lang w:eastAsia="es-CL"/>
              </w:rPr>
              <w:t>Transferencias Corrientes  (</w:t>
            </w:r>
            <w:r>
              <w:rPr>
                <w:rFonts w:eastAsia="Times New Roman"/>
                <w:bCs/>
                <w:color w:val="000000"/>
                <w:kern w:val="24"/>
                <w:sz w:val="18"/>
                <w:szCs w:val="18"/>
                <w:lang w:eastAsia="es-CL"/>
              </w:rPr>
              <w:t>Subtítulo 24</w:t>
            </w:r>
            <w:r>
              <w:rPr>
                <w:rFonts w:eastAsia="Times New Roman"/>
                <w:b w:val="0"/>
                <w:color w:val="000000"/>
                <w:kern w:val="24"/>
                <w:sz w:val="18"/>
                <w:szCs w:val="18"/>
                <w:lang w:eastAsia="es-CL"/>
              </w:rPr>
              <w:t>)</w:t>
            </w:r>
          </w:p>
        </w:tc>
        <w:tc>
          <w:tcPr>
            <w:tcW w:w="144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 w:val="0"/>
                <w:color w:val="000000"/>
                <w:kern w:val="24"/>
                <w:sz w:val="18"/>
                <w:szCs w:val="18"/>
                <w:lang w:eastAsia="es-CL"/>
              </w:rPr>
              <w:t>35.554</w:t>
            </w:r>
          </w:p>
        </w:tc>
        <w:tc>
          <w:tcPr>
            <w:tcW w:w="144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 w:val="0"/>
                <w:color w:val="000000"/>
                <w:kern w:val="24"/>
                <w:sz w:val="18"/>
                <w:szCs w:val="18"/>
                <w:lang w:eastAsia="es-CL"/>
              </w:rPr>
              <w:t>37.799</w:t>
            </w:r>
          </w:p>
        </w:tc>
        <w:tc>
          <w:tcPr>
            <w:tcW w:w="133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 w:val="0"/>
                <w:color w:val="000000"/>
                <w:kern w:val="24"/>
                <w:sz w:val="18"/>
                <w:szCs w:val="18"/>
                <w:lang w:eastAsia="es-CL"/>
              </w:rPr>
              <w:t>2.245</w:t>
            </w:r>
          </w:p>
        </w:tc>
        <w:tc>
          <w:tcPr>
            <w:tcW w:w="110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 w:val="0"/>
                <w:color w:val="000000"/>
                <w:kern w:val="24"/>
                <w:sz w:val="18"/>
                <w:szCs w:val="18"/>
                <w:lang w:eastAsia="es-CL"/>
              </w:rPr>
              <w:t>6,3%</w:t>
            </w:r>
          </w:p>
        </w:tc>
      </w:tr>
      <w:tr>
        <w:trPr>
          <w:trHeight w:val="384"/>
        </w:trPr>
        <w:tc>
          <w:tcPr>
            <w:tcW w:w="399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left"/>
              <w:textAlignment w:val="center"/>
              <w:rPr>
                <w:rFonts w:eastAsia="Times New Roman"/>
                <w:b w:val="0"/>
                <w:sz w:val="18"/>
                <w:szCs w:val="18"/>
                <w:lang w:eastAsia="es-CL"/>
              </w:rPr>
            </w:pPr>
            <w:r>
              <w:rPr>
                <w:rFonts w:eastAsia="Times New Roman"/>
                <w:b w:val="0"/>
                <w:color w:val="000000"/>
                <w:kern w:val="24"/>
                <w:sz w:val="18"/>
                <w:szCs w:val="18"/>
                <w:lang w:eastAsia="es-CL"/>
              </w:rPr>
              <w:t>Integros al Fisco  (</w:t>
            </w:r>
            <w:r>
              <w:rPr>
                <w:rFonts w:eastAsia="Times New Roman"/>
                <w:bCs/>
                <w:color w:val="000000"/>
                <w:kern w:val="24"/>
                <w:sz w:val="18"/>
                <w:szCs w:val="18"/>
                <w:lang w:eastAsia="es-CL"/>
              </w:rPr>
              <w:t>Subtítulo 25</w:t>
            </w:r>
            <w:r>
              <w:rPr>
                <w:rFonts w:eastAsia="Times New Roman"/>
                <w:b w:val="0"/>
                <w:color w:val="000000"/>
                <w:kern w:val="24"/>
                <w:sz w:val="18"/>
                <w:szCs w:val="18"/>
                <w:lang w:eastAsia="es-CL"/>
              </w:rPr>
              <w:t>)</w:t>
            </w:r>
          </w:p>
        </w:tc>
        <w:tc>
          <w:tcPr>
            <w:tcW w:w="144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 w:val="0"/>
                <w:color w:val="000000"/>
                <w:kern w:val="24"/>
                <w:sz w:val="18"/>
                <w:szCs w:val="18"/>
                <w:lang w:eastAsia="es-CL"/>
              </w:rPr>
              <w:t>37.737.277</w:t>
            </w:r>
          </w:p>
        </w:tc>
        <w:tc>
          <w:tcPr>
            <w:tcW w:w="144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 w:val="0"/>
                <w:color w:val="000000"/>
                <w:kern w:val="24"/>
                <w:sz w:val="18"/>
                <w:szCs w:val="18"/>
                <w:lang w:eastAsia="es-CL"/>
              </w:rPr>
              <w:t>42.731.735</w:t>
            </w:r>
          </w:p>
        </w:tc>
        <w:tc>
          <w:tcPr>
            <w:tcW w:w="133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 w:val="0"/>
                <w:color w:val="000000"/>
                <w:kern w:val="24"/>
                <w:sz w:val="18"/>
                <w:szCs w:val="18"/>
                <w:lang w:eastAsia="es-CL"/>
              </w:rPr>
              <w:t>4.994.458</w:t>
            </w:r>
          </w:p>
        </w:tc>
        <w:tc>
          <w:tcPr>
            <w:tcW w:w="110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 w:val="0"/>
                <w:color w:val="000000"/>
                <w:kern w:val="24"/>
                <w:sz w:val="18"/>
                <w:szCs w:val="18"/>
                <w:lang w:eastAsia="es-CL"/>
              </w:rPr>
              <w:t>13,2%</w:t>
            </w:r>
          </w:p>
        </w:tc>
      </w:tr>
      <w:tr>
        <w:trPr>
          <w:trHeight w:val="755"/>
        </w:trPr>
        <w:tc>
          <w:tcPr>
            <w:tcW w:w="399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left"/>
              <w:textAlignment w:val="center"/>
              <w:rPr>
                <w:rFonts w:eastAsia="Times New Roman"/>
                <w:b w:val="0"/>
                <w:sz w:val="18"/>
                <w:szCs w:val="18"/>
                <w:lang w:eastAsia="es-CL"/>
              </w:rPr>
            </w:pPr>
            <w:r>
              <w:rPr>
                <w:rFonts w:eastAsia="Times New Roman"/>
                <w:b w:val="0"/>
                <w:color w:val="000000"/>
                <w:kern w:val="24"/>
                <w:sz w:val="18"/>
                <w:szCs w:val="18"/>
                <w:lang w:eastAsia="es-CL"/>
              </w:rPr>
              <w:t>Adquisición de Activos no financieros  (</w:t>
            </w:r>
            <w:r>
              <w:rPr>
                <w:rFonts w:eastAsia="Times New Roman"/>
                <w:bCs/>
                <w:color w:val="000000"/>
                <w:kern w:val="24"/>
                <w:sz w:val="18"/>
                <w:szCs w:val="18"/>
                <w:lang w:eastAsia="es-CL"/>
              </w:rPr>
              <w:t>Subtítulo 29</w:t>
            </w:r>
            <w:r>
              <w:rPr>
                <w:rFonts w:eastAsia="Times New Roman"/>
                <w:b w:val="0"/>
                <w:color w:val="000000"/>
                <w:kern w:val="24"/>
                <w:sz w:val="18"/>
                <w:szCs w:val="18"/>
                <w:lang w:eastAsia="es-CL"/>
              </w:rPr>
              <w:t>)</w:t>
            </w:r>
          </w:p>
        </w:tc>
        <w:tc>
          <w:tcPr>
            <w:tcW w:w="144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 w:val="0"/>
                <w:color w:val="000000"/>
                <w:kern w:val="24"/>
                <w:sz w:val="18"/>
                <w:szCs w:val="18"/>
                <w:lang w:eastAsia="es-CL"/>
              </w:rPr>
              <w:t>90.742</w:t>
            </w:r>
          </w:p>
        </w:tc>
        <w:tc>
          <w:tcPr>
            <w:tcW w:w="144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 w:val="0"/>
                <w:color w:val="000000"/>
                <w:kern w:val="24"/>
                <w:sz w:val="18"/>
                <w:szCs w:val="18"/>
                <w:lang w:eastAsia="es-CL"/>
              </w:rPr>
              <w:t>173.253</w:t>
            </w:r>
          </w:p>
        </w:tc>
        <w:tc>
          <w:tcPr>
            <w:tcW w:w="133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 w:val="0"/>
                <w:color w:val="000000"/>
                <w:kern w:val="24"/>
                <w:sz w:val="18"/>
                <w:szCs w:val="18"/>
                <w:lang w:eastAsia="es-CL"/>
              </w:rPr>
              <w:t>82.511</w:t>
            </w:r>
          </w:p>
        </w:tc>
        <w:tc>
          <w:tcPr>
            <w:tcW w:w="110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 w:val="0"/>
                <w:color w:val="000000"/>
                <w:kern w:val="24"/>
                <w:sz w:val="18"/>
                <w:szCs w:val="18"/>
                <w:lang w:eastAsia="es-CL"/>
              </w:rPr>
              <w:t>90,9%</w:t>
            </w:r>
          </w:p>
        </w:tc>
      </w:tr>
      <w:tr>
        <w:trPr>
          <w:trHeight w:val="384"/>
        </w:trPr>
        <w:tc>
          <w:tcPr>
            <w:tcW w:w="399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left"/>
              <w:textAlignment w:val="center"/>
              <w:rPr>
                <w:rFonts w:eastAsia="Times New Roman"/>
                <w:b w:val="0"/>
                <w:sz w:val="18"/>
                <w:szCs w:val="18"/>
                <w:lang w:eastAsia="es-CL"/>
              </w:rPr>
            </w:pPr>
            <w:r>
              <w:rPr>
                <w:rFonts w:eastAsia="Times New Roman"/>
                <w:b w:val="0"/>
                <w:color w:val="000000"/>
                <w:kern w:val="24"/>
                <w:sz w:val="18"/>
                <w:szCs w:val="18"/>
                <w:lang w:eastAsia="es-CL"/>
              </w:rPr>
              <w:t>Servicio de la Deuda  (</w:t>
            </w:r>
            <w:r>
              <w:rPr>
                <w:rFonts w:eastAsia="Times New Roman"/>
                <w:bCs/>
                <w:color w:val="000000"/>
                <w:kern w:val="24"/>
                <w:sz w:val="18"/>
                <w:szCs w:val="18"/>
                <w:lang w:eastAsia="es-CL"/>
              </w:rPr>
              <w:t>Subtítulo 34</w:t>
            </w:r>
            <w:r>
              <w:rPr>
                <w:rFonts w:eastAsia="Times New Roman"/>
                <w:b w:val="0"/>
                <w:color w:val="000000"/>
                <w:kern w:val="24"/>
                <w:sz w:val="18"/>
                <w:szCs w:val="18"/>
                <w:lang w:eastAsia="es-CL"/>
              </w:rPr>
              <w:t>)</w:t>
            </w:r>
          </w:p>
        </w:tc>
        <w:tc>
          <w:tcPr>
            <w:tcW w:w="144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 w:val="0"/>
                <w:color w:val="000000"/>
                <w:kern w:val="24"/>
                <w:sz w:val="18"/>
                <w:szCs w:val="18"/>
                <w:lang w:eastAsia="es-CL"/>
              </w:rPr>
              <w:t>10</w:t>
            </w:r>
          </w:p>
        </w:tc>
        <w:tc>
          <w:tcPr>
            <w:tcW w:w="144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 w:val="0"/>
                <w:color w:val="000000"/>
                <w:kern w:val="24"/>
                <w:sz w:val="18"/>
                <w:szCs w:val="18"/>
                <w:lang w:eastAsia="es-CL"/>
              </w:rPr>
              <w:t>0</w:t>
            </w:r>
          </w:p>
        </w:tc>
        <w:tc>
          <w:tcPr>
            <w:tcW w:w="133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 w:val="0"/>
                <w:color w:val="000000"/>
                <w:kern w:val="24"/>
                <w:sz w:val="18"/>
                <w:szCs w:val="18"/>
                <w:lang w:eastAsia="es-CL"/>
              </w:rPr>
              <w:t>-10</w:t>
            </w:r>
          </w:p>
        </w:tc>
        <w:tc>
          <w:tcPr>
            <w:tcW w:w="110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 w:val="0"/>
                <w:color w:val="000000"/>
                <w:kern w:val="24"/>
                <w:sz w:val="18"/>
                <w:szCs w:val="18"/>
                <w:lang w:eastAsia="es-CL"/>
              </w:rPr>
              <w:t>-100%</w:t>
            </w:r>
          </w:p>
        </w:tc>
      </w:tr>
      <w:tr>
        <w:trPr>
          <w:trHeight w:val="384"/>
        </w:trPr>
        <w:tc>
          <w:tcPr>
            <w:tcW w:w="3998" w:type="dxa"/>
            <w:tcBorders>
              <w:top w:val="single" w:sz="8" w:space="0" w:color="FFFFFF"/>
              <w:left w:val="single" w:sz="8" w:space="0" w:color="FFFFFF"/>
              <w:bottom w:val="single" w:sz="8" w:space="0" w:color="FFFFFF"/>
              <w:right w:val="single" w:sz="8" w:space="0" w:color="FFFFFF"/>
            </w:tcBorders>
            <w:shd w:val="clear" w:color="auto" w:fill="B9CDE5"/>
            <w:tcMar>
              <w:top w:w="15" w:type="dxa"/>
              <w:left w:w="15" w:type="dxa"/>
              <w:bottom w:w="0" w:type="dxa"/>
              <w:right w:w="15" w:type="dxa"/>
            </w:tcMar>
            <w:vAlign w:val="center"/>
            <w:hideMark/>
          </w:tcPr>
          <w:p>
            <w:pPr>
              <w:tabs>
                <w:tab w:val="clear" w:pos="2835"/>
              </w:tabs>
              <w:jc w:val="left"/>
              <w:textAlignment w:val="center"/>
              <w:rPr>
                <w:rFonts w:eastAsia="Times New Roman"/>
                <w:b w:val="0"/>
                <w:sz w:val="18"/>
                <w:szCs w:val="18"/>
                <w:lang w:eastAsia="es-CL"/>
              </w:rPr>
            </w:pPr>
            <w:r>
              <w:rPr>
                <w:rFonts w:eastAsia="Times New Roman"/>
                <w:bCs/>
                <w:color w:val="000000"/>
                <w:kern w:val="24"/>
                <w:sz w:val="18"/>
                <w:szCs w:val="18"/>
                <w:lang w:eastAsia="es-CL"/>
              </w:rPr>
              <w:t xml:space="preserve">Gasto neto </w:t>
            </w:r>
            <w:r>
              <w:rPr>
                <w:rFonts w:eastAsia="Times New Roman"/>
                <w:b w:val="0"/>
                <w:color w:val="000000"/>
                <w:kern w:val="24"/>
                <w:sz w:val="18"/>
                <w:szCs w:val="18"/>
                <w:lang w:eastAsia="es-CL"/>
              </w:rPr>
              <w:t>(*)</w:t>
            </w:r>
          </w:p>
        </w:tc>
        <w:tc>
          <w:tcPr>
            <w:tcW w:w="1448" w:type="dxa"/>
            <w:tcBorders>
              <w:top w:val="single" w:sz="8" w:space="0" w:color="FFFFFF"/>
              <w:left w:val="single" w:sz="8" w:space="0" w:color="FFFFFF"/>
              <w:bottom w:val="single" w:sz="8" w:space="0" w:color="FFFFFF"/>
              <w:right w:val="single" w:sz="8" w:space="0" w:color="FFFFFF"/>
            </w:tcBorders>
            <w:shd w:val="clear" w:color="auto" w:fill="B9CDE5"/>
            <w:tcMar>
              <w:top w:w="15" w:type="dxa"/>
              <w:left w:w="15" w:type="dxa"/>
              <w:bottom w:w="0" w:type="dxa"/>
              <w:right w:w="15"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Cs/>
                <w:color w:val="000000"/>
                <w:kern w:val="24"/>
                <w:sz w:val="18"/>
                <w:szCs w:val="18"/>
                <w:lang w:eastAsia="es-CL"/>
              </w:rPr>
              <w:t>18.317.451</w:t>
            </w:r>
          </w:p>
        </w:tc>
        <w:tc>
          <w:tcPr>
            <w:tcW w:w="1448" w:type="dxa"/>
            <w:tcBorders>
              <w:top w:val="single" w:sz="8" w:space="0" w:color="FFFFFF"/>
              <w:left w:val="single" w:sz="8" w:space="0" w:color="FFFFFF"/>
              <w:bottom w:val="single" w:sz="8" w:space="0" w:color="FFFFFF"/>
              <w:right w:val="single" w:sz="8" w:space="0" w:color="FFFFFF"/>
            </w:tcBorders>
            <w:shd w:val="clear" w:color="auto" w:fill="B9CDE5"/>
            <w:tcMar>
              <w:top w:w="15" w:type="dxa"/>
              <w:left w:w="15" w:type="dxa"/>
              <w:bottom w:w="0" w:type="dxa"/>
              <w:right w:w="15"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Cs/>
                <w:color w:val="000000"/>
                <w:kern w:val="24"/>
                <w:sz w:val="18"/>
                <w:szCs w:val="18"/>
                <w:lang w:eastAsia="es-CL"/>
              </w:rPr>
              <w:t>18.280.719</w:t>
            </w:r>
          </w:p>
        </w:tc>
        <w:tc>
          <w:tcPr>
            <w:tcW w:w="1333" w:type="dxa"/>
            <w:tcBorders>
              <w:top w:val="single" w:sz="8" w:space="0" w:color="FFFFFF"/>
              <w:left w:val="single" w:sz="8" w:space="0" w:color="FFFFFF"/>
              <w:bottom w:val="single" w:sz="8" w:space="0" w:color="FFFFFF"/>
              <w:right w:val="single" w:sz="8" w:space="0" w:color="FFFFFF"/>
            </w:tcBorders>
            <w:shd w:val="clear" w:color="auto" w:fill="B9CDE5"/>
            <w:tcMar>
              <w:top w:w="15" w:type="dxa"/>
              <w:left w:w="15" w:type="dxa"/>
              <w:bottom w:w="0" w:type="dxa"/>
              <w:right w:w="15"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Cs/>
                <w:color w:val="000000"/>
                <w:kern w:val="24"/>
                <w:sz w:val="18"/>
                <w:szCs w:val="18"/>
                <w:lang w:eastAsia="es-CL"/>
              </w:rPr>
              <w:t>-36.732</w:t>
            </w:r>
          </w:p>
        </w:tc>
        <w:tc>
          <w:tcPr>
            <w:tcW w:w="1102" w:type="dxa"/>
            <w:tcBorders>
              <w:top w:val="single" w:sz="8" w:space="0" w:color="FFFFFF"/>
              <w:left w:val="single" w:sz="8" w:space="0" w:color="FFFFFF"/>
              <w:bottom w:val="single" w:sz="8" w:space="0" w:color="FFFFFF"/>
              <w:right w:val="single" w:sz="8" w:space="0" w:color="FFFFFF"/>
            </w:tcBorders>
            <w:shd w:val="clear" w:color="auto" w:fill="B9CDE5"/>
            <w:tcMar>
              <w:top w:w="15" w:type="dxa"/>
              <w:left w:w="15" w:type="dxa"/>
              <w:bottom w:w="0" w:type="dxa"/>
              <w:right w:w="15"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Cs/>
                <w:color w:val="000000"/>
                <w:kern w:val="24"/>
                <w:sz w:val="18"/>
                <w:szCs w:val="18"/>
                <w:lang w:eastAsia="es-CL"/>
              </w:rPr>
              <w:t>-0,2%</w:t>
            </w:r>
          </w:p>
        </w:tc>
      </w:tr>
    </w:tbl>
    <w:p>
      <w:r>
        <w:t>(*) Gasto de Estado de Operaciones = GASTOS-(Subt.25+30+32+34+35) + Ítem25.01+Intereses y Otros Gastos Financieros de Deuda</w:t>
      </w:r>
    </w:p>
    <w:p/>
    <w:p>
      <w:pPr>
        <w:rPr>
          <w:b w:val="0"/>
        </w:rPr>
      </w:pPr>
      <w:r>
        <w:rPr>
          <w:b w:val="0"/>
        </w:rPr>
        <w:tab/>
        <w:t>Respecto al presupuesto mismo, la variación existente entre la Ley de Presupuestos del año 2016 y la de 2017, es de una disminución de un 0,2%, en el gasto neto.</w:t>
      </w:r>
    </w:p>
    <w:p>
      <w:pPr>
        <w:rPr>
          <w:b w:val="0"/>
        </w:rPr>
      </w:pPr>
    </w:p>
    <w:p>
      <w:pPr>
        <w:rPr>
          <w:b w:val="0"/>
        </w:rPr>
      </w:pPr>
      <w:r>
        <w:rPr>
          <w:b w:val="0"/>
        </w:rPr>
        <w:tab/>
        <w:t>En seguida se refirió al incremento o disminución del  presupuesto para el año 2017, mediante el análisis de los siguientes Subtítulos:</w:t>
      </w:r>
    </w:p>
    <w:p>
      <w:pPr>
        <w:rPr>
          <w:b w:val="0"/>
        </w:rPr>
      </w:pPr>
    </w:p>
    <w:p>
      <w:r>
        <w:t>- Subtitulo 21: Gasto en Personal</w:t>
      </w:r>
    </w:p>
    <w:p/>
    <w:p>
      <w:pPr>
        <w:rPr>
          <w:b w:val="0"/>
        </w:rPr>
      </w:pPr>
      <w:r>
        <w:rPr>
          <w:b w:val="0"/>
        </w:rPr>
        <w:tab/>
        <w:t>Se registra un incremento de un 1,6%, por el aumento de 8 funcionarios asociados a la implementación de la Ley N°20.880 – de Probidad, que regula los mecanismos de prevención del conflicto de intereses (4), implementación Ley de Medios de Prepago (4).</w:t>
      </w:r>
    </w:p>
    <w:p>
      <w:pPr>
        <w:rPr>
          <w:b w:val="0"/>
        </w:rPr>
      </w:pPr>
    </w:p>
    <w:p>
      <w:r>
        <w:t>- Subtitulo 22: Bienes y Servicios de Consumo</w:t>
      </w:r>
    </w:p>
    <w:p/>
    <w:p>
      <w:pPr>
        <w:rPr>
          <w:b w:val="0"/>
        </w:rPr>
      </w:pPr>
      <w:r>
        <w:rPr>
          <w:b w:val="0"/>
        </w:rPr>
        <w:tab/>
        <w:t>Se registra una disminución -5,9% respecto de la Ley de Presupuestos 2016, producto de recursos aprobados por única vez para el desarrollo y ejecución de la 19° Conferencia Internacional de Supervisores Bancarios.</w:t>
      </w:r>
    </w:p>
    <w:p>
      <w:pPr>
        <w:rPr>
          <w:b w:val="0"/>
        </w:rPr>
      </w:pPr>
    </w:p>
    <w:p>
      <w:r>
        <w:t>- Subtitulo 24: Transferencias Corrientes</w:t>
      </w:r>
    </w:p>
    <w:p/>
    <w:p>
      <w:pPr>
        <w:rPr>
          <w:b w:val="0"/>
        </w:rPr>
      </w:pPr>
      <w:r>
        <w:rPr>
          <w:b w:val="0"/>
        </w:rPr>
        <w:tab/>
        <w:t>Esta partida presenta un incremento de 6,3%, que se explica por el aumento de la contribución anual de esta Superintendencia como miembro de la Asociación de Supervisores Bancarios como miembro a la INFE (International Network on Financial Education - OCDE).</w:t>
      </w:r>
    </w:p>
    <w:p>
      <w:pPr>
        <w:rPr>
          <w:b w:val="0"/>
        </w:rPr>
      </w:pPr>
    </w:p>
    <w:p>
      <w:r>
        <w:t>- Subtitulo 29: Adquisición de activos no financieros</w:t>
      </w:r>
    </w:p>
    <w:p/>
    <w:p>
      <w:pPr>
        <w:rPr>
          <w:b w:val="0"/>
        </w:rPr>
      </w:pPr>
      <w:r>
        <w:rPr>
          <w:b w:val="0"/>
        </w:rPr>
        <w:tab/>
        <w:t>Se incrementó en un 90,9% que se explica principalmente por la adquisición de mobiliarios producto de la remodelación de oficinas que se efectuará durante el año 2017, con motivo de la implementación de las Leyes de Probidad y de Medios de Prepagos donde se requerirá contratar a nuevos profesionales que apoyen dicha implementación.</w:t>
      </w:r>
    </w:p>
    <w:p>
      <w:pPr>
        <w:rPr>
          <w:b w:val="0"/>
        </w:rPr>
      </w:pPr>
    </w:p>
    <w:p>
      <w:pPr>
        <w:rPr>
          <w:b w:val="0"/>
        </w:rPr>
      </w:pPr>
      <w:r>
        <w:rPr>
          <w:b w:val="0"/>
        </w:rPr>
        <w:tab/>
        <w:t xml:space="preserve">A continuación se refirió a las metas estratégicas, que son las siguientes: </w:t>
      </w:r>
    </w:p>
    <w:p>
      <w:pPr>
        <w:rPr>
          <w:b w:val="0"/>
        </w:rPr>
      </w:pPr>
    </w:p>
    <w:p>
      <w:pPr>
        <w:jc w:val="center"/>
      </w:pPr>
      <w:r>
        <w:t>Metas estratégicas 2017</w:t>
      </w:r>
    </w:p>
    <w:p/>
    <w:p>
      <w:pPr>
        <w:rPr>
          <w:b w:val="0"/>
        </w:rPr>
      </w:pPr>
      <w:r>
        <w:rPr>
          <w:b w:val="0"/>
        </w:rPr>
        <w:tab/>
        <w:t>1.- Mantener fiscalización eficiente y eficaz para el continuo fortalecimiento de los medios de pago, la solvencia y la gestión de las instituciones fiscalizadas. Refleja el trabajo normativo y regulatorio que hacen año a año.</w:t>
      </w:r>
    </w:p>
    <w:p>
      <w:pPr>
        <w:rPr>
          <w:b w:val="0"/>
        </w:rPr>
      </w:pPr>
    </w:p>
    <w:p>
      <w:pPr>
        <w:rPr>
          <w:b w:val="0"/>
        </w:rPr>
      </w:pPr>
      <w:r>
        <w:rPr>
          <w:b w:val="0"/>
        </w:rPr>
        <w:tab/>
        <w:t xml:space="preserve">2.- Consolidar Fiscalización de la Tasa Máxima Convencional. </w:t>
      </w:r>
    </w:p>
    <w:p>
      <w:pPr>
        <w:rPr>
          <w:b w:val="0"/>
        </w:rPr>
      </w:pPr>
    </w:p>
    <w:p>
      <w:pPr>
        <w:rPr>
          <w:b w:val="0"/>
        </w:rPr>
      </w:pPr>
      <w:r>
        <w:rPr>
          <w:b w:val="0"/>
        </w:rPr>
        <w:t>- Ajustes Legales.</w:t>
      </w:r>
    </w:p>
    <w:p>
      <w:pPr>
        <w:rPr>
          <w:b w:val="0"/>
        </w:rPr>
      </w:pPr>
      <w:r>
        <w:rPr>
          <w:b w:val="0"/>
        </w:rPr>
        <w:t>- Procesos Sancionatorios y Reclamaciones.</w:t>
      </w:r>
    </w:p>
    <w:p>
      <w:pPr>
        <w:rPr>
          <w:b w:val="0"/>
        </w:rPr>
      </w:pPr>
    </w:p>
    <w:p>
      <w:pPr>
        <w:rPr>
          <w:b w:val="0"/>
        </w:rPr>
      </w:pPr>
      <w:r>
        <w:rPr>
          <w:b w:val="0"/>
        </w:rPr>
        <w:tab/>
        <w:t>3.- Tramitación e Implementación de la Nueva Ley de Bancos.</w:t>
      </w:r>
    </w:p>
    <w:p>
      <w:pPr>
        <w:rPr>
          <w:b w:val="0"/>
        </w:rPr>
      </w:pPr>
    </w:p>
    <w:p>
      <w:pPr>
        <w:rPr>
          <w:b w:val="0"/>
        </w:rPr>
      </w:pPr>
      <w:r>
        <w:rPr>
          <w:b w:val="0"/>
        </w:rPr>
        <w:t>- Preparación de Informes Técnicos.</w:t>
      </w:r>
    </w:p>
    <w:p>
      <w:pPr>
        <w:rPr>
          <w:b w:val="0"/>
        </w:rPr>
      </w:pPr>
      <w:r>
        <w:rPr>
          <w:b w:val="0"/>
        </w:rPr>
        <w:t>- Inicio de trabajo conjunto con el Banco Central.</w:t>
      </w:r>
    </w:p>
    <w:p>
      <w:pPr>
        <w:rPr>
          <w:b w:val="0"/>
        </w:rPr>
      </w:pPr>
    </w:p>
    <w:p>
      <w:pPr>
        <w:rPr>
          <w:b w:val="0"/>
        </w:rPr>
      </w:pPr>
      <w:r>
        <w:rPr>
          <w:b w:val="0"/>
        </w:rPr>
        <w:tab/>
        <w:t>4.- Mantener actualizada la normativa vigente y perfeccionar la regulación del mercado cuando sea requerido.</w:t>
      </w:r>
    </w:p>
    <w:p>
      <w:pPr>
        <w:rPr>
          <w:b w:val="0"/>
        </w:rPr>
      </w:pPr>
    </w:p>
    <w:p>
      <w:pPr>
        <w:rPr>
          <w:b w:val="0"/>
        </w:rPr>
      </w:pPr>
      <w:r>
        <w:rPr>
          <w:b w:val="0"/>
        </w:rPr>
        <w:tab/>
      </w:r>
      <w:r>
        <w:rPr>
          <w:b w:val="0"/>
        </w:rPr>
        <w:tab/>
        <w:t>Finalmente, destacó, entre los productos que han realizado durante los años 2014-2015 y que piensan repetir, el último informe de la tasa máxima convencional. Además, hay otros informes que están relacionados con transparencia, rendición de cuentas y accountability que lo ha hecho la Superintendencia sin ninguna obligación de por medio</w:t>
      </w:r>
    </w:p>
    <w:p>
      <w:pPr>
        <w:rPr>
          <w:b w:val="0"/>
        </w:rPr>
      </w:pPr>
    </w:p>
    <w:p>
      <w:pPr>
        <w:rPr>
          <w:rFonts w:eastAsia="Times New Roman"/>
          <w:lang w:eastAsia="es-ES"/>
        </w:rPr>
      </w:pPr>
      <w:r>
        <w:rPr>
          <w:rFonts w:eastAsia="Times New Roman"/>
          <w:lang w:eastAsia="es-ES"/>
        </w:rPr>
        <w:tab/>
        <w:t>Terminada la presentación, los señores parlamentarios formularon las siguientes consultas:</w:t>
      </w:r>
    </w:p>
    <w:p>
      <w:pPr>
        <w:rPr>
          <w:rFonts w:eastAsia="Times New Roman"/>
          <w:lang w:eastAsia="es-ES"/>
        </w:rPr>
      </w:pPr>
    </w:p>
    <w:p>
      <w:pPr>
        <w:rPr>
          <w:rFonts w:eastAsia="Times New Roman"/>
          <w:b w:val="0"/>
          <w:lang w:eastAsia="es-ES"/>
        </w:rPr>
      </w:pPr>
      <w:r>
        <w:rPr>
          <w:rFonts w:eastAsia="Times New Roman"/>
          <w:lang w:eastAsia="es-ES"/>
        </w:rPr>
        <w:tab/>
        <w:t xml:space="preserve">El Honorable Diputado señor Silva </w:t>
      </w:r>
      <w:r>
        <w:rPr>
          <w:rFonts w:eastAsia="Times New Roman"/>
          <w:b w:val="0"/>
          <w:lang w:eastAsia="es-ES"/>
        </w:rPr>
        <w:t>comentó que de acuerdo a las cifras comparadas exhibidas entre el presupuesto del año 2016 y el del año 2017, el gasto neto de este presupuesto disminuye en un 0,2% pero el presupuesto de la Superintendencia aumenta en un 8,8%. Se ha estado comparando en forma neta un 8,8%, si lo compara con lo que sucede en el presupuesto general del país que aumentó 2,7%. Solicita una explicación al respecto al señor Subsecretario de Hacienda.</w:t>
      </w:r>
    </w:p>
    <w:p>
      <w:pPr>
        <w:rPr>
          <w:rFonts w:eastAsia="Times New Roman"/>
          <w:b w:val="0"/>
          <w:lang w:eastAsia="es-ES"/>
        </w:rPr>
      </w:pPr>
    </w:p>
    <w:p>
      <w:pPr>
        <w:rPr>
          <w:rFonts w:eastAsia="Times New Roman"/>
          <w:b w:val="0"/>
          <w:lang w:eastAsia="es-ES"/>
        </w:rPr>
      </w:pPr>
      <w:r>
        <w:rPr>
          <w:rFonts w:eastAsia="Times New Roman"/>
          <w:b w:val="0"/>
          <w:lang w:eastAsia="es-ES"/>
        </w:rPr>
        <w:tab/>
        <w:t>Además, consultó respecto de la habilitación de los equipamientos para las 8 personas que se contratan, Subtítulo 29, Adquisición de Activos No Financieros, ítem 04, Mobiliario y Otros, donde se contemplan recursos por 82 millones de pesos, lo que hace alrededor de 10 millones por persona. También solicita una explicación.</w:t>
      </w:r>
    </w:p>
    <w:p>
      <w:pPr>
        <w:rPr>
          <w:rFonts w:eastAsia="Times New Roman"/>
          <w:b w:val="0"/>
          <w:lang w:eastAsia="es-ES"/>
        </w:rPr>
      </w:pPr>
    </w:p>
    <w:p>
      <w:pPr>
        <w:rPr>
          <w:rFonts w:eastAsia="Times New Roman"/>
          <w:b w:val="0"/>
          <w:lang w:eastAsia="es-ES"/>
        </w:rPr>
      </w:pPr>
      <w:r>
        <w:rPr>
          <w:rFonts w:eastAsia="Times New Roman"/>
          <w:b w:val="0"/>
          <w:lang w:eastAsia="es-ES"/>
        </w:rPr>
        <w:tab/>
      </w:r>
      <w:r>
        <w:rPr>
          <w:rFonts w:eastAsia="Times New Roman"/>
          <w:lang w:eastAsia="es-ES"/>
        </w:rPr>
        <w:tab/>
        <w:t>El Subsecretario de Hacienda, señor Alejandro Micco</w:t>
      </w:r>
      <w:r>
        <w:rPr>
          <w:rFonts w:eastAsia="Times New Roman"/>
          <w:b w:val="0"/>
          <w:lang w:eastAsia="es-ES"/>
        </w:rPr>
        <w:t xml:space="preserve"> respondió, respecto de la primera pregunta, que la Superintendencia tiene reintegros del pago que le hacen los bancos y ese tiene un aumento muy importante de un 13%. Este reintegro es ajeno al gasto de la Superintendencia. (Subtítulo 25, Integros al Fisco).</w:t>
      </w:r>
    </w:p>
    <w:p>
      <w:pPr>
        <w:rPr>
          <w:rFonts w:eastAsia="Times New Roman"/>
          <w:b w:val="0"/>
          <w:lang w:eastAsia="es-ES"/>
        </w:rPr>
      </w:pPr>
    </w:p>
    <w:p>
      <w:pPr>
        <w:rPr>
          <w:rFonts w:eastAsia="Times New Roman"/>
          <w:b w:val="0"/>
          <w:lang w:eastAsia="es-ES"/>
        </w:rPr>
      </w:pPr>
      <w:r>
        <w:rPr>
          <w:rFonts w:eastAsia="Times New Roman"/>
          <w:b w:val="0"/>
          <w:lang w:eastAsia="es-ES"/>
        </w:rPr>
        <w:tab/>
      </w:r>
      <w:r>
        <w:rPr>
          <w:rFonts w:eastAsia="Times New Roman"/>
          <w:lang w:eastAsia="es-ES"/>
        </w:rPr>
        <w:t>El señor Superintendente de Bancos e Instituciones Financieras, señor Eric Parrado,</w:t>
      </w:r>
      <w:r>
        <w:rPr>
          <w:rFonts w:eastAsia="Times New Roman"/>
          <w:b w:val="0"/>
          <w:lang w:eastAsia="es-ES"/>
        </w:rPr>
        <w:t xml:space="preserve"> manifestó que en la gran mayoría de los casos el presupuesto aumenta por el reintegro al Fisco. Hay un incremento de un 13% en los reintegros al Fisco y eso hace aumentar el promedio del gasto neto, el gasto operacional.</w:t>
      </w:r>
    </w:p>
    <w:p>
      <w:pPr>
        <w:rPr>
          <w:rFonts w:eastAsia="Times New Roman"/>
          <w:b w:val="0"/>
          <w:lang w:eastAsia="es-ES"/>
        </w:rPr>
      </w:pPr>
    </w:p>
    <w:p>
      <w:pPr>
        <w:rPr>
          <w:rFonts w:eastAsia="Times New Roman"/>
          <w:b w:val="0"/>
          <w:lang w:eastAsia="es-ES"/>
        </w:rPr>
      </w:pPr>
      <w:r>
        <w:rPr>
          <w:rFonts w:eastAsia="Times New Roman"/>
          <w:b w:val="0"/>
          <w:lang w:eastAsia="es-ES"/>
        </w:rPr>
        <w:tab/>
      </w:r>
      <w:r>
        <w:rPr>
          <w:rFonts w:eastAsia="Times New Roman"/>
          <w:lang w:eastAsia="es-ES"/>
        </w:rPr>
        <w:t xml:space="preserve">El Presidente de la Subcomisión, Honorable Diputado señor De Mussy </w:t>
      </w:r>
      <w:r>
        <w:rPr>
          <w:rFonts w:eastAsia="Times New Roman"/>
          <w:b w:val="0"/>
          <w:lang w:eastAsia="es-ES"/>
        </w:rPr>
        <w:t>consultó si el reintegro al Fisco  corresponde a lo que viene de los bancos que la Superintendencia a su vez reintegra. En seguida, consultó por qué ese aumento da una mayor recaudación.</w:t>
      </w:r>
    </w:p>
    <w:p>
      <w:pPr>
        <w:rPr>
          <w:rFonts w:eastAsia="Times New Roman"/>
          <w:b w:val="0"/>
          <w:lang w:eastAsia="es-ES"/>
        </w:rPr>
      </w:pPr>
    </w:p>
    <w:p>
      <w:pPr>
        <w:rPr>
          <w:rFonts w:eastAsia="Times New Roman"/>
          <w:b w:val="0"/>
          <w:lang w:eastAsia="es-ES"/>
        </w:rPr>
      </w:pPr>
      <w:r>
        <w:rPr>
          <w:rFonts w:eastAsia="Times New Roman"/>
          <w:b w:val="0"/>
          <w:lang w:eastAsia="es-ES"/>
        </w:rPr>
        <w:tab/>
      </w:r>
      <w:r>
        <w:rPr>
          <w:rFonts w:eastAsia="Times New Roman"/>
          <w:lang w:eastAsia="es-ES"/>
        </w:rPr>
        <w:t>El señor Superintendente de Bancos e Instituciones Financieras, señor Eric Parrado,</w:t>
      </w:r>
      <w:r>
        <w:rPr>
          <w:rFonts w:eastAsia="Times New Roman"/>
          <w:b w:val="0"/>
          <w:lang w:eastAsia="es-ES"/>
        </w:rPr>
        <w:t xml:space="preserve"> respondió que son estimaciones respecto de los activos que tienen los fiscalizados, entonces, se hace una estimación de crecimiento de activos y ahí se utiliza la fórmula que aparece en la Ley General de Bancos.</w:t>
      </w:r>
    </w:p>
    <w:p>
      <w:pPr>
        <w:rPr>
          <w:rFonts w:eastAsia="Times New Roman"/>
          <w:b w:val="0"/>
          <w:lang w:eastAsia="es-ES"/>
        </w:rPr>
      </w:pPr>
    </w:p>
    <w:p>
      <w:pPr>
        <w:rPr>
          <w:rFonts w:eastAsia="Times New Roman"/>
          <w:b w:val="0"/>
          <w:lang w:eastAsia="es-ES"/>
        </w:rPr>
      </w:pPr>
      <w:r>
        <w:rPr>
          <w:rFonts w:eastAsia="Times New Roman"/>
          <w:b w:val="0"/>
          <w:lang w:eastAsia="es-ES"/>
        </w:rPr>
        <w:tab/>
      </w:r>
      <w:r>
        <w:rPr>
          <w:rFonts w:eastAsia="Times New Roman"/>
          <w:lang w:eastAsia="es-ES"/>
        </w:rPr>
        <w:t>El Presidente de la Subcomisión, Honorable Diputado señor De Mussy</w:t>
      </w:r>
      <w:r>
        <w:rPr>
          <w:rFonts w:eastAsia="Times New Roman"/>
          <w:b w:val="0"/>
          <w:lang w:eastAsia="es-ES"/>
        </w:rPr>
        <w:t xml:space="preserve"> consultó si se podría decir que los activos de los bancos en Chile han aumentado en un 13%.</w:t>
      </w:r>
    </w:p>
    <w:p>
      <w:pPr>
        <w:rPr>
          <w:rFonts w:eastAsia="Times New Roman"/>
          <w:b w:val="0"/>
          <w:lang w:eastAsia="es-ES"/>
        </w:rPr>
      </w:pPr>
    </w:p>
    <w:p>
      <w:pPr>
        <w:rPr>
          <w:rFonts w:eastAsia="Times New Roman"/>
          <w:b w:val="0"/>
          <w:lang w:eastAsia="es-ES"/>
        </w:rPr>
      </w:pPr>
      <w:r>
        <w:rPr>
          <w:rFonts w:eastAsia="Times New Roman"/>
          <w:b w:val="0"/>
          <w:lang w:eastAsia="es-ES"/>
        </w:rPr>
        <w:tab/>
      </w:r>
      <w:r>
        <w:rPr>
          <w:rFonts w:eastAsia="Times New Roman"/>
          <w:lang w:eastAsia="es-ES"/>
        </w:rPr>
        <w:t>El señor Superintendente</w:t>
      </w:r>
      <w:r>
        <w:rPr>
          <w:rFonts w:eastAsia="Times New Roman"/>
          <w:b w:val="0"/>
          <w:lang w:eastAsia="es-ES"/>
        </w:rPr>
        <w:t xml:space="preserve"> respondió que de cierta forma esa es la estimación de la Superintendencia. Se trata no sólo de los bancos sino también de todos los fiscalizados que de alguna forma están en esa contribución.</w:t>
      </w:r>
    </w:p>
    <w:p>
      <w:pPr>
        <w:rPr>
          <w:rFonts w:eastAsia="Times New Roman"/>
          <w:b w:val="0"/>
          <w:lang w:eastAsia="es-ES"/>
        </w:rPr>
      </w:pPr>
    </w:p>
    <w:p>
      <w:pPr>
        <w:rPr>
          <w:rFonts w:eastAsia="Times New Roman"/>
          <w:b w:val="0"/>
          <w:lang w:eastAsia="es-ES"/>
        </w:rPr>
      </w:pPr>
      <w:r>
        <w:rPr>
          <w:rFonts w:eastAsia="Times New Roman"/>
          <w:b w:val="0"/>
          <w:lang w:eastAsia="es-ES"/>
        </w:rPr>
        <w:tab/>
        <w:t xml:space="preserve">Respecto a la segunda pregunta obviamente no corresponde solamente a estas 8 personas. Acá están tratando de acomodar el personal de la Superintendencia en un edificio pequeño. Hay personas compartiendo oficinas y lo que quieren es tener el estándar de las oficinas de los otros pisos y hacer una remodelación con el fin de reacomodar el personal que ya está trabajando en la Superintendencia.  </w:t>
      </w:r>
    </w:p>
    <w:p>
      <w:pPr>
        <w:rPr>
          <w:rFonts w:eastAsia="Times New Roman"/>
          <w:b w:val="0"/>
          <w:lang w:eastAsia="es-ES"/>
        </w:rPr>
      </w:pPr>
    </w:p>
    <w:p>
      <w:pPr>
        <w:rPr>
          <w:lang w:val="es-ES_tradnl"/>
        </w:rPr>
      </w:pPr>
      <w:r>
        <w:rPr>
          <w:rFonts w:eastAsia="Times New Roman"/>
          <w:b w:val="0"/>
          <w:lang w:eastAsia="es-ES"/>
        </w:rPr>
        <w:tab/>
      </w:r>
      <w:r>
        <w:rPr>
          <w:lang w:val="es-ES_tradnl"/>
        </w:rPr>
        <w:t>Sometido a votación el Capítulo 11, Programa 01, fue aprobado sin enmiendas por la unanimidad de los miembros presentes de la Subcomisión, Honorable Diputado señor De Mussy (Presidente), Honorables Senadores señores Coloma y Tuma, y Honorables Diputados señores Schilling y Silva.</w:t>
      </w:r>
    </w:p>
    <w:p>
      <w:pPr>
        <w:rPr>
          <w:rFonts w:eastAsia="Times New Roman"/>
          <w:b w:val="0"/>
          <w:lang w:val="es-ES_tradnl" w:eastAsia="es-ES"/>
        </w:rPr>
      </w:pPr>
    </w:p>
    <w:p>
      <w:pPr>
        <w:rPr>
          <w:rFonts w:eastAsia="Times New Roman"/>
          <w:lang w:eastAsia="es-ES"/>
        </w:rPr>
      </w:pPr>
    </w:p>
    <w:p>
      <w:pPr>
        <w:jc w:val="center"/>
        <w:rPr>
          <w:rFonts w:eastAsia="Times New Roman"/>
          <w:lang w:eastAsia="es-ES"/>
        </w:rPr>
      </w:pPr>
      <w:r>
        <w:rPr>
          <w:rFonts w:eastAsia="Times New Roman"/>
          <w:lang w:eastAsia="es-ES"/>
        </w:rPr>
        <w:t>CAPITULO 15</w:t>
      </w:r>
    </w:p>
    <w:p>
      <w:pPr>
        <w:jc w:val="center"/>
        <w:rPr>
          <w:rFonts w:eastAsia="Times New Roman"/>
          <w:lang w:eastAsia="es-ES"/>
        </w:rPr>
      </w:pPr>
    </w:p>
    <w:p>
      <w:pPr>
        <w:keepNext/>
        <w:jc w:val="center"/>
        <w:outlineLvl w:val="1"/>
        <w:rPr>
          <w:rFonts w:eastAsia="Times New Roman"/>
          <w:lang w:eastAsia="es-ES"/>
        </w:rPr>
      </w:pPr>
      <w:r>
        <w:rPr>
          <w:rFonts w:eastAsia="Times New Roman"/>
          <w:lang w:eastAsia="es-ES"/>
        </w:rPr>
        <w:t>Programa 01</w:t>
      </w:r>
    </w:p>
    <w:p>
      <w:pPr>
        <w:jc w:val="center"/>
        <w:rPr>
          <w:rFonts w:eastAsia="Times New Roman"/>
          <w:lang w:eastAsia="es-ES"/>
        </w:rPr>
      </w:pPr>
      <w:r>
        <w:rPr>
          <w:rFonts w:eastAsia="Times New Roman"/>
          <w:lang w:eastAsia="es-ES"/>
        </w:rPr>
        <w:t>Dirección Nacional del Servicio Civil</w:t>
      </w:r>
    </w:p>
    <w:p>
      <w:pPr>
        <w:jc w:val="center"/>
        <w:rPr>
          <w:rFonts w:eastAsia="Times New Roman"/>
          <w:lang w:eastAsia="es-ES"/>
        </w:rPr>
      </w:pPr>
    </w:p>
    <w:p>
      <w:pPr>
        <w:rPr>
          <w:rFonts w:eastAsia="Times New Roman"/>
          <w:b w:val="0"/>
          <w:lang w:eastAsia="es-ES"/>
        </w:rPr>
      </w:pPr>
      <w:r>
        <w:rPr>
          <w:rFonts w:eastAsia="Times New Roman"/>
          <w:lang w:eastAsia="es-ES"/>
        </w:rPr>
        <w:tab/>
      </w:r>
      <w:r>
        <w:rPr>
          <w:rFonts w:eastAsia="Times New Roman"/>
          <w:b w:val="0"/>
          <w:lang w:eastAsia="es-ES"/>
        </w:rPr>
        <w:t xml:space="preserve">Considera ingresos y gastos por </w:t>
      </w:r>
      <w:r>
        <w:rPr>
          <w:rFonts w:eastAsia="Times New Roman"/>
          <w:lang w:eastAsia="es-ES"/>
        </w:rPr>
        <w:t>$ 10.526.489 miles</w:t>
      </w:r>
      <w:r>
        <w:rPr>
          <w:rFonts w:eastAsia="Times New Roman"/>
          <w:b w:val="0"/>
          <w:lang w:eastAsia="es-ES"/>
        </w:rPr>
        <w:t>.</w:t>
      </w:r>
    </w:p>
    <w:p>
      <w:pPr>
        <w:rPr>
          <w:rFonts w:eastAsia="Times New Roman"/>
          <w:b w:val="0"/>
          <w:lang w:eastAsia="es-ES"/>
        </w:rPr>
      </w:pPr>
    </w:p>
    <w:p>
      <w:pPr>
        <w:rPr>
          <w:rFonts w:eastAsia="Times New Roman"/>
          <w:b w:val="0"/>
          <w:lang w:eastAsia="es-ES"/>
        </w:rPr>
      </w:pPr>
      <w:r>
        <w:rPr>
          <w:rFonts w:eastAsia="Times New Roman"/>
          <w:b w:val="0"/>
          <w:lang w:eastAsia="es-ES"/>
        </w:rPr>
        <w:tab/>
        <w:t>Actualmente, el presupuesto aprobado para esta Dirección es de $ 10.682.568 miles, lo que significa una variación de -1,5%.</w:t>
      </w:r>
    </w:p>
    <w:p>
      <w:pPr>
        <w:rPr>
          <w:rFonts w:eastAsia="Times New Roman"/>
          <w:b w:val="0"/>
          <w:lang w:eastAsia="es-ES"/>
        </w:rPr>
      </w:pPr>
    </w:p>
    <w:p>
      <w:pPr>
        <w:rPr>
          <w:rFonts w:eastAsia="Times New Roman"/>
          <w:b w:val="0"/>
          <w:lang w:eastAsia="es-ES"/>
        </w:rPr>
      </w:pPr>
      <w:r>
        <w:rPr>
          <w:rFonts w:eastAsia="Times New Roman"/>
          <w:b w:val="0"/>
          <w:lang w:eastAsia="es-ES"/>
        </w:rPr>
        <w:tab/>
      </w:r>
      <w:r>
        <w:rPr>
          <w:rFonts w:eastAsia="Times New Roman"/>
          <w:lang w:eastAsia="es-ES"/>
        </w:rPr>
        <w:t>El Director Nacional del Servicio Civil, señor Rodrigo Egaña</w:t>
      </w:r>
      <w:r>
        <w:rPr>
          <w:rFonts w:eastAsia="Times New Roman"/>
          <w:b w:val="0"/>
          <w:lang w:eastAsia="es-ES"/>
        </w:rPr>
        <w:t>, inició su presentación señalando los lineamientos estratégicos institucionales, que son los mismos que se han definido para este Servicio a partir del año 2014, que han estado en las presentaciones anteriores y que básicamente se sintetizan en:</w:t>
      </w:r>
    </w:p>
    <w:p>
      <w:pPr>
        <w:rPr>
          <w:rFonts w:eastAsia="Times New Roman"/>
          <w:b w:val="0"/>
          <w:lang w:eastAsia="es-ES"/>
        </w:rPr>
      </w:pPr>
    </w:p>
    <w:p>
      <w:pPr>
        <w:rPr>
          <w:b w:val="0"/>
        </w:rPr>
      </w:pPr>
      <w:r>
        <w:rPr>
          <w:b w:val="0"/>
        </w:rPr>
        <w:tab/>
        <w:t xml:space="preserve">1.- Contribuir al proceso de modernización del Estado, a través de la gestión de personas y la profesionalización de la dirección pública. </w:t>
      </w:r>
    </w:p>
    <w:p>
      <w:pPr>
        <w:rPr>
          <w:b w:val="0"/>
        </w:rPr>
      </w:pPr>
    </w:p>
    <w:p>
      <w:pPr>
        <w:rPr>
          <w:b w:val="0"/>
        </w:rPr>
      </w:pPr>
      <w:r>
        <w:rPr>
          <w:b w:val="0"/>
        </w:rPr>
        <w:tab/>
        <w:t xml:space="preserve">2.- Contribuir al diseño e implementación de la modernización del empleo público, a través del desarrollo de políticas y prácticas de gestión de personas en la Administración Civil del Estado. </w:t>
      </w:r>
    </w:p>
    <w:p>
      <w:pPr>
        <w:rPr>
          <w:b w:val="0"/>
        </w:rPr>
      </w:pPr>
    </w:p>
    <w:p>
      <w:pPr>
        <w:rPr>
          <w:b w:val="0"/>
        </w:rPr>
      </w:pPr>
      <w:r>
        <w:rPr>
          <w:b w:val="0"/>
        </w:rPr>
        <w:tab/>
        <w:t xml:space="preserve">3.- Fortalecer el Sistema de Alta Dirección Pública, dotando al Estado de un cuerpo de directivos idóneos y competentes, implementando estrategias para su desarrollo, que les permita mejorar la gestión pública, a nivel central, regional y municipal. </w:t>
      </w:r>
    </w:p>
    <w:p>
      <w:pPr>
        <w:rPr>
          <w:b w:val="0"/>
        </w:rPr>
      </w:pPr>
    </w:p>
    <w:p>
      <w:pPr>
        <w:rPr>
          <w:b w:val="0"/>
        </w:rPr>
      </w:pPr>
      <w:r>
        <w:rPr>
          <w:b w:val="0"/>
        </w:rPr>
        <w:tab/>
        <w:t>4.- Contribuir al fortalecimiento de las relaciones que el Gobierno mantiene con las asociaciones de funcionarios, a través del establecimiento de una agenda de trabajo en materias relacionadas al empleo público.</w:t>
      </w:r>
    </w:p>
    <w:p>
      <w:pPr>
        <w:rPr>
          <w:b w:val="0"/>
        </w:rPr>
      </w:pPr>
    </w:p>
    <w:p>
      <w:pPr>
        <w:rPr>
          <w:b w:val="0"/>
        </w:rPr>
      </w:pPr>
      <w:r>
        <w:rPr>
          <w:b w:val="0"/>
        </w:rPr>
        <w:tab/>
        <w:t>5.- Ser un referente en materias de empleo y calidad de vida laboral, implementando políticas y prácticas innovadoras y de vanguardia para el sector público.</w:t>
      </w:r>
    </w:p>
    <w:p>
      <w:pPr>
        <w:rPr>
          <w:b w:val="0"/>
        </w:rPr>
      </w:pPr>
    </w:p>
    <w:p>
      <w:pPr>
        <w:jc w:val="center"/>
      </w:pPr>
      <w:r>
        <w:t>Metas estratégicas 2017</w:t>
      </w:r>
    </w:p>
    <w:p>
      <w:pPr>
        <w:jc w:val="center"/>
      </w:pPr>
    </w:p>
    <w:p>
      <w:pPr>
        <w:rPr>
          <w:b w:val="0"/>
        </w:rPr>
      </w:pPr>
      <w:r>
        <w:tab/>
      </w:r>
      <w:r>
        <w:rPr>
          <w:b w:val="0"/>
        </w:rPr>
        <w:t xml:space="preserve">Respecto a esta materia señaló que la primera gran tarea que tienen para el próximo año y que ya están realizando es la </w:t>
      </w:r>
      <w:r>
        <w:t>implementación y puesta en marcha de la nueva ley</w:t>
      </w:r>
      <w:r>
        <w:rPr>
          <w:b w:val="0"/>
        </w:rPr>
        <w:t xml:space="preserve"> que se promulgó por la Presidenta de la República, el lunes pasado, la que será publicada en el Diario Oficial en estos días y en muchos aspectos la ley inicia su aplicación de forma inmediata.</w:t>
      </w:r>
    </w:p>
    <w:p>
      <w:pPr>
        <w:rPr>
          <w:b w:val="0"/>
        </w:rPr>
      </w:pPr>
    </w:p>
    <w:p>
      <w:pPr>
        <w:rPr>
          <w:b w:val="0"/>
        </w:rPr>
      </w:pPr>
      <w:r>
        <w:rPr>
          <w:b w:val="0"/>
        </w:rPr>
        <w:tab/>
        <w:t xml:space="preserve">En ella está el </w:t>
      </w:r>
      <w:r>
        <w:t>perfeccionamiento del Sistema de Alta Dirección Pública</w:t>
      </w:r>
      <w:r>
        <w:rPr>
          <w:b w:val="0"/>
        </w:rPr>
        <w:t xml:space="preserve">, por una parte, y después el inicio del </w:t>
      </w:r>
      <w:r>
        <w:t>rol rector en materia de gestión y desarrollo de personas</w:t>
      </w:r>
      <w:r>
        <w:rPr>
          <w:b w:val="0"/>
        </w:rPr>
        <w:t xml:space="preserve"> que va a tener el Servicio.</w:t>
      </w:r>
    </w:p>
    <w:p>
      <w:pPr>
        <w:rPr>
          <w:b w:val="0"/>
        </w:rPr>
      </w:pPr>
    </w:p>
    <w:p>
      <w:pPr>
        <w:rPr>
          <w:b w:val="0"/>
        </w:rPr>
      </w:pPr>
      <w:r>
        <w:rPr>
          <w:b w:val="0"/>
        </w:rPr>
        <w:tab/>
        <w:t xml:space="preserve">En </w:t>
      </w:r>
      <w:r>
        <w:t>Alta Dirección Pública</w:t>
      </w:r>
      <w:r>
        <w:rPr>
          <w:b w:val="0"/>
        </w:rPr>
        <w:t xml:space="preserve"> se proyecta, teniendo en consideración la suspensión de concursos que se van a realizar durante los últimos 8 meses, antes del cambio de gobierno, de acuerdo a las disposiciones de la nueva ley,  concursar 33 cargos de primer nivel, cargos no adscritos, no de los servicios sino los otros que ven y alrededor de 406 de segundo nivel jerárquico.</w:t>
      </w:r>
    </w:p>
    <w:p>
      <w:pPr>
        <w:rPr>
          <w:b w:val="0"/>
        </w:rPr>
      </w:pPr>
    </w:p>
    <w:p>
      <w:pPr>
        <w:rPr>
          <w:b w:val="0"/>
        </w:rPr>
      </w:pPr>
      <w:r>
        <w:rPr>
          <w:b w:val="0"/>
        </w:rPr>
        <w:tab/>
        <w:t>También se contempla la implementación de programas de inducción y acompañamiento para Altos Directivos Públicos, que tienen una especificación especial en una de las glosas, la paulatina incorporación de nuevos cargos y Servicios consignados en la nueva ley y mejoramiento en los procesos de concurso.</w:t>
      </w:r>
    </w:p>
    <w:p>
      <w:pPr>
        <w:rPr>
          <w:b w:val="0"/>
        </w:rPr>
      </w:pPr>
    </w:p>
    <w:p>
      <w:pPr>
        <w:rPr>
          <w:b w:val="0"/>
        </w:rPr>
      </w:pPr>
      <w:r>
        <w:rPr>
          <w:b w:val="0"/>
        </w:rPr>
        <w:tab/>
        <w:t>Luego, en la</w:t>
      </w:r>
      <w:r>
        <w:t xml:space="preserve"> ley 20.501 de Calidad y Equidad de la Educación, </w:t>
      </w:r>
      <w:r>
        <w:rPr>
          <w:b w:val="0"/>
        </w:rPr>
        <w:t>ley que data del año 2011, se pensó que con su dictación se iban a terminar todos los concursos de Directores de Establecimientos Educacionales Públicos y de Jefes DAEM, de los cuales señaló tienen hasta ahora 2000 Directores que han sido seleccionados por el sistema, que se encuentran en ejercicio y que se supone que el próximo año se proyectan 800 concursos de Directores de Establecimientos Educacionales (DEEM) y 53 para Jefes DAEM. Esto hay que confrontarlo con un total de 3.250 establecimientos educacionales que eligen Subdirectores por este sistema.</w:t>
      </w:r>
    </w:p>
    <w:p>
      <w:pPr>
        <w:rPr>
          <w:b w:val="0"/>
        </w:rPr>
      </w:pPr>
    </w:p>
    <w:p>
      <w:pPr>
        <w:rPr>
          <w:b w:val="0"/>
        </w:rPr>
      </w:pPr>
      <w:r>
        <w:rPr>
          <w:b w:val="0"/>
        </w:rPr>
        <w:tab/>
        <w:t>En los DAEM quedan todavía un total de unos 40 por elegir, algunos empiezan ya a cumplir los 5 años. Por lo tanto, el próximo año hay que renovarlos. Esto va a depender también de la aprobación del proyecto de restructuración de la educación pública porque ahí se empezaría a producir un paulatino traspaso de establecimientos educacionales a los servicios locales de educación y así irían desapareciendo DAEM porque esa función ya a nivel municipal dejaría de existir.</w:t>
      </w:r>
    </w:p>
    <w:p>
      <w:pPr>
        <w:rPr>
          <w:b w:val="0"/>
        </w:rPr>
      </w:pPr>
    </w:p>
    <w:p>
      <w:pPr>
        <w:rPr>
          <w:b w:val="0"/>
        </w:rPr>
      </w:pPr>
      <w:r>
        <w:rPr>
          <w:b w:val="0"/>
        </w:rPr>
        <w:tab/>
        <w:t>Se mantiene la asesoría Técnica a los Municipios y el apoyo al reclutamiento de los concursos de DEEM.</w:t>
      </w:r>
    </w:p>
    <w:p>
      <w:pPr>
        <w:rPr>
          <w:b w:val="0"/>
        </w:rPr>
      </w:pPr>
    </w:p>
    <w:p>
      <w:pPr>
        <w:rPr>
          <w:b w:val="0"/>
        </w:rPr>
      </w:pPr>
      <w:r>
        <w:rPr>
          <w:b w:val="0"/>
        </w:rPr>
        <w:tab/>
        <w:t>Finalmente señaló que en esta ley 20.501 se contemplaba un fondo especial para la difusión de los resultados de estudios para la primera etapa de su implementación (concursabilidad de DEEM y Jefes DAEM). Este fondo termina y va a aparecer como un gasto que los municipios van a poder cubrir con los recursos que les entrega el fondo general de apoyo a la función pública que está en el Ministerio.</w:t>
      </w:r>
    </w:p>
    <w:p>
      <w:pPr>
        <w:rPr>
          <w:b w:val="0"/>
        </w:rPr>
      </w:pPr>
    </w:p>
    <w:p>
      <w:pPr>
        <w:rPr>
          <w:b w:val="0"/>
        </w:rPr>
      </w:pPr>
      <w:r>
        <w:rPr>
          <w:b w:val="0"/>
        </w:rPr>
        <w:tab/>
        <w:t>Por lo tanto, desde ese punto de vista no va a haber una discontinuidad en la posibilidad de realizar procesos de selección de Directores de Establecimientos.</w:t>
      </w:r>
    </w:p>
    <w:p>
      <w:pPr>
        <w:rPr>
          <w:b w:val="0"/>
        </w:rPr>
      </w:pPr>
    </w:p>
    <w:p>
      <w:r>
        <w:rPr>
          <w:b w:val="0"/>
        </w:rPr>
        <w:tab/>
        <w:t xml:space="preserve">En seguida, continuó refiriéndose a las metas estratégicas para el año 2017, señaló que una cuarta tarea importante para el próximo año dice relación con la </w:t>
      </w:r>
      <w:r>
        <w:t>promoción de la probidad administrativa y la trasparencia</w:t>
      </w:r>
      <w:r>
        <w:rPr>
          <w:b w:val="0"/>
        </w:rPr>
        <w:t>.</w:t>
      </w:r>
    </w:p>
    <w:p>
      <w:pPr>
        <w:rPr>
          <w:b w:val="0"/>
        </w:rPr>
      </w:pPr>
    </w:p>
    <w:p>
      <w:pPr>
        <w:rPr>
          <w:b w:val="0"/>
        </w:rPr>
      </w:pPr>
      <w:r>
        <w:rPr>
          <w:b w:val="0"/>
        </w:rPr>
        <w:tab/>
        <w:t>Todo lo que tiene que ver con el seguimiento a la implementación de códigos de ética sobre conducta funcionaria y sistemas de integridad. Al día de ayer tenían 100 servicios públicos que habían aprobado sus códigos de ética y estima que a diciembre de este año van a tener alrededor de 150 y, ciertamente, a marzo del próximo año estarán todos los servicios, entendiendo que para servicios similares van a tener un mismo código. Por ejemplo, las gobernaciones van a tener un solo código todas.</w:t>
      </w:r>
    </w:p>
    <w:p>
      <w:pPr>
        <w:rPr>
          <w:b w:val="0"/>
        </w:rPr>
      </w:pPr>
    </w:p>
    <w:p>
      <w:pPr>
        <w:rPr>
          <w:b w:val="0"/>
        </w:rPr>
      </w:pPr>
      <w:r>
        <w:rPr>
          <w:b w:val="0"/>
        </w:rPr>
        <w:tab/>
        <w:t xml:space="preserve">Después se refirió a la </w:t>
      </w:r>
      <w:r>
        <w:t>gestión de personas</w:t>
      </w:r>
      <w:r>
        <w:rPr>
          <w:b w:val="0"/>
        </w:rPr>
        <w:t xml:space="preserve"> manifestando que las dos principales tareas son el monitoreo de la aplicación del Instructivo Presidencial de Buenas Prácticas Laborales que termina este año en las orientaciones que se les están entregando a los servicios y se inaugura todo el trabajo de acuerdo a la nueva ley que es impartir normas de general aplicación, que serán obligatorias en la administración central sobre distintas materias pero que, en general, los servicios las han ido trabajando en la aplicación del instructivo.</w:t>
      </w:r>
    </w:p>
    <w:p>
      <w:pPr>
        <w:rPr>
          <w:b w:val="0"/>
        </w:rPr>
      </w:pPr>
    </w:p>
    <w:p>
      <w:pPr>
        <w:rPr>
          <w:b w:val="0"/>
        </w:rPr>
      </w:pPr>
      <w:r>
        <w:rPr>
          <w:b w:val="0"/>
        </w:rPr>
        <w:tab/>
        <w:t>Hay una tarea adicional, que de acuerdo a la ley el próximo año tienen que empezar como servicio a cumplir que es el visar los reglamentos especiales de calificaciones, o sea, las modificaciones a esos reglamentos.</w:t>
      </w:r>
    </w:p>
    <w:p>
      <w:pPr>
        <w:rPr>
          <w:b w:val="0"/>
        </w:rPr>
      </w:pPr>
    </w:p>
    <w:p>
      <w:pPr>
        <w:rPr>
          <w:b w:val="0"/>
        </w:rPr>
      </w:pPr>
      <w:r>
        <w:rPr>
          <w:b w:val="0"/>
        </w:rPr>
        <w:tab/>
        <w:t>Después están las tareas normales que tienen que ver con los Programas Prácticas Chile y Concurso Funcional para Funcionarios Públicos, con impartir normas de general aplicación en i) reclutamiento y selección de personas; ii) concursos de ingreso y promoción; iii) programas de inducción; iv) programas de capacitación; v) sistemas de promoción; vi) sistema de calificaciones y vii) otras referidas a buenas prácticas laborales.</w:t>
      </w:r>
    </w:p>
    <w:p>
      <w:pPr>
        <w:rPr>
          <w:b w:val="0"/>
        </w:rPr>
      </w:pPr>
    </w:p>
    <w:p>
      <w:pPr>
        <w:rPr>
          <w:b w:val="0"/>
        </w:rPr>
      </w:pPr>
      <w:r>
        <w:rPr>
          <w:b w:val="0"/>
        </w:rPr>
        <w:tab/>
        <w:t xml:space="preserve">En materia de </w:t>
      </w:r>
      <w:r>
        <w:t>fortalecimiento institucional</w:t>
      </w:r>
      <w:r>
        <w:rPr>
          <w:b w:val="0"/>
        </w:rPr>
        <w:t xml:space="preserve"> en esta versión del presupuesto viene la adecuación de las dependencias en que opera el Servicio para la incorporación de las 12 dotaciones que consigna la nueva ley.</w:t>
      </w:r>
    </w:p>
    <w:p>
      <w:pPr>
        <w:rPr>
          <w:b w:val="0"/>
        </w:rPr>
      </w:pPr>
    </w:p>
    <w:p>
      <w:pPr>
        <w:rPr>
          <w:b w:val="0"/>
        </w:rPr>
      </w:pPr>
      <w:r>
        <w:rPr>
          <w:b w:val="0"/>
        </w:rPr>
        <w:tab/>
        <w:t>Destacó que los informes financieros de la ley no se incorporan en esta versión del presupuesto sino que una vez que está promulgada se dicta un decreto de ampliación presupuestaria que estima va a ser efectivo a partir del próximo año el aumento de dotaciones.</w:t>
      </w:r>
    </w:p>
    <w:p>
      <w:pPr>
        <w:rPr>
          <w:b w:val="0"/>
        </w:rPr>
      </w:pPr>
    </w:p>
    <w:p>
      <w:pPr>
        <w:rPr>
          <w:b w:val="0"/>
        </w:rPr>
      </w:pPr>
      <w:r>
        <w:rPr>
          <w:b w:val="0"/>
        </w:rPr>
        <w:tab/>
        <w:t>Además, se continúa con la ejecución del Plan de Desarrollo Tecnológico 2014 – 2018, con el desarrollo de Convenios y Cooperación internacional en la región y con el sistema de Formación para el Liderazgo Público.</w:t>
      </w:r>
    </w:p>
    <w:p>
      <w:pPr>
        <w:rPr>
          <w:b w:val="0"/>
        </w:rPr>
      </w:pPr>
    </w:p>
    <w:p>
      <w:pPr>
        <w:rPr>
          <w:b w:val="0"/>
        </w:rPr>
      </w:pPr>
      <w:r>
        <w:rPr>
          <w:b w:val="0"/>
        </w:rPr>
        <w:tab/>
        <w:t xml:space="preserve">Estas serían básicamente las tareas que tienen. </w:t>
      </w:r>
    </w:p>
    <w:p>
      <w:pPr>
        <w:rPr>
          <w:b w:val="0"/>
        </w:rPr>
      </w:pPr>
    </w:p>
    <w:p>
      <w:r>
        <w:rPr>
          <w:b w:val="0"/>
        </w:rPr>
        <w:tab/>
      </w:r>
      <w:r>
        <w:t xml:space="preserve">En seguida, explicó las cifras presupuestarias comparadas entre el proyecto en debate y la Ley de Presupuestos anterior: </w:t>
      </w:r>
    </w:p>
    <w:p/>
    <w:p>
      <w:pPr>
        <w:jc w:val="center"/>
      </w:pPr>
      <w:r>
        <w:t>Presupuesto 2017 – cifras comparadas</w:t>
      </w:r>
    </w:p>
    <w:p>
      <w:pPr>
        <w:rPr>
          <w:b w:val="0"/>
        </w:rPr>
      </w:pPr>
      <w:r>
        <w:rPr>
          <w:b w:val="0"/>
          <w:noProof/>
          <w:lang w:eastAsia="es-CL"/>
        </w:rPr>
        <w:pict>
          <v:shape id="Picture 2" o:spid="_x0000_i1045" type="#_x0000_t75" style="width:441.95pt;height:164.35pt;visibility:visible">
            <v:imagedata r:id="rId28" o:title=""/>
          </v:shape>
        </w:pict>
      </w:r>
    </w:p>
    <w:p>
      <w:pPr>
        <w:rPr>
          <w:b w:val="0"/>
        </w:rPr>
      </w:pPr>
      <w:r>
        <w:rPr>
          <w:b w:val="0"/>
        </w:rPr>
        <w:t>Nota: Los recursos asociados a los informes financieros de la nueva ley se incorporarán vía modificación presupuestaria cuando se publique dicha ley.</w:t>
      </w:r>
    </w:p>
    <w:p>
      <w:pPr>
        <w:rPr>
          <w:b w:val="0"/>
        </w:rPr>
      </w:pPr>
      <w:r>
        <w:rPr>
          <w:b w:val="0"/>
        </w:rPr>
        <w:t>(*) Gasto de Estado de Operaciones = GASTOS-(Subt.25+30+32+34+35) + Ítem25.01+Intereses y Otros Gastos Financieros de Deuda</w:t>
      </w:r>
    </w:p>
    <w:p>
      <w:pPr>
        <w:rPr>
          <w:b w:val="0"/>
        </w:rPr>
      </w:pPr>
    </w:p>
    <w:p>
      <w:pPr>
        <w:rPr>
          <w:b w:val="0"/>
        </w:rPr>
      </w:pPr>
      <w:r>
        <w:rPr>
          <w:b w:val="0"/>
        </w:rPr>
        <w:tab/>
        <w:t xml:space="preserve">En este punto el </w:t>
      </w:r>
      <w:r>
        <w:t>Director Nacional del Servicio Civil, señor Egaña</w:t>
      </w:r>
      <w:r>
        <w:rPr>
          <w:b w:val="0"/>
        </w:rPr>
        <w:t xml:space="preserve"> manifestó que el presupuesto baja en un 1,5% fundamentalmente por la baja del 3,1% en el subtítulo 22 y hay un pequeño aumento en la adquisición de activos no financieros de M$ 19.570 (7,6%) y el resto se mantiene sin variaciones.</w:t>
      </w:r>
    </w:p>
    <w:p>
      <w:pPr>
        <w:rPr>
          <w:b w:val="0"/>
        </w:rPr>
      </w:pPr>
    </w:p>
    <w:p>
      <w:r>
        <w:rPr>
          <w:b w:val="0"/>
        </w:rPr>
        <w:tab/>
      </w:r>
      <w:r>
        <w:t>Luego analizó las variaciones presupuestarias de los siguientes subtítulos:</w:t>
      </w:r>
    </w:p>
    <w:p>
      <w:pPr>
        <w:rPr>
          <w:b w:val="0"/>
        </w:rPr>
      </w:pPr>
    </w:p>
    <w:p>
      <w:pPr>
        <w:rPr>
          <w:b w:val="0"/>
        </w:rPr>
      </w:pPr>
      <w:r>
        <w:tab/>
        <w:t xml:space="preserve">- Subtítulo 21: Gasto en Personal: </w:t>
      </w:r>
      <w:r>
        <w:rPr>
          <w:b w:val="0"/>
        </w:rPr>
        <w:t>No se registra aumento de gasto en personal respecto del año 2016, sólo se aumenta la dotación por el traspaso de 4 cargos a honorarios con funciones permanentes a la contrata, esto con la rebaja de la correspondiente glosa en número y monto.</w:t>
      </w:r>
    </w:p>
    <w:p>
      <w:pPr>
        <w:rPr>
          <w:b w:val="0"/>
        </w:rPr>
      </w:pPr>
    </w:p>
    <w:p>
      <w:pPr>
        <w:rPr>
          <w:b w:val="0"/>
        </w:rPr>
      </w:pPr>
      <w:r>
        <w:rPr>
          <w:b w:val="0"/>
        </w:rPr>
        <w:tab/>
        <w:t>Agregó que en este momento tienen dos contratas que por distintas razones están en proceso de reemplazo, por lo tanto, no están en este momento siendo ocupadas.</w:t>
      </w:r>
    </w:p>
    <w:p>
      <w:pPr>
        <w:rPr>
          <w:b w:val="0"/>
        </w:rPr>
      </w:pPr>
    </w:p>
    <w:p>
      <w:r>
        <w:tab/>
        <w:t>- Subtítulo 22: Bienes y Servicios de Consumo:</w:t>
      </w:r>
    </w:p>
    <w:p>
      <w:pPr>
        <w:rPr>
          <w:b w:val="0"/>
        </w:rPr>
      </w:pPr>
      <w:r>
        <w:rPr>
          <w:b w:val="0"/>
        </w:rPr>
        <w:t xml:space="preserve">Se registra una disminución de </w:t>
      </w:r>
      <w:r>
        <w:t>-3,1% respecto del año 2016</w:t>
      </w:r>
      <w:r>
        <w:rPr>
          <w:b w:val="0"/>
        </w:rPr>
        <w:t>, porque se considera una rebaja de M$ 175.558 global que aplicó Dipres al Subtítulo 22.</w:t>
      </w:r>
    </w:p>
    <w:p>
      <w:pPr>
        <w:rPr>
          <w:b w:val="0"/>
        </w:rPr>
      </w:pPr>
    </w:p>
    <w:p>
      <w:pPr>
        <w:rPr>
          <w:b w:val="0"/>
        </w:rPr>
      </w:pPr>
      <w:r>
        <w:tab/>
        <w:t xml:space="preserve">- Subtítulo 29: Adquisición de activos no financieros: </w:t>
      </w:r>
      <w:r>
        <w:rPr>
          <w:b w:val="0"/>
        </w:rPr>
        <w:t xml:space="preserve">Se registra un aumento de </w:t>
      </w:r>
      <w:r>
        <w:t>7,6%</w:t>
      </w:r>
      <w:r>
        <w:rPr>
          <w:b w:val="0"/>
        </w:rPr>
        <w:t xml:space="preserve"> porque considera los recursos solicitados para la adquisición de mobiliario y equipamiento informático requerido por el Servicio para implementar la nueva ley.</w:t>
      </w:r>
    </w:p>
    <w:p>
      <w:pPr>
        <w:rPr>
          <w:b w:val="0"/>
        </w:rPr>
      </w:pPr>
    </w:p>
    <w:p>
      <w:r>
        <w:tab/>
        <w:t>Finalmente informó con la siguiente lámina la ejecución del presupuesto 2016 a agosto de este año:</w:t>
      </w:r>
    </w:p>
    <w:p>
      <w:pPr>
        <w:rPr>
          <w:b w:val="0"/>
        </w:rPr>
      </w:pPr>
    </w:p>
    <w:p>
      <w:r>
        <w:t>Ejecución Presupuesto 2016 - Agosto</w:t>
      </w:r>
    </w:p>
    <w:p>
      <w:pPr>
        <w:rPr>
          <w:b w:val="0"/>
        </w:rPr>
      </w:pPr>
      <w:r>
        <w:rPr>
          <w:b w:val="0"/>
          <w:noProof/>
          <w:lang w:eastAsia="es-CL"/>
        </w:rPr>
        <w:pict>
          <v:shape id="_x0000_i1046" type="#_x0000_t75" style="width:441.95pt;height:162.85pt;visibility:visible">
            <v:imagedata r:id="rId29" o:title=""/>
          </v:shape>
        </w:pict>
      </w:r>
    </w:p>
    <w:p>
      <w:pPr>
        <w:rPr>
          <w:b w:val="0"/>
        </w:rPr>
      </w:pPr>
      <w:r>
        <w:rPr>
          <w:b w:val="0"/>
        </w:rPr>
        <w:t>La ejecución presupuestaria a agosto está acorde a lo planificado y respecto a lo transcurrido del año.</w:t>
      </w:r>
    </w:p>
    <w:p>
      <w:pPr>
        <w:rPr>
          <w:b w:val="0"/>
        </w:rPr>
      </w:pPr>
    </w:p>
    <w:p>
      <w:pPr>
        <w:rPr>
          <w:b w:val="0"/>
        </w:rPr>
      </w:pPr>
      <w:r>
        <w:rPr>
          <w:b w:val="0"/>
        </w:rPr>
        <w:t>(*) Gasto de Estado de Operaciones = GASTOS-(Subt.25+30+32+34+35) + Ítem25.01+Intereses y Otros Gastos Financieros de Deuda</w:t>
      </w:r>
    </w:p>
    <w:p>
      <w:pPr>
        <w:rPr>
          <w:b w:val="0"/>
        </w:rPr>
      </w:pPr>
    </w:p>
    <w:p>
      <w:pPr>
        <w:rPr>
          <w:rFonts w:eastAsia="Times New Roman"/>
          <w:lang w:eastAsia="es-ES"/>
        </w:rPr>
      </w:pPr>
      <w:r>
        <w:rPr>
          <w:rFonts w:eastAsia="Times New Roman"/>
          <w:b w:val="0"/>
          <w:lang w:eastAsia="es-ES"/>
        </w:rPr>
        <w:tab/>
      </w:r>
      <w:r>
        <w:rPr>
          <w:rFonts w:eastAsia="Times New Roman"/>
          <w:lang w:eastAsia="es-ES"/>
        </w:rPr>
        <w:t>Concluida la presentación del Director Nacional del Servicio Civil, señor Rodrigo Egaña, los señores parlamentarios formularon las siguientes consultas:</w:t>
      </w:r>
    </w:p>
    <w:p>
      <w:pPr>
        <w:rPr>
          <w:rFonts w:eastAsia="Times New Roman"/>
          <w:b w:val="0"/>
          <w:highlight w:val="yellow"/>
          <w:lang w:eastAsia="es-ES"/>
        </w:rPr>
      </w:pPr>
    </w:p>
    <w:p>
      <w:pPr>
        <w:rPr>
          <w:rFonts w:eastAsia="Times New Roman"/>
          <w:b w:val="0"/>
          <w:lang w:val="es-ES_tradnl" w:eastAsia="es-ES"/>
        </w:rPr>
      </w:pPr>
      <w:r>
        <w:rPr>
          <w:rFonts w:eastAsia="Times New Roman"/>
          <w:b w:val="0"/>
          <w:lang w:eastAsia="es-ES"/>
        </w:rPr>
        <w:tab/>
      </w:r>
      <w:r>
        <w:rPr>
          <w:rFonts w:eastAsia="Times New Roman"/>
          <w:bCs/>
          <w:lang w:val="es-ES_tradnl" w:eastAsia="es-ES"/>
        </w:rPr>
        <w:tab/>
        <w:t>El Honorable Diputado señor Silva</w:t>
      </w:r>
      <w:r>
        <w:rPr>
          <w:rFonts w:eastAsia="Times New Roman"/>
          <w:b w:val="0"/>
          <w:lang w:val="es-ES_tradnl" w:eastAsia="es-ES"/>
        </w:rPr>
        <w:t>, señaló que durante la discusión de la Ley de Perfeccionamiento del sistema de Alta Dirección Pública se analizó un nuevo mecanismo de selección para los jefes de programas presupuestarios, por lo que solicitó informar acerca de qué modo ello está recogido en la proyecto de Ley de Presupuestos.</w:t>
      </w:r>
    </w:p>
    <w:p>
      <w:pPr>
        <w:rPr>
          <w:rFonts w:eastAsia="Times New Roman"/>
          <w:b w:val="0"/>
          <w:lang w:val="es-ES_tradnl" w:eastAsia="es-ES"/>
        </w:rPr>
      </w:pPr>
    </w:p>
    <w:p>
      <w:pPr>
        <w:rPr>
          <w:rFonts w:eastAsia="Times New Roman"/>
          <w:b w:val="0"/>
          <w:lang w:eastAsia="es-ES"/>
        </w:rPr>
      </w:pPr>
      <w:r>
        <w:rPr>
          <w:rFonts w:eastAsia="Times New Roman"/>
          <w:b w:val="0"/>
          <w:lang w:eastAsia="es-ES"/>
        </w:rPr>
        <w:tab/>
      </w:r>
      <w:r>
        <w:t xml:space="preserve">El Director Nacional de Servicio Civil, señor Egaña </w:t>
      </w:r>
      <w:r>
        <w:rPr>
          <w:b w:val="0"/>
        </w:rPr>
        <w:t>r</w:t>
      </w:r>
      <w:r>
        <w:rPr>
          <w:rFonts w:eastAsia="Times New Roman"/>
          <w:b w:val="0"/>
          <w:lang w:eastAsia="es-ES"/>
        </w:rPr>
        <w:t>espondió que quedó incorporada en un artículo que establece que en el mes de diciembre de cada año, una vez aprobada la Ley de Presupuestos, la Dirección de Presupuestos y el Ministerio de Hacienda dictarán una resolución señalando cuáles programas de la Subsecretaría deberían entrar al sistema de selección de sus coordinadores.</w:t>
      </w:r>
    </w:p>
    <w:p>
      <w:pPr>
        <w:rPr>
          <w:rFonts w:eastAsia="Times New Roman"/>
          <w:b w:val="0"/>
          <w:lang w:eastAsia="es-ES"/>
        </w:rPr>
      </w:pPr>
    </w:p>
    <w:p>
      <w:pPr>
        <w:rPr>
          <w:rFonts w:eastAsia="Times New Roman"/>
          <w:b w:val="0"/>
          <w:lang w:eastAsia="es-ES"/>
        </w:rPr>
      </w:pPr>
      <w:r>
        <w:rPr>
          <w:rFonts w:eastAsia="Times New Roman"/>
          <w:b w:val="0"/>
          <w:lang w:eastAsia="es-ES"/>
        </w:rPr>
        <w:tab/>
        <w:t>Añadió que se están preparando para que a partir de diciembre, cuando se dicte la Resolución de la Dipres, en enero, puedan empezar a hacerlo. Indicó que esta materia no la comentó dentro de los ítems de este presupuesto porque los recursos para esto vienen asociados a un aumento en el ítem que es producto de los dos informes financieros que lleva la ley.</w:t>
      </w:r>
    </w:p>
    <w:p>
      <w:pPr>
        <w:rPr>
          <w:rFonts w:eastAsia="Times New Roman"/>
          <w:b w:val="0"/>
          <w:lang w:eastAsia="es-ES"/>
        </w:rPr>
      </w:pPr>
    </w:p>
    <w:p>
      <w:pPr>
        <w:rPr>
          <w:rFonts w:eastAsia="Times New Roman"/>
          <w:b w:val="0"/>
          <w:lang w:eastAsia="es-ES"/>
        </w:rPr>
      </w:pPr>
      <w:r>
        <w:rPr>
          <w:rFonts w:eastAsia="Times New Roman"/>
          <w:b w:val="0"/>
          <w:lang w:eastAsia="es-ES"/>
        </w:rPr>
        <w:tab/>
      </w:r>
      <w:r>
        <w:rPr>
          <w:rFonts w:eastAsia="Times New Roman"/>
          <w:lang w:eastAsia="es-ES"/>
        </w:rPr>
        <w:t>El Honorable Diputado señor Silva</w:t>
      </w:r>
      <w:r>
        <w:rPr>
          <w:rFonts w:eastAsia="Times New Roman"/>
          <w:b w:val="0"/>
          <w:lang w:eastAsia="es-ES"/>
        </w:rPr>
        <w:t xml:space="preserve"> consultó por los 150 millones de reasignaciones para el tema de facilitadores del proceso constituyente de este año. Por qué se hizo esto, en qué ítem se encontraban los recursos y cómo está el presupuesto del año que viene en ese ítem.</w:t>
      </w:r>
    </w:p>
    <w:p>
      <w:pPr>
        <w:rPr>
          <w:rFonts w:eastAsia="Times New Roman"/>
          <w:b w:val="0"/>
          <w:lang w:eastAsia="es-ES"/>
        </w:rPr>
      </w:pPr>
    </w:p>
    <w:p>
      <w:pPr>
        <w:rPr>
          <w:rFonts w:eastAsia="Times New Roman"/>
          <w:b w:val="0"/>
          <w:lang w:eastAsia="es-ES"/>
        </w:rPr>
      </w:pPr>
      <w:r>
        <w:rPr>
          <w:rFonts w:eastAsia="Times New Roman"/>
          <w:lang w:eastAsia="es-ES"/>
        </w:rPr>
        <w:tab/>
      </w:r>
      <w:r>
        <w:t xml:space="preserve">El Director Nacional de Servicio Civil, señor Egaña </w:t>
      </w:r>
      <w:r>
        <w:rPr>
          <w:rFonts w:eastAsia="Times New Roman"/>
          <w:lang w:eastAsia="es-ES"/>
        </w:rPr>
        <w:t xml:space="preserve"> </w:t>
      </w:r>
      <w:r>
        <w:rPr>
          <w:rFonts w:eastAsia="Times New Roman"/>
          <w:b w:val="0"/>
          <w:lang w:eastAsia="es-ES"/>
        </w:rPr>
        <w:t xml:space="preserve">manifestó que recibieron una solicitud en diciembre del año pasado del Ministerio Secretaría General de la Presidencia de colaborar en la selección de los facilitadores del proceso constituyente que el gobierno había decidido realizar y como es parte de las obligaciones del Servicio, ellos pueden realizar tareas que les soliciten Ministerios o Servicios en el entendido que si hay costos directos asociados a esas tareas deben ser cubiertas en forma adicional por los Servicios. </w:t>
      </w:r>
    </w:p>
    <w:p>
      <w:pPr>
        <w:rPr>
          <w:rFonts w:eastAsia="Times New Roman"/>
          <w:b w:val="0"/>
          <w:lang w:eastAsia="es-ES"/>
        </w:rPr>
      </w:pPr>
    </w:p>
    <w:p>
      <w:pPr>
        <w:rPr>
          <w:rFonts w:eastAsia="Times New Roman"/>
          <w:b w:val="0"/>
          <w:lang w:eastAsia="es-ES"/>
        </w:rPr>
      </w:pPr>
      <w:r>
        <w:rPr>
          <w:rFonts w:eastAsia="Times New Roman"/>
          <w:b w:val="0"/>
          <w:lang w:eastAsia="es-ES"/>
        </w:rPr>
        <w:tab/>
        <w:t>Señaló que siempre estas tareas son aprobadas por el Ministerio de Hacienda y ellos recibieron un oficio en diciembre del año pasado del Ministro de Hacienda en que les instruyó poder hacer este proceso de selección de los facilitadores. En ese oficio el Ministro les señalaba que los costos directos que tuvieran relación con ese proceso que eran fundamentalmente costos de publicidad de los procesos, los costos de las consultoras que iban a hacer la evaluación de los candidatos y los costos de la realización de las entrevistas en terreno, básicamente eran esos tres tipos de costo que iban a ser cubiertos en forma adicional por las normas generales aplicables cuando se cubren gastos adicionales.</w:t>
      </w:r>
    </w:p>
    <w:p>
      <w:pPr>
        <w:rPr>
          <w:rFonts w:eastAsia="Times New Roman"/>
          <w:b w:val="0"/>
          <w:lang w:eastAsia="es-ES"/>
        </w:rPr>
      </w:pPr>
    </w:p>
    <w:p>
      <w:pPr>
        <w:rPr>
          <w:rFonts w:eastAsia="Times New Roman"/>
          <w:b w:val="0"/>
          <w:lang w:eastAsia="es-ES"/>
        </w:rPr>
      </w:pPr>
      <w:r>
        <w:rPr>
          <w:rFonts w:eastAsia="Times New Roman"/>
          <w:b w:val="0"/>
          <w:lang w:eastAsia="es-ES"/>
        </w:rPr>
        <w:tab/>
        <w:t>Señaló que hicieron la tarea, rindieron cuentas tanto al Ministerio de la Segpres como al Ministerio de Hacienda cuando ya terminó todo el proceso y eso fue en el mes de enero, para que esto pudiera organizarse en el tiempo que estaba planteado.</w:t>
      </w:r>
    </w:p>
    <w:p>
      <w:pPr>
        <w:rPr>
          <w:rFonts w:eastAsia="Times New Roman"/>
          <w:b w:val="0"/>
          <w:lang w:eastAsia="es-ES"/>
        </w:rPr>
      </w:pPr>
    </w:p>
    <w:p>
      <w:pPr>
        <w:rPr>
          <w:rFonts w:eastAsia="Times New Roman"/>
          <w:b w:val="0"/>
          <w:lang w:eastAsia="es-ES"/>
        </w:rPr>
      </w:pPr>
      <w:r>
        <w:rPr>
          <w:rFonts w:eastAsia="Times New Roman"/>
          <w:b w:val="0"/>
          <w:lang w:eastAsia="es-ES"/>
        </w:rPr>
        <w:tab/>
        <w:t>Informó que el costo adicional directo fue de 452 millones de pesos y, en definitiva, en el decreto de modificación presupuestaria el Ministro les comunicó que aplicaran 152 millones contra el fondo general de concursos que tiene el Servicio para financiar los gastos directos de los concursos de cargos adscritos y no adscritos al sistema de Alta Dirección Pública y les hicieron un aporte adicional de 300 millones de pesos para cubrir los 452. Por lo tanto esos 152 se aplicaron contra un fondo general que es un fondo indicativo general que cuando gastan menos esos recursos se devuelven a la Dirección de Presupuestos y cuando se demuestra que se gasta más la norma es que se suplementa.</w:t>
      </w:r>
    </w:p>
    <w:p>
      <w:pPr>
        <w:rPr>
          <w:rFonts w:eastAsia="Times New Roman"/>
          <w:b w:val="0"/>
          <w:lang w:eastAsia="es-ES"/>
        </w:rPr>
      </w:pPr>
    </w:p>
    <w:p>
      <w:pPr>
        <w:rPr>
          <w:rFonts w:eastAsia="Times New Roman"/>
          <w:b w:val="0"/>
          <w:lang w:eastAsia="es-ES"/>
        </w:rPr>
      </w:pPr>
      <w:r>
        <w:rPr>
          <w:rFonts w:eastAsia="Times New Roman"/>
          <w:b w:val="0"/>
          <w:lang w:eastAsia="es-ES"/>
        </w:rPr>
        <w:tab/>
        <w:t>El año 2014 gastaron menos y devolvieron alrededor de 600 millones de pesos porque había un cambio de gobierno y habían menos concursos. El año 2015 tuvieron un mayor gasto y tuvieron un aporte adicional de más o menos 400 millones y el año 2016 van a terminar el año con una menor cantidad de concursos que el año 2015 y van a quedar sin necesidad de pedir recursos adicionales y pudiendo haber cubierto esos 152 millones.</w:t>
      </w:r>
    </w:p>
    <w:p>
      <w:pPr>
        <w:rPr>
          <w:rFonts w:eastAsia="Times New Roman"/>
          <w:b w:val="0"/>
          <w:lang w:eastAsia="es-ES"/>
        </w:rPr>
      </w:pPr>
    </w:p>
    <w:p>
      <w:pPr>
        <w:rPr>
          <w:rFonts w:eastAsia="Times New Roman"/>
          <w:b w:val="0"/>
          <w:lang w:eastAsia="es-ES"/>
        </w:rPr>
      </w:pPr>
      <w:r>
        <w:rPr>
          <w:rFonts w:eastAsia="Times New Roman"/>
          <w:b w:val="0"/>
          <w:lang w:eastAsia="es-ES"/>
        </w:rPr>
        <w:tab/>
      </w:r>
      <w:r>
        <w:rPr>
          <w:rFonts w:eastAsia="Times New Roman"/>
          <w:lang w:eastAsia="es-ES"/>
        </w:rPr>
        <w:t>El Honorable Diputado señor Silva</w:t>
      </w:r>
      <w:r>
        <w:rPr>
          <w:rFonts w:eastAsia="Times New Roman"/>
          <w:b w:val="0"/>
          <w:lang w:eastAsia="es-ES"/>
        </w:rPr>
        <w:t xml:space="preserve"> agradeció la aclaración pero señaló que todavía tiene una duda respecto de que cuando se explicó en la Comisión el gasto adicional hace unas semanas o meses atrás se explicó que el Consejo de Observadores le había solicitado al gobierno un proceso más participativo y un cambio en los facilitadores y esto es distinto a lo que nos está explicando ahora ya que ahora explica que el oficio en que se le pide la ayuda fue de diciembre del año pasado. Le gustaría tener claridad que se revisara lo que se planteó al Subsecretario porque la explicación que se les dio para justificar el gasto adicional era que durante el año el Consejo de Observadores, dada la mayor demanda de participación ciudadana había pedido un proceso. Por lo tanto, no le coincide en que le haya llegado un oficio en diciembre. Solicita una aclaración, porque si fuera así hay un problema.</w:t>
      </w:r>
    </w:p>
    <w:p>
      <w:pPr>
        <w:rPr>
          <w:rFonts w:eastAsia="Times New Roman"/>
          <w:b w:val="0"/>
          <w:lang w:eastAsia="es-ES"/>
        </w:rPr>
      </w:pPr>
    </w:p>
    <w:p>
      <w:pPr>
        <w:rPr>
          <w:rFonts w:eastAsia="Times New Roman"/>
          <w:b w:val="0"/>
          <w:lang w:eastAsia="es-ES"/>
        </w:rPr>
      </w:pPr>
      <w:r>
        <w:rPr>
          <w:rFonts w:eastAsia="Times New Roman"/>
          <w:b w:val="0"/>
          <w:lang w:eastAsia="es-ES"/>
        </w:rPr>
        <w:tab/>
      </w:r>
      <w:r>
        <w:t xml:space="preserve">El Director Nacional de Servicio Civil, señor Egaña </w:t>
      </w:r>
      <w:r>
        <w:rPr>
          <w:rFonts w:eastAsia="Times New Roman"/>
          <w:b w:val="0"/>
          <w:lang w:eastAsia="es-ES"/>
        </w:rPr>
        <w:t>manifestó que toda la información de parte del Servicio se encuentra en la Secretaría de esta Subcomisión porque se les pidió por oficio toda la información y toda la entregaron después de la revisión de la ejecución presupuestaria de mediados de año en que les pidieron entregar esta información. Recibieron un oficio y lo contestaron con toda la información en que venían los oficios de Segpres.</w:t>
      </w:r>
    </w:p>
    <w:p>
      <w:pPr>
        <w:rPr>
          <w:rFonts w:eastAsia="Times New Roman"/>
          <w:b w:val="0"/>
          <w:lang w:eastAsia="es-ES"/>
        </w:rPr>
      </w:pPr>
    </w:p>
    <w:p>
      <w:pPr>
        <w:rPr>
          <w:rFonts w:eastAsia="Times New Roman"/>
          <w:b w:val="0"/>
          <w:lang w:eastAsia="es-ES"/>
        </w:rPr>
      </w:pPr>
      <w:r>
        <w:rPr>
          <w:rFonts w:eastAsia="Times New Roman"/>
          <w:b w:val="0"/>
          <w:lang w:eastAsia="es-ES"/>
        </w:rPr>
        <w:tab/>
      </w:r>
      <w:r>
        <w:rPr>
          <w:rFonts w:eastAsia="Times New Roman"/>
          <w:lang w:eastAsia="es-ES"/>
        </w:rPr>
        <w:t xml:space="preserve">El Honorable Diputado señor Silva </w:t>
      </w:r>
      <w:r>
        <w:rPr>
          <w:rFonts w:eastAsia="Times New Roman"/>
          <w:b w:val="0"/>
          <w:lang w:eastAsia="es-ES"/>
        </w:rPr>
        <w:t>aclara que no fue la información de la Dirección Nacional de Servicio Civil sino que quiere que se pueda revisar para aclarar esa duda porque era un tema importante.</w:t>
      </w:r>
    </w:p>
    <w:p>
      <w:pPr>
        <w:rPr>
          <w:rFonts w:eastAsia="Times New Roman"/>
          <w:b w:val="0"/>
          <w:lang w:eastAsia="es-ES"/>
        </w:rPr>
      </w:pPr>
    </w:p>
    <w:p>
      <w:pPr>
        <w:rPr>
          <w:rFonts w:eastAsia="Times New Roman"/>
          <w:b w:val="0"/>
          <w:lang w:eastAsia="es-ES"/>
        </w:rPr>
      </w:pPr>
      <w:r>
        <w:rPr>
          <w:rFonts w:eastAsia="Times New Roman"/>
          <w:b w:val="0"/>
          <w:lang w:eastAsia="es-ES"/>
        </w:rPr>
        <w:tab/>
        <w:t>Además, consultó, respecto del ítem calificaciones, el que según se ha informado se encuentra en proceso de revisión de los reglamentos de calificaciones.</w:t>
      </w:r>
    </w:p>
    <w:p>
      <w:pPr>
        <w:rPr>
          <w:rFonts w:eastAsia="Times New Roman"/>
          <w:b w:val="0"/>
          <w:lang w:eastAsia="es-ES"/>
        </w:rPr>
      </w:pPr>
    </w:p>
    <w:p>
      <w:pPr>
        <w:rPr>
          <w:rFonts w:eastAsia="Times New Roman"/>
          <w:b w:val="0"/>
          <w:lang w:eastAsia="es-ES"/>
        </w:rPr>
      </w:pPr>
      <w:r>
        <w:rPr>
          <w:rFonts w:eastAsia="Times New Roman"/>
          <w:b w:val="0"/>
          <w:lang w:eastAsia="es-ES"/>
        </w:rPr>
        <w:tab/>
      </w:r>
      <w:r>
        <w:rPr>
          <w:rFonts w:eastAsia="Times New Roman"/>
          <w:b w:val="0"/>
          <w:lang w:eastAsia="es-ES"/>
        </w:rPr>
        <w:tab/>
        <w:t>En seguida, e</w:t>
      </w:r>
      <w:r>
        <w:t>l Presidente de la Subcomisión Honorable Diputado señor De Mussy</w:t>
      </w:r>
      <w:r>
        <w:rPr>
          <w:rFonts w:eastAsia="Times New Roman"/>
          <w:b w:val="0"/>
          <w:lang w:eastAsia="es-ES"/>
        </w:rPr>
        <w:t xml:space="preserve"> comentó que se habla que este es un presupuesto de continuidad pero dentro de él no están incluidos los 300 millones de pesos que se le ingresaron en forma extra, o sea, el presupuesto comprende la ley inicial.</w:t>
      </w:r>
    </w:p>
    <w:p>
      <w:pPr>
        <w:rPr>
          <w:rFonts w:eastAsia="Times New Roman"/>
          <w:b w:val="0"/>
          <w:lang w:eastAsia="es-ES"/>
        </w:rPr>
      </w:pPr>
    </w:p>
    <w:p>
      <w:pPr>
        <w:rPr>
          <w:rFonts w:eastAsia="Times New Roman"/>
          <w:b w:val="0"/>
          <w:lang w:eastAsia="es-ES"/>
        </w:rPr>
      </w:pPr>
      <w:r>
        <w:rPr>
          <w:rFonts w:eastAsia="Times New Roman"/>
          <w:b w:val="0"/>
          <w:lang w:eastAsia="es-ES"/>
        </w:rPr>
        <w:tab/>
      </w:r>
      <w:r>
        <w:t xml:space="preserve">El Director Nacional de Servicio Civil, señor Egaña </w:t>
      </w:r>
      <w:r>
        <w:rPr>
          <w:rFonts w:eastAsia="Times New Roman"/>
          <w:b w:val="0"/>
          <w:lang w:eastAsia="es-ES"/>
        </w:rPr>
        <w:t>añadió que tampoco está incluido lo que va a llegar a ese Fondo como potencial autorización de gasto producto del informe financiero de la nueva ley, que en el informe financiero viene también un aumento debido a 200 cargos ADP que ingresan al sistema y ese es el fondo. O sea, hay 12 cargos de dotación.</w:t>
      </w:r>
    </w:p>
    <w:p>
      <w:pPr>
        <w:rPr>
          <w:rFonts w:eastAsia="Times New Roman"/>
          <w:b w:val="0"/>
          <w:lang w:eastAsia="es-ES"/>
        </w:rPr>
      </w:pPr>
    </w:p>
    <w:p>
      <w:pPr>
        <w:rPr>
          <w:rFonts w:eastAsia="Times New Roman"/>
          <w:b w:val="0"/>
          <w:lang w:eastAsia="es-ES"/>
        </w:rPr>
      </w:pPr>
      <w:r>
        <w:rPr>
          <w:rFonts w:eastAsia="Times New Roman"/>
          <w:b w:val="0"/>
          <w:lang w:eastAsia="es-ES"/>
        </w:rPr>
        <w:tab/>
      </w:r>
      <w:r>
        <w:rPr>
          <w:rFonts w:eastAsia="Times New Roman"/>
          <w:lang w:eastAsia="es-ES"/>
        </w:rPr>
        <w:t>El Honorable Diputado señor Silva</w:t>
      </w:r>
      <w:r>
        <w:rPr>
          <w:rFonts w:eastAsia="Times New Roman"/>
          <w:b w:val="0"/>
          <w:lang w:eastAsia="es-ES"/>
        </w:rPr>
        <w:t xml:space="preserve"> solicitó información respecto de la fecha de creación del Consejo Ciudadano de Observadores.</w:t>
      </w:r>
    </w:p>
    <w:p>
      <w:pPr>
        <w:rPr>
          <w:rFonts w:eastAsia="Times New Roman"/>
          <w:b w:val="0"/>
          <w:lang w:eastAsia="es-ES"/>
        </w:rPr>
      </w:pPr>
    </w:p>
    <w:p>
      <w:pPr>
        <w:rPr>
          <w:rFonts w:eastAsia="Times New Roman"/>
          <w:b w:val="0"/>
          <w:lang w:eastAsia="es-ES"/>
        </w:rPr>
      </w:pPr>
      <w:r>
        <w:rPr>
          <w:rFonts w:eastAsia="Times New Roman"/>
          <w:b w:val="0"/>
          <w:lang w:eastAsia="es-ES"/>
        </w:rPr>
        <w:tab/>
        <w:t>En seguida, dio lectura a el Acta de la sesión de la Subcomisión de 14 de septiembre de 2016, en la cual el Ministro de Hacienda señaló “que desde el gobierno se les encomendó al Servicio Civil realizar el aludido procedimiento producto de una sugerencia efectuada por el Consejo Ciudadano de Observadores del Proceso Constituyente en el cual se señalaba que para efectos de otorgar mayor imparcialidad a dicho proceso se utilizaran parámetros objetivos para seleccionar a los facilitadores de los cabildos ciudadanos, sugerencia que fue acogida por el gobierno. Así, agregó, se utilizó la infraestructura de dicho organismo para llevar a cabo esa operación”.</w:t>
      </w:r>
    </w:p>
    <w:p>
      <w:pPr>
        <w:rPr>
          <w:rFonts w:eastAsia="Times New Roman"/>
          <w:b w:val="0"/>
          <w:lang w:eastAsia="es-ES"/>
        </w:rPr>
      </w:pPr>
    </w:p>
    <w:p>
      <w:pPr>
        <w:rPr>
          <w:rFonts w:eastAsia="Times New Roman"/>
          <w:b w:val="0"/>
          <w:lang w:eastAsia="es-ES"/>
        </w:rPr>
      </w:pPr>
      <w:r>
        <w:rPr>
          <w:rFonts w:eastAsia="Times New Roman"/>
          <w:b w:val="0"/>
          <w:lang w:eastAsia="es-ES"/>
        </w:rPr>
        <w:tab/>
        <w:t>Quiere saber si estaba funcionando el Consejo de Observadores en diciembre del 2015 cuando le llegó el oficio a la Dirección Nacional del Servicio Civil que es de lo que se hace cargo el Ministro. Agregó que entendieron que había una razón para el gasto y si no lo que hubo simplemente es que estaba contemplado en la Ley de Presupuestos y no lo incluyeron se trataba de gastar más recursos en el proceso constituyente y no les dijeron. Solicita que lo puedan revisar. Más que para la Dirección Nacional es una pregunta para el Ministerio de Hacienda porque es el Ministro el que dice que el Consejo de Observadores lo pidió.</w:t>
      </w:r>
    </w:p>
    <w:p>
      <w:pPr>
        <w:rPr>
          <w:rFonts w:eastAsia="Times New Roman"/>
          <w:b w:val="0"/>
          <w:lang w:eastAsia="es-ES"/>
        </w:rPr>
      </w:pPr>
    </w:p>
    <w:p>
      <w:pPr>
        <w:rPr>
          <w:rFonts w:eastAsia="Times New Roman"/>
          <w:b w:val="0"/>
          <w:lang w:eastAsia="es-ES"/>
        </w:rPr>
      </w:pPr>
      <w:r>
        <w:rPr>
          <w:rFonts w:eastAsia="Times New Roman"/>
          <w:b w:val="0"/>
          <w:lang w:eastAsia="es-ES"/>
        </w:rPr>
        <w:tab/>
      </w:r>
      <w:r>
        <w:t xml:space="preserve">El Director Nacional de Servicio Civil, señor Egaña </w:t>
      </w:r>
      <w:r>
        <w:rPr>
          <w:rFonts w:eastAsia="Times New Roman"/>
          <w:b w:val="0"/>
          <w:lang w:eastAsia="es-ES"/>
        </w:rPr>
        <w:t>señaló que efectivamente si bien formalmente no llegó de la Segpres la petición de hacer esta tarea todo el trabajo de diseño del proceso se hizo con el Consejo de Observadores. Con él se discutieron las bases, las características del proceso de reclutamiento, las condiciones, el cómo se iba  a hacer, dónde, cuándo y miembros del Consejo de Observadores participaron en todo el proceso de selección.</w:t>
      </w:r>
    </w:p>
    <w:p>
      <w:pPr>
        <w:rPr>
          <w:rFonts w:eastAsia="Times New Roman"/>
          <w:b w:val="0"/>
          <w:lang w:eastAsia="es-ES"/>
        </w:rPr>
      </w:pPr>
    </w:p>
    <w:p>
      <w:pPr>
        <w:rPr>
          <w:rFonts w:eastAsia="Times New Roman"/>
          <w:b w:val="0"/>
          <w:lang w:eastAsia="es-ES"/>
        </w:rPr>
      </w:pPr>
      <w:r>
        <w:rPr>
          <w:rFonts w:eastAsia="Times New Roman"/>
          <w:b w:val="0"/>
          <w:lang w:eastAsia="es-ES"/>
        </w:rPr>
        <w:tab/>
        <w:t>Agregó que tendría que revisar también exactamente cuándo formalmente se dictó el decreto presidencial que crea el Consejo pero fue un proceso que estaba en preparación pero que el contenido del proceso más que discutido con la Segpres fue en varias sesiones discutido con el Consejo. Partió el año 2015.</w:t>
      </w:r>
    </w:p>
    <w:p>
      <w:pPr>
        <w:rPr>
          <w:rFonts w:eastAsia="Times New Roman"/>
          <w:b w:val="0"/>
          <w:lang w:eastAsia="es-ES"/>
        </w:rPr>
      </w:pPr>
    </w:p>
    <w:p>
      <w:pPr>
        <w:rPr>
          <w:rFonts w:eastAsia="Times New Roman"/>
          <w:b w:val="0"/>
          <w:lang w:eastAsia="es-ES"/>
        </w:rPr>
      </w:pPr>
      <w:r>
        <w:rPr>
          <w:rFonts w:eastAsia="Times New Roman"/>
          <w:b w:val="0"/>
          <w:lang w:eastAsia="es-ES"/>
        </w:rPr>
        <w:tab/>
      </w:r>
      <w:r>
        <w:rPr>
          <w:rFonts w:eastAsia="Times New Roman"/>
          <w:lang w:eastAsia="es-ES"/>
        </w:rPr>
        <w:t>El Honorable Diputado señor Silva</w:t>
      </w:r>
      <w:r>
        <w:rPr>
          <w:rFonts w:eastAsia="Times New Roman"/>
          <w:b w:val="0"/>
          <w:lang w:eastAsia="es-ES"/>
        </w:rPr>
        <w:t xml:space="preserve"> pidió hacer llegar a la Subcomisión la solicitud formulada por el Consejo de Observadores al gobierno de mejorar el proceso de selección de facilitadores.</w:t>
      </w:r>
    </w:p>
    <w:p>
      <w:pPr>
        <w:rPr>
          <w:rFonts w:eastAsia="Times New Roman"/>
          <w:b w:val="0"/>
          <w:lang w:eastAsia="es-ES"/>
        </w:rPr>
      </w:pPr>
    </w:p>
    <w:p>
      <w:pPr>
        <w:rPr>
          <w:rFonts w:eastAsia="Times New Roman"/>
          <w:b w:val="0"/>
          <w:lang w:eastAsia="es-ES"/>
        </w:rPr>
      </w:pPr>
      <w:r>
        <w:rPr>
          <w:rFonts w:eastAsia="Times New Roman"/>
          <w:b w:val="0"/>
          <w:lang w:eastAsia="es-ES"/>
        </w:rPr>
        <w:tab/>
        <w:t>También, solicitó, en el tema de calificaciones, se informe cómo va el proceso de revisión de los reglamentos de calificaciones de los distintos Servicios.</w:t>
      </w:r>
    </w:p>
    <w:p>
      <w:pPr>
        <w:rPr>
          <w:rFonts w:eastAsia="Times New Roman"/>
          <w:b w:val="0"/>
          <w:lang w:eastAsia="es-ES"/>
        </w:rPr>
      </w:pPr>
    </w:p>
    <w:p>
      <w:pPr>
        <w:rPr>
          <w:rFonts w:eastAsia="Times New Roman"/>
          <w:b w:val="0"/>
          <w:lang w:eastAsia="es-ES"/>
        </w:rPr>
      </w:pPr>
      <w:r>
        <w:rPr>
          <w:rFonts w:eastAsia="Times New Roman"/>
          <w:b w:val="0"/>
          <w:lang w:eastAsia="es-ES"/>
        </w:rPr>
        <w:tab/>
      </w:r>
      <w:r>
        <w:t xml:space="preserve">El Director Nacional de Servicio Civil, señor Egaña </w:t>
      </w:r>
      <w:r>
        <w:rPr>
          <w:rFonts w:eastAsia="Times New Roman"/>
          <w:b w:val="0"/>
          <w:lang w:eastAsia="es-ES"/>
        </w:rPr>
        <w:t>señaló, que es una tarea que empieza una vez que la ley entra en vigencia. Hoy día los reglamentos son visados por el Servicio pero no hay un estudio de su contenido sustantivo. Es una tarea que se le adiciona al Servicio y que, por lo tanto, habrá que empezarla a hacer a fines de este año y a comienzos del próximo.</w:t>
      </w:r>
    </w:p>
    <w:p>
      <w:pPr>
        <w:rPr>
          <w:rFonts w:eastAsia="Times New Roman"/>
          <w:b w:val="0"/>
          <w:lang w:eastAsia="es-ES"/>
        </w:rPr>
      </w:pPr>
    </w:p>
    <w:p>
      <w:pPr>
        <w:rPr>
          <w:rFonts w:eastAsia="Times New Roman"/>
          <w:lang w:eastAsia="es-ES"/>
        </w:rPr>
      </w:pPr>
      <w:r>
        <w:rPr>
          <w:rFonts w:eastAsia="Times New Roman"/>
          <w:b w:val="0"/>
          <w:lang w:eastAsia="es-ES"/>
        </w:rPr>
        <w:tab/>
      </w:r>
      <w:r>
        <w:rPr>
          <w:rFonts w:eastAsia="Times New Roman"/>
          <w:lang w:eastAsia="es-ES"/>
        </w:rPr>
        <w:t>El Honorable Diputado señor Silva</w:t>
      </w:r>
      <w:r>
        <w:rPr>
          <w:rFonts w:eastAsia="Times New Roman"/>
          <w:b w:val="0"/>
          <w:lang w:eastAsia="es-ES"/>
        </w:rPr>
        <w:t xml:space="preserve"> consultó si tienen contemplado hacer un primer estudio de línea base de cuál es la situación de las normas de calificación a los Servicios. </w:t>
      </w:r>
    </w:p>
    <w:p>
      <w:pPr>
        <w:rPr>
          <w:rFonts w:eastAsia="Times New Roman"/>
          <w:b w:val="0"/>
          <w:lang w:eastAsia="es-ES"/>
        </w:rPr>
      </w:pPr>
    </w:p>
    <w:p>
      <w:pPr>
        <w:rPr>
          <w:b w:val="0"/>
        </w:rPr>
      </w:pPr>
      <w:r>
        <w:rPr>
          <w:b w:val="0"/>
        </w:rPr>
        <w:tab/>
      </w:r>
      <w:r>
        <w:t xml:space="preserve">El Director Nacional de Servicio Civil, señor Egaña </w:t>
      </w:r>
      <w:r>
        <w:rPr>
          <w:b w:val="0"/>
        </w:rPr>
        <w:t>respondió que no lo tienen expresamente contemplado pero sí están realizando ahora el segundo barómetro. El primer barómetro del empleo público se hizo a fines del 2013 y están realizando su segunda versión y ahí vienen elementos generales. Cree que es muy buena la sugerencia de poder hacer un análisis del estado de los reglamentos en general.</w:t>
      </w:r>
    </w:p>
    <w:p>
      <w:pPr>
        <w:rPr>
          <w:b w:val="0"/>
        </w:rPr>
      </w:pPr>
    </w:p>
    <w:p>
      <w:pPr>
        <w:rPr>
          <w:b w:val="0"/>
        </w:rPr>
      </w:pPr>
    </w:p>
    <w:p>
      <w:pPr>
        <w:rPr>
          <w:b w:val="0"/>
        </w:rPr>
      </w:pPr>
      <w:r>
        <w:rPr>
          <w:b w:val="0"/>
        </w:rPr>
        <w:tab/>
      </w:r>
      <w:r>
        <w:t>El Honorable Diputado señor Schilling</w:t>
      </w:r>
      <w:r>
        <w:rPr>
          <w:b w:val="0"/>
        </w:rPr>
        <w:t xml:space="preserve"> se refirió al apoyo que les dan a las Municipalidades para la selección de los Directores de Establecimientos Educacionales, consultó cuál es la naturaleza de la recomendación o del apoyo que hace la ADP si es imperativa o simplemente fija un marco dentro del cual actuarán.</w:t>
      </w:r>
    </w:p>
    <w:p>
      <w:pPr>
        <w:rPr>
          <w:b w:val="0"/>
        </w:rPr>
      </w:pPr>
    </w:p>
    <w:p>
      <w:pPr>
        <w:rPr>
          <w:b w:val="0"/>
        </w:rPr>
      </w:pPr>
    </w:p>
    <w:p>
      <w:pPr>
        <w:rPr>
          <w:b w:val="0"/>
        </w:rPr>
      </w:pPr>
      <w:r>
        <w:rPr>
          <w:b w:val="0"/>
        </w:rPr>
        <w:tab/>
      </w:r>
      <w:r>
        <w:t xml:space="preserve">El Director Nacional de Servicio Civil, señor Egaña </w:t>
      </w:r>
      <w:r>
        <w:rPr>
          <w:b w:val="0"/>
        </w:rPr>
        <w:t>informó que el proceso lo dirige el sostenedor, ya sea la Corporación Educacional o el municipio a través del DAE. Ellos son los responsables del proceso lo que ellos hacen es entregarle la asesoría técnica para la evaluación de los postulantes. El trabajo, normalmente, para los cargos de la AD lo hacen las empresas consultoras. En este caso lo pueden hacer o empresas consultoras o dependiendo de la cantidad, del lugar, del tamaño lo pueden hacer profesionales individuales que hacen la evaluación de los candidatos, la entrevista de todos los postulantes a director y le entregan ese resultado a una comisión que está formada por un representante del Sostenedor, por un profesional experto representante del Consejo de la ADP y por un Director de Escuela que es seleccionado por el cuerpo docente del municipio.</w:t>
      </w:r>
    </w:p>
    <w:p>
      <w:pPr>
        <w:rPr>
          <w:b w:val="0"/>
        </w:rPr>
      </w:pPr>
    </w:p>
    <w:p>
      <w:pPr>
        <w:rPr>
          <w:b w:val="0"/>
        </w:rPr>
      </w:pPr>
    </w:p>
    <w:p>
      <w:pPr>
        <w:rPr>
          <w:b w:val="0"/>
        </w:rPr>
      </w:pPr>
      <w:r>
        <w:rPr>
          <w:b w:val="0"/>
        </w:rPr>
        <w:tab/>
      </w:r>
      <w:r>
        <w:t>El Honorable Diputado señor Schilling</w:t>
      </w:r>
      <w:r>
        <w:rPr>
          <w:b w:val="0"/>
        </w:rPr>
        <w:t xml:space="preserve"> consultó quién le hace la recomendación a ese grupo de personas.</w:t>
      </w:r>
    </w:p>
    <w:p>
      <w:pPr>
        <w:rPr>
          <w:b w:val="0"/>
        </w:rPr>
      </w:pPr>
    </w:p>
    <w:p>
      <w:pPr>
        <w:rPr>
          <w:b w:val="0"/>
        </w:rPr>
      </w:pPr>
    </w:p>
    <w:p>
      <w:pPr>
        <w:rPr>
          <w:b w:val="0"/>
        </w:rPr>
      </w:pPr>
      <w:r>
        <w:rPr>
          <w:b w:val="0"/>
        </w:rPr>
        <w:tab/>
      </w:r>
      <w:r>
        <w:t>El Director Nacional de Servicio Civil, señor Egaña</w:t>
      </w:r>
      <w:r>
        <w:rPr>
          <w:b w:val="0"/>
        </w:rPr>
        <w:t xml:space="preserve">  respondió que lo hace una asesoría técnica externa que puede ser una empresa consultora o un grupo de sicólogos. Esta Comisión la eligen ellos como Dirección de Servicio Civil.</w:t>
      </w:r>
    </w:p>
    <w:p>
      <w:pPr>
        <w:rPr>
          <w:b w:val="0"/>
        </w:rPr>
      </w:pPr>
    </w:p>
    <w:p>
      <w:pPr>
        <w:rPr>
          <w:b w:val="0"/>
        </w:rPr>
      </w:pPr>
    </w:p>
    <w:p>
      <w:pPr>
        <w:rPr>
          <w:b w:val="0"/>
        </w:rPr>
      </w:pPr>
      <w:r>
        <w:rPr>
          <w:b w:val="0"/>
        </w:rPr>
        <w:tab/>
      </w:r>
      <w:r>
        <w:t>El Honorable Diputado señor Schilling</w:t>
      </w:r>
      <w:r>
        <w:rPr>
          <w:b w:val="0"/>
        </w:rPr>
        <w:t xml:space="preserve"> denunció que acaba de ocurrir en Quilpué un gran escándalo en el Colegio de Profesores porque fue propuesto para Director del Liceo Comercial una persona que tenía un proceso por falsificación de instrumento público. </w:t>
      </w:r>
    </w:p>
    <w:p>
      <w:pPr>
        <w:rPr>
          <w:b w:val="0"/>
        </w:rPr>
      </w:pPr>
    </w:p>
    <w:p>
      <w:pPr>
        <w:rPr>
          <w:b w:val="0"/>
        </w:rPr>
      </w:pPr>
      <w:r>
        <w:rPr>
          <w:b w:val="0"/>
        </w:rPr>
        <w:tab/>
      </w:r>
      <w:r>
        <w:t xml:space="preserve">El Director Nacional de Servicio Civil, señor Egaña </w:t>
      </w:r>
      <w:r>
        <w:rPr>
          <w:b w:val="0"/>
        </w:rPr>
        <w:t>señaló que este tema no es fácil de resolver ya que es la ley que se acaba de aprobar la que crea una facultad para poderlo representar.</w:t>
      </w:r>
    </w:p>
    <w:p>
      <w:pPr>
        <w:rPr>
          <w:b w:val="0"/>
        </w:rPr>
      </w:pPr>
    </w:p>
    <w:p>
      <w:pPr>
        <w:rPr>
          <w:b w:val="0"/>
        </w:rPr>
      </w:pPr>
      <w:r>
        <w:rPr>
          <w:b w:val="0"/>
        </w:rPr>
        <w:tab/>
        <w:t xml:space="preserve">Informó que ahora todo postulante firma una declaración jurada por la cual certifica que no tiene nada pendiente con la justicia. Muchas veces las declaraciones juradas no reflejan la realidad de la situación. En los procesos de entrevista hay una pregunta establecida por procedimiento que al término de ésta se le pregunta si la persona no tiene ninguna situación que pueda complejizar el nombramiento a pesar de que no sea inhabilitante legal para el nombramiento porque una situación como la que se señala molesta y complejiza porque puede que no sea inhabilitante legal pero les ha pasado que llegan en nómina personas que tienen antecedentes como el señalado. Ahora en la ley que se acaba de promulgar se establece la posibilidad de que el Servicio Civil acceda a sistemas de información reservados sobre las personas que van en nombre. En los procesos de selección de Directores de Establecimientos pasan a regirse por la norma general por ello, en este caso, si hubiera estado la ley podrían haber accedido a los antecedentes que son Dicom, antecedentes del Poder Judicial o antecedentes de la Superintendencia de Bancos o de Seguros, etc. </w:t>
      </w:r>
    </w:p>
    <w:p>
      <w:pPr>
        <w:rPr>
          <w:b w:val="0"/>
        </w:rPr>
      </w:pPr>
    </w:p>
    <w:p>
      <w:pPr>
        <w:rPr>
          <w:b w:val="0"/>
        </w:rPr>
      </w:pPr>
    </w:p>
    <w:p>
      <w:pPr>
        <w:rPr>
          <w:b w:val="0"/>
        </w:rPr>
      </w:pPr>
      <w:r>
        <w:rPr>
          <w:b w:val="0"/>
        </w:rPr>
        <w:tab/>
        <w:t xml:space="preserve">Finalmente, el </w:t>
      </w:r>
      <w:r>
        <w:t xml:space="preserve">Honorable Senador señor Coloma </w:t>
      </w:r>
      <w:r>
        <w:rPr>
          <w:b w:val="0"/>
        </w:rPr>
        <w:t xml:space="preserve">solicitó se envíe copia del Acta o Acuerdo en que conste que el Consejo de Observadores del Proceso Constituyente, solicitó al Ejecutivo realizar la selección de los facilitadores por un organismo independiente. </w:t>
      </w:r>
    </w:p>
    <w:p>
      <w:pPr>
        <w:rPr>
          <w:b w:val="0"/>
        </w:rPr>
      </w:pPr>
    </w:p>
    <w:p>
      <w:pPr>
        <w:rPr>
          <w:b w:val="0"/>
        </w:rPr>
      </w:pPr>
    </w:p>
    <w:p>
      <w:pPr>
        <w:rPr>
          <w:b w:val="0"/>
        </w:rPr>
      </w:pPr>
      <w:r>
        <w:rPr>
          <w:b w:val="0"/>
        </w:rPr>
        <w:tab/>
      </w:r>
      <w:r>
        <w:rPr>
          <w:b w:val="0"/>
        </w:rPr>
        <w:tab/>
      </w:r>
      <w:r>
        <w:t>El Presidente de la Subcomisión, Honorable Diputado señor De Mussy</w:t>
      </w:r>
      <w:r>
        <w:rPr>
          <w:b w:val="0"/>
        </w:rPr>
        <w:t xml:space="preserve"> consultó respecto del Concurso Funciona que es un programa que hasta el año pasado tenía otro nombre, hay un aumento en gastos de personal y una reducción en bienes y servicios, solicitó una explicación al respecto y si la evaluación es buena y cuántos son los beneficiados.</w:t>
      </w:r>
    </w:p>
    <w:p>
      <w:pPr>
        <w:rPr>
          <w:b w:val="0"/>
        </w:rPr>
      </w:pPr>
    </w:p>
    <w:p>
      <w:pPr>
        <w:rPr>
          <w:b w:val="0"/>
        </w:rPr>
      </w:pPr>
    </w:p>
    <w:p>
      <w:pPr>
        <w:rPr>
          <w:b w:val="0"/>
        </w:rPr>
      </w:pPr>
      <w:r>
        <w:rPr>
          <w:b w:val="0"/>
        </w:rPr>
        <w:tab/>
      </w:r>
      <w:r>
        <w:t xml:space="preserve">El Director Nacional de Servicio Civil, señor Egaña </w:t>
      </w:r>
      <w:r>
        <w:rPr>
          <w:b w:val="0"/>
        </w:rPr>
        <w:t xml:space="preserve">informó que es un programa que se creó durante el gobierno del Presidente Piñera y que el Subsecretario decidió traspasar su administración al Servicio Civil y al inicio de este gobierno su evaluación fue positiva. Está destinado a premiar iniciativas de innovación implementadas por grupos de funcionarios públicos. El programa se mantiene en sus mismas características, hay un jurado que decide, hay un grupo de evaluación técnica de las propuestas que se presentan al concurso y al final se seleccionan 3 ganadores que viajan a países de América Latina a conocer una experiencia similar y tienen por misión devolver lo aprendido a su Servicio y difundirlo. No tiene mayores cambios salvo el cambio de nombre. Antes se llamaba “Desafío e Innovación” Es un proyecto que ya tiene 5 años con buena evaluación. </w:t>
      </w:r>
    </w:p>
    <w:p>
      <w:pPr>
        <w:rPr>
          <w:rFonts w:eastAsia="Times New Roman"/>
          <w:lang w:eastAsia="es-ES"/>
        </w:rPr>
      </w:pPr>
    </w:p>
    <w:p>
      <w:pPr>
        <w:rPr>
          <w:rFonts w:eastAsia="Times New Roman"/>
          <w:lang w:eastAsia="es-ES"/>
        </w:rPr>
      </w:pPr>
    </w:p>
    <w:p>
      <w:pPr>
        <w:rPr>
          <w:lang w:val="es-ES_tradnl"/>
        </w:rPr>
      </w:pPr>
      <w:r>
        <w:rPr>
          <w:lang w:val="es-ES_tradnl"/>
        </w:rPr>
        <w:tab/>
        <w:t>Sometido a votación el Capítulo 15, Programa 01, fue aprobado sin enmiendas por la unanimidad de los miembros presentes de la Subcomisión, Honorable Diputado señor De Mussy (Presidente), Honorables Senadores señores Coloma y Tuma, y Honorables Diputados señores Schilling y Silva.</w:t>
      </w:r>
    </w:p>
    <w:p>
      <w:pPr>
        <w:rPr>
          <w:rFonts w:eastAsia="Times New Roman"/>
          <w:b w:val="0"/>
          <w:highlight w:val="yellow"/>
          <w:lang w:val="es-ES_tradnl" w:eastAsia="es-ES"/>
        </w:rPr>
      </w:pPr>
    </w:p>
    <w:p>
      <w:pPr>
        <w:rPr>
          <w:rFonts w:eastAsia="Times New Roman"/>
          <w:b w:val="0"/>
          <w:highlight w:val="yellow"/>
          <w:lang w:val="es-ES_tradnl" w:eastAsia="es-ES"/>
        </w:rPr>
      </w:pPr>
    </w:p>
    <w:p>
      <w:pPr>
        <w:jc w:val="center"/>
        <w:rPr>
          <w:rFonts w:eastAsia="Times New Roman"/>
          <w:lang w:eastAsia="es-ES"/>
        </w:rPr>
      </w:pPr>
      <w:r>
        <w:rPr>
          <w:rFonts w:eastAsia="Times New Roman"/>
          <w:lang w:eastAsia="es-ES"/>
        </w:rPr>
        <w:t>CAPITULO 16</w:t>
      </w:r>
    </w:p>
    <w:p>
      <w:pPr>
        <w:jc w:val="center"/>
        <w:rPr>
          <w:rFonts w:eastAsia="Times New Roman"/>
          <w:lang w:eastAsia="es-ES"/>
        </w:rPr>
      </w:pPr>
    </w:p>
    <w:p>
      <w:pPr>
        <w:keepNext/>
        <w:jc w:val="center"/>
        <w:outlineLvl w:val="1"/>
        <w:rPr>
          <w:rFonts w:eastAsia="Times New Roman"/>
          <w:lang w:eastAsia="es-ES"/>
        </w:rPr>
      </w:pPr>
      <w:r>
        <w:rPr>
          <w:rFonts w:eastAsia="Times New Roman"/>
          <w:lang w:eastAsia="es-ES"/>
        </w:rPr>
        <w:t>Programa 01</w:t>
      </w:r>
    </w:p>
    <w:p>
      <w:pPr>
        <w:jc w:val="center"/>
        <w:rPr>
          <w:rFonts w:eastAsia="Times New Roman"/>
          <w:lang w:eastAsia="es-ES"/>
        </w:rPr>
      </w:pPr>
      <w:r>
        <w:rPr>
          <w:rFonts w:eastAsia="Times New Roman"/>
          <w:lang w:eastAsia="es-ES"/>
        </w:rPr>
        <w:t>Unidad de Análisis Financiero</w:t>
      </w:r>
    </w:p>
    <w:p>
      <w:pPr>
        <w:rPr>
          <w:rFonts w:eastAsia="Times New Roman"/>
          <w:lang w:eastAsia="es-ES"/>
        </w:rPr>
      </w:pPr>
    </w:p>
    <w:p>
      <w:pPr>
        <w:rPr>
          <w:rFonts w:eastAsia="Times New Roman"/>
          <w:b w:val="0"/>
          <w:lang w:eastAsia="es-ES"/>
        </w:rPr>
      </w:pPr>
      <w:r>
        <w:rPr>
          <w:rFonts w:eastAsia="Times New Roman"/>
          <w:lang w:eastAsia="es-ES"/>
        </w:rPr>
        <w:tab/>
      </w:r>
      <w:r>
        <w:rPr>
          <w:rFonts w:eastAsia="Times New Roman"/>
          <w:b w:val="0"/>
          <w:lang w:eastAsia="es-ES"/>
        </w:rPr>
        <w:t xml:space="preserve">Considera ingresos y gastos por </w:t>
      </w:r>
      <w:r>
        <w:rPr>
          <w:rFonts w:eastAsia="Times New Roman"/>
          <w:lang w:eastAsia="es-ES"/>
        </w:rPr>
        <w:t>$ 3.177.276 miles</w:t>
      </w:r>
      <w:r>
        <w:rPr>
          <w:rFonts w:eastAsia="Times New Roman"/>
          <w:b w:val="0"/>
          <w:lang w:eastAsia="es-ES"/>
        </w:rPr>
        <w:t>.</w:t>
      </w:r>
    </w:p>
    <w:p>
      <w:pPr>
        <w:rPr>
          <w:rFonts w:eastAsia="Times New Roman"/>
          <w:b w:val="0"/>
          <w:lang w:eastAsia="es-ES"/>
        </w:rPr>
      </w:pPr>
    </w:p>
    <w:p>
      <w:pPr>
        <w:rPr>
          <w:rFonts w:eastAsia="Times New Roman"/>
          <w:b w:val="0"/>
          <w:lang w:eastAsia="es-ES"/>
        </w:rPr>
      </w:pPr>
      <w:r>
        <w:rPr>
          <w:rFonts w:eastAsia="Times New Roman"/>
          <w:b w:val="0"/>
          <w:lang w:eastAsia="es-ES"/>
        </w:rPr>
        <w:tab/>
        <w:t>Actualmente el presupuesto aprobado para esta Unidad es de $ 3.072.404 miles, lo que significa una variación de 3,4%.</w:t>
      </w:r>
    </w:p>
    <w:p>
      <w:pPr>
        <w:rPr>
          <w:rFonts w:eastAsia="Times New Roman"/>
          <w:b w:val="0"/>
          <w:lang w:eastAsia="es-ES"/>
        </w:rPr>
      </w:pPr>
    </w:p>
    <w:p>
      <w:pPr>
        <w:rPr>
          <w:rFonts w:eastAsia="Times New Roman"/>
          <w:b w:val="0"/>
          <w:lang w:eastAsia="es-ES"/>
        </w:rPr>
      </w:pPr>
    </w:p>
    <w:p>
      <w:r>
        <w:rPr>
          <w:rFonts w:eastAsia="Times New Roman"/>
          <w:b w:val="0"/>
          <w:lang w:eastAsia="es-ES"/>
        </w:rPr>
        <w:tab/>
      </w:r>
      <w:r>
        <w:rPr>
          <w:rFonts w:eastAsia="Times New Roman"/>
          <w:lang w:eastAsia="es-ES"/>
        </w:rPr>
        <w:t>El Director Subrogante de la Unidad de Análisis Financiero, señor Manuel Zárate</w:t>
      </w:r>
      <w:r>
        <w:rPr>
          <w:rFonts w:eastAsia="Times New Roman"/>
          <w:b w:val="0"/>
          <w:lang w:eastAsia="es-ES"/>
        </w:rPr>
        <w:t xml:space="preserve"> señaló los l</w:t>
      </w:r>
      <w:r>
        <w:rPr>
          <w:b w:val="0"/>
        </w:rPr>
        <w:t>ineamientos estratégicos institucionales para el año 2017, los cuales</w:t>
      </w:r>
      <w:r>
        <w:t xml:space="preserve"> </w:t>
      </w:r>
      <w:r>
        <w:rPr>
          <w:b w:val="0"/>
        </w:rPr>
        <w:t>son los siguientes:</w:t>
      </w:r>
    </w:p>
    <w:p>
      <w:pPr>
        <w:rPr>
          <w:b w:val="0"/>
        </w:rPr>
      </w:pPr>
    </w:p>
    <w:p>
      <w:pPr>
        <w:rPr>
          <w:b w:val="0"/>
        </w:rPr>
      </w:pPr>
      <w:r>
        <w:rPr>
          <w:b w:val="0"/>
        </w:rPr>
        <w:tab/>
        <w:t>1.- Optimizar la generación de inteligencia financiera para detectar oportunamente indicios de lavado de activos y de financiamiento del terrorismo.</w:t>
      </w:r>
    </w:p>
    <w:p>
      <w:pPr>
        <w:rPr>
          <w:b w:val="0"/>
        </w:rPr>
      </w:pPr>
    </w:p>
    <w:p>
      <w:pPr>
        <w:rPr>
          <w:b w:val="0"/>
        </w:rPr>
      </w:pPr>
      <w:r>
        <w:rPr>
          <w:b w:val="0"/>
        </w:rPr>
        <w:tab/>
        <w:t xml:space="preserve">2.- Incrementar, mediante la fiscalización, el cumplimiento efectivo de la normativa vigente por parte de los sectores obligados a informar operaciones sospechosas. </w:t>
      </w:r>
    </w:p>
    <w:p>
      <w:pPr>
        <w:rPr>
          <w:b w:val="0"/>
        </w:rPr>
      </w:pPr>
    </w:p>
    <w:p>
      <w:pPr>
        <w:rPr>
          <w:b w:val="0"/>
        </w:rPr>
      </w:pPr>
      <w:r>
        <w:rPr>
          <w:b w:val="0"/>
        </w:rPr>
        <w:tab/>
        <w:t>3.- Formar a los públicos que son relevantes para la UAF sobre la necesidad de prevenir el lavado de activos y el financiamiento del terrorismo, a través de la difusión de información de carácter público.</w:t>
      </w:r>
    </w:p>
    <w:p>
      <w:pPr>
        <w:rPr>
          <w:b w:val="0"/>
        </w:rPr>
      </w:pPr>
    </w:p>
    <w:p>
      <w:pPr>
        <w:rPr>
          <w:b w:val="0"/>
        </w:rPr>
      </w:pPr>
      <w:r>
        <w:rPr>
          <w:b w:val="0"/>
        </w:rPr>
        <w:tab/>
        <w:t xml:space="preserve">4.- Fortalecer el Sistema Nacional Antilavado de Activos y contra el Financiamiento del Terrorismo, mediante la coordinación y cooperación interinstitucional, y el cumplimiento del Plan de Acción establecido en la Estrategia Nacional para la Prevención y Combate al Lavado de Activos y al Financiamiento del Terrorismo. </w:t>
      </w:r>
    </w:p>
    <w:p>
      <w:pPr>
        <w:rPr>
          <w:b w:val="0"/>
        </w:rPr>
      </w:pPr>
    </w:p>
    <w:p>
      <w:pPr>
        <w:rPr>
          <w:b w:val="0"/>
        </w:rPr>
      </w:pPr>
      <w:r>
        <w:rPr>
          <w:b w:val="0"/>
        </w:rPr>
        <w:tab/>
        <w:t>5.- Fomentar la implementación en los organismos públicos de Sistemas de Prevención Antilavado de Activos y contra los Delitos Funcionarios y el Financiamiento del Terrorismo, que permitan detectar y reportar a la UAF operaciones sospechosas, de modo de prevenir que el sector público sea utilizado para la comisión de actos ilícitos, y reforzar el compromiso de sus instituciones y funcionarios con los más altos estándares de transparencia y probidad en la administración del Estado.</w:t>
      </w:r>
    </w:p>
    <w:p>
      <w:pPr>
        <w:rPr>
          <w:b w:val="0"/>
        </w:rPr>
      </w:pPr>
    </w:p>
    <w:p>
      <w:pPr>
        <w:rPr>
          <w:b w:val="0"/>
        </w:rPr>
      </w:pPr>
      <w:r>
        <w:rPr>
          <w:b w:val="0"/>
        </w:rPr>
        <w:tab/>
        <w:t>En seguida, explicó las cifras presupuestarias comparadas entre el proyecto en debate y la Ley de Presupuestos anterior:</w:t>
      </w:r>
    </w:p>
    <w:p>
      <w:pPr>
        <w:rPr>
          <w:b w:val="0"/>
        </w:rPr>
      </w:pPr>
    </w:p>
    <w:p>
      <w:pPr>
        <w:rPr>
          <w:b w:val="0"/>
        </w:rPr>
      </w:pPr>
    </w:p>
    <w:p>
      <w:pPr>
        <w:jc w:val="center"/>
      </w:pPr>
      <w:r>
        <w:t>Presupuesto 2017 – cifras comparadas</w:t>
      </w:r>
    </w:p>
    <w:tbl>
      <w:tblPr>
        <w:tblW w:w="9342" w:type="dxa"/>
        <w:tblCellMar>
          <w:left w:w="0" w:type="dxa"/>
          <w:right w:w="0" w:type="dxa"/>
        </w:tblCellMar>
        <w:tblLook w:val="0600" w:firstRow="0" w:lastRow="0" w:firstColumn="0" w:lastColumn="0" w:noHBand="1" w:noVBand="1"/>
      </w:tblPr>
      <w:tblGrid>
        <w:gridCol w:w="4112"/>
        <w:gridCol w:w="1417"/>
        <w:gridCol w:w="1539"/>
        <w:gridCol w:w="1239"/>
        <w:gridCol w:w="1035"/>
      </w:tblGrid>
      <w:tr>
        <w:trPr>
          <w:trHeight w:val="360"/>
        </w:trPr>
        <w:tc>
          <w:tcPr>
            <w:tcW w:w="4112" w:type="dxa"/>
            <w:vMerge w:val="restart"/>
            <w:tcBorders>
              <w:top w:val="nil"/>
              <w:left w:val="nil"/>
              <w:bottom w:val="single" w:sz="8" w:space="0" w:color="FFFFFF"/>
              <w:right w:val="single" w:sz="8" w:space="0" w:color="FFFFFF"/>
            </w:tcBorders>
            <w:shd w:val="clear" w:color="auto" w:fill="B9CDE5"/>
            <w:tcMar>
              <w:top w:w="15" w:type="dxa"/>
              <w:left w:w="15" w:type="dxa"/>
              <w:bottom w:w="0" w:type="dxa"/>
              <w:right w:w="15" w:type="dxa"/>
            </w:tcMar>
            <w:hideMark/>
          </w:tcPr>
          <w:p>
            <w:pPr>
              <w:tabs>
                <w:tab w:val="clear" w:pos="2835"/>
              </w:tabs>
              <w:jc w:val="left"/>
              <w:textAlignment w:val="top"/>
              <w:rPr>
                <w:rFonts w:eastAsia="Times New Roman"/>
                <w:b w:val="0"/>
                <w:sz w:val="18"/>
                <w:szCs w:val="18"/>
                <w:lang w:eastAsia="es-CL"/>
              </w:rPr>
            </w:pPr>
            <w:r>
              <w:rPr>
                <w:rFonts w:eastAsia="Times New Roman"/>
                <w:bCs/>
                <w:color w:val="000000"/>
                <w:kern w:val="24"/>
                <w:sz w:val="18"/>
                <w:szCs w:val="18"/>
                <w:lang w:eastAsia="es-CL"/>
              </w:rPr>
              <w:t>CAPÍTULO 16 - Programa 01</w:t>
            </w:r>
            <w:r>
              <w:rPr>
                <w:rFonts w:eastAsia="Times New Roman"/>
                <w:bCs/>
                <w:color w:val="000000"/>
                <w:kern w:val="24"/>
                <w:sz w:val="18"/>
                <w:szCs w:val="18"/>
                <w:lang w:eastAsia="es-CL"/>
              </w:rPr>
              <w:br/>
              <w:t>UNIDAD DE ANÁLISIS FINANCIERO</w:t>
            </w:r>
          </w:p>
        </w:tc>
        <w:tc>
          <w:tcPr>
            <w:tcW w:w="2956" w:type="dxa"/>
            <w:gridSpan w:val="2"/>
            <w:tcBorders>
              <w:top w:val="single" w:sz="8" w:space="0" w:color="FFFFFF"/>
              <w:left w:val="single" w:sz="8" w:space="0" w:color="FFFFFF"/>
              <w:bottom w:val="single" w:sz="8" w:space="0" w:color="FFFFFF"/>
              <w:right w:val="single" w:sz="8" w:space="0" w:color="FFFFFF"/>
            </w:tcBorders>
            <w:shd w:val="clear" w:color="auto" w:fill="B9CDE5"/>
            <w:tcMar>
              <w:top w:w="15" w:type="dxa"/>
              <w:left w:w="15" w:type="dxa"/>
              <w:bottom w:w="0" w:type="dxa"/>
              <w:right w:w="15" w:type="dxa"/>
            </w:tcMar>
            <w:hideMark/>
          </w:tcPr>
          <w:p>
            <w:pPr>
              <w:tabs>
                <w:tab w:val="clear" w:pos="2835"/>
              </w:tabs>
              <w:jc w:val="center"/>
              <w:textAlignment w:val="top"/>
              <w:rPr>
                <w:rFonts w:eastAsia="Times New Roman"/>
                <w:b w:val="0"/>
                <w:sz w:val="18"/>
                <w:szCs w:val="18"/>
                <w:lang w:eastAsia="es-CL"/>
              </w:rPr>
            </w:pPr>
            <w:r>
              <w:rPr>
                <w:rFonts w:eastAsia="Times New Roman"/>
                <w:bCs/>
                <w:color w:val="000000"/>
                <w:kern w:val="24"/>
                <w:sz w:val="18"/>
                <w:szCs w:val="18"/>
                <w:lang w:eastAsia="es-CL"/>
              </w:rPr>
              <w:t>Ley de Presupuesto</w:t>
            </w:r>
          </w:p>
        </w:tc>
        <w:tc>
          <w:tcPr>
            <w:tcW w:w="2274" w:type="dxa"/>
            <w:gridSpan w:val="2"/>
            <w:tcBorders>
              <w:top w:val="single" w:sz="8" w:space="0" w:color="FFFFFF"/>
              <w:left w:val="single" w:sz="8" w:space="0" w:color="FFFFFF"/>
              <w:bottom w:val="single" w:sz="8" w:space="0" w:color="FFFFFF"/>
              <w:right w:val="single" w:sz="8" w:space="0" w:color="FFFFFF"/>
            </w:tcBorders>
            <w:shd w:val="clear" w:color="auto" w:fill="B9CDE5"/>
            <w:tcMar>
              <w:top w:w="15" w:type="dxa"/>
              <w:left w:w="15" w:type="dxa"/>
              <w:bottom w:w="0" w:type="dxa"/>
              <w:right w:w="15" w:type="dxa"/>
            </w:tcMar>
            <w:hideMark/>
          </w:tcPr>
          <w:p>
            <w:pPr>
              <w:tabs>
                <w:tab w:val="clear" w:pos="2835"/>
              </w:tabs>
              <w:jc w:val="center"/>
              <w:textAlignment w:val="top"/>
              <w:rPr>
                <w:rFonts w:eastAsia="Times New Roman"/>
                <w:b w:val="0"/>
                <w:sz w:val="18"/>
                <w:szCs w:val="18"/>
                <w:lang w:eastAsia="es-CL"/>
              </w:rPr>
            </w:pPr>
            <w:r>
              <w:rPr>
                <w:rFonts w:eastAsia="Times New Roman"/>
                <w:bCs/>
                <w:color w:val="000000"/>
                <w:kern w:val="24"/>
                <w:sz w:val="18"/>
                <w:szCs w:val="18"/>
                <w:lang w:eastAsia="es-CL"/>
              </w:rPr>
              <w:t>Variación</w:t>
            </w:r>
          </w:p>
        </w:tc>
      </w:tr>
      <w:tr>
        <w:trPr>
          <w:trHeight w:val="707"/>
        </w:trPr>
        <w:tc>
          <w:tcPr>
            <w:tcW w:w="0" w:type="auto"/>
            <w:vMerge/>
            <w:tcBorders>
              <w:top w:val="nil"/>
              <w:left w:val="nil"/>
              <w:bottom w:val="single" w:sz="8" w:space="0" w:color="FFFFFF"/>
              <w:right w:val="single" w:sz="8" w:space="0" w:color="FFFFFF"/>
            </w:tcBorders>
            <w:vAlign w:val="center"/>
            <w:hideMark/>
          </w:tcPr>
          <w:p>
            <w:pPr>
              <w:tabs>
                <w:tab w:val="clear" w:pos="2835"/>
              </w:tabs>
              <w:jc w:val="left"/>
              <w:rPr>
                <w:rFonts w:eastAsia="Times New Roman"/>
                <w:b w:val="0"/>
                <w:sz w:val="18"/>
                <w:szCs w:val="18"/>
                <w:lang w:eastAsia="es-CL"/>
              </w:rPr>
            </w:pPr>
          </w:p>
        </w:tc>
        <w:tc>
          <w:tcPr>
            <w:tcW w:w="1417" w:type="dxa"/>
            <w:tcBorders>
              <w:top w:val="single" w:sz="8" w:space="0" w:color="FFFFFF"/>
              <w:left w:val="single" w:sz="8" w:space="0" w:color="FFFFFF"/>
              <w:bottom w:val="single" w:sz="8" w:space="0" w:color="FFFFFF"/>
              <w:right w:val="single" w:sz="8" w:space="0" w:color="FFFFFF"/>
            </w:tcBorders>
            <w:shd w:val="clear" w:color="auto" w:fill="B9CDE5"/>
            <w:tcMar>
              <w:top w:w="15" w:type="dxa"/>
              <w:left w:w="15" w:type="dxa"/>
              <w:bottom w:w="0" w:type="dxa"/>
              <w:right w:w="15" w:type="dxa"/>
            </w:tcMar>
            <w:hideMark/>
          </w:tcPr>
          <w:p>
            <w:pPr>
              <w:tabs>
                <w:tab w:val="clear" w:pos="2835"/>
              </w:tabs>
              <w:jc w:val="center"/>
              <w:textAlignment w:val="top"/>
              <w:rPr>
                <w:rFonts w:eastAsia="Times New Roman"/>
                <w:b w:val="0"/>
                <w:sz w:val="18"/>
                <w:szCs w:val="18"/>
                <w:lang w:eastAsia="es-CL"/>
              </w:rPr>
            </w:pPr>
            <w:r>
              <w:rPr>
                <w:rFonts w:eastAsia="Times New Roman"/>
                <w:bCs/>
                <w:color w:val="000000"/>
                <w:kern w:val="24"/>
                <w:sz w:val="18"/>
                <w:szCs w:val="18"/>
                <w:lang w:eastAsia="es-CL"/>
              </w:rPr>
              <w:t>Año 2016</w:t>
            </w:r>
            <w:r>
              <w:rPr>
                <w:rFonts w:eastAsia="Times New Roman"/>
                <w:bCs/>
                <w:color w:val="000000"/>
                <w:kern w:val="24"/>
                <w:sz w:val="18"/>
                <w:szCs w:val="18"/>
                <w:lang w:eastAsia="es-CL"/>
              </w:rPr>
              <w:br/>
              <w:t>(M$ 2017)</w:t>
            </w:r>
          </w:p>
        </w:tc>
        <w:tc>
          <w:tcPr>
            <w:tcW w:w="1539" w:type="dxa"/>
            <w:tcBorders>
              <w:top w:val="single" w:sz="8" w:space="0" w:color="FFFFFF"/>
              <w:left w:val="single" w:sz="8" w:space="0" w:color="FFFFFF"/>
              <w:bottom w:val="single" w:sz="8" w:space="0" w:color="FFFFFF"/>
              <w:right w:val="single" w:sz="8" w:space="0" w:color="FFFFFF"/>
            </w:tcBorders>
            <w:shd w:val="clear" w:color="auto" w:fill="B9CDE5"/>
            <w:tcMar>
              <w:top w:w="15" w:type="dxa"/>
              <w:left w:w="15" w:type="dxa"/>
              <w:bottom w:w="0" w:type="dxa"/>
              <w:right w:w="15" w:type="dxa"/>
            </w:tcMar>
            <w:hideMark/>
          </w:tcPr>
          <w:p>
            <w:pPr>
              <w:tabs>
                <w:tab w:val="clear" w:pos="2835"/>
              </w:tabs>
              <w:jc w:val="center"/>
              <w:textAlignment w:val="top"/>
              <w:rPr>
                <w:rFonts w:eastAsia="Times New Roman"/>
                <w:b w:val="0"/>
                <w:sz w:val="18"/>
                <w:szCs w:val="18"/>
                <w:lang w:eastAsia="es-CL"/>
              </w:rPr>
            </w:pPr>
            <w:r>
              <w:rPr>
                <w:rFonts w:eastAsia="Times New Roman"/>
                <w:bCs/>
                <w:color w:val="000000"/>
                <w:kern w:val="24"/>
                <w:sz w:val="18"/>
                <w:szCs w:val="18"/>
                <w:lang w:eastAsia="es-CL"/>
              </w:rPr>
              <w:t>Año 2017</w:t>
            </w:r>
            <w:r>
              <w:rPr>
                <w:rFonts w:eastAsia="Times New Roman"/>
                <w:bCs/>
                <w:color w:val="000000"/>
                <w:kern w:val="24"/>
                <w:sz w:val="18"/>
                <w:szCs w:val="18"/>
                <w:lang w:eastAsia="es-CL"/>
              </w:rPr>
              <w:br/>
              <w:t>(M$ 2017)</w:t>
            </w:r>
          </w:p>
        </w:tc>
        <w:tc>
          <w:tcPr>
            <w:tcW w:w="1239" w:type="dxa"/>
            <w:tcBorders>
              <w:top w:val="single" w:sz="8" w:space="0" w:color="FFFFFF"/>
              <w:left w:val="single" w:sz="8" w:space="0" w:color="FFFFFF"/>
              <w:bottom w:val="single" w:sz="8" w:space="0" w:color="FFFFFF"/>
              <w:right w:val="single" w:sz="8" w:space="0" w:color="FFFFFF"/>
            </w:tcBorders>
            <w:shd w:val="clear" w:color="auto" w:fill="B9CDE5"/>
            <w:tcMar>
              <w:top w:w="15" w:type="dxa"/>
              <w:left w:w="15" w:type="dxa"/>
              <w:bottom w:w="0" w:type="dxa"/>
              <w:right w:w="15" w:type="dxa"/>
            </w:tcMar>
            <w:hideMark/>
          </w:tcPr>
          <w:p>
            <w:pPr>
              <w:tabs>
                <w:tab w:val="clear" w:pos="2835"/>
              </w:tabs>
              <w:jc w:val="center"/>
              <w:textAlignment w:val="top"/>
              <w:rPr>
                <w:rFonts w:eastAsia="Times New Roman"/>
                <w:b w:val="0"/>
                <w:sz w:val="18"/>
                <w:szCs w:val="18"/>
                <w:lang w:eastAsia="es-CL"/>
              </w:rPr>
            </w:pPr>
            <w:r>
              <w:rPr>
                <w:rFonts w:eastAsia="Times New Roman"/>
                <w:bCs/>
                <w:color w:val="000000"/>
                <w:kern w:val="24"/>
                <w:sz w:val="18"/>
                <w:szCs w:val="18"/>
                <w:lang w:eastAsia="es-CL"/>
              </w:rPr>
              <w:t>(M$ 2017)</w:t>
            </w:r>
          </w:p>
        </w:tc>
        <w:tc>
          <w:tcPr>
            <w:tcW w:w="1035" w:type="dxa"/>
            <w:tcBorders>
              <w:top w:val="single" w:sz="8" w:space="0" w:color="FFFFFF"/>
              <w:left w:val="single" w:sz="8" w:space="0" w:color="FFFFFF"/>
              <w:bottom w:val="single" w:sz="8" w:space="0" w:color="FFFFFF"/>
              <w:right w:val="single" w:sz="8" w:space="0" w:color="FFFFFF"/>
            </w:tcBorders>
            <w:shd w:val="clear" w:color="auto" w:fill="B9CDE5"/>
            <w:tcMar>
              <w:top w:w="15" w:type="dxa"/>
              <w:left w:w="15" w:type="dxa"/>
              <w:bottom w:w="0" w:type="dxa"/>
              <w:right w:w="15" w:type="dxa"/>
            </w:tcMar>
            <w:hideMark/>
          </w:tcPr>
          <w:p>
            <w:pPr>
              <w:tabs>
                <w:tab w:val="clear" w:pos="2835"/>
              </w:tabs>
              <w:jc w:val="center"/>
              <w:textAlignment w:val="top"/>
              <w:rPr>
                <w:rFonts w:eastAsia="Times New Roman"/>
                <w:b w:val="0"/>
                <w:sz w:val="18"/>
                <w:szCs w:val="18"/>
                <w:lang w:eastAsia="es-CL"/>
              </w:rPr>
            </w:pPr>
            <w:r>
              <w:rPr>
                <w:rFonts w:eastAsia="Times New Roman"/>
                <w:bCs/>
                <w:color w:val="000000"/>
                <w:kern w:val="24"/>
                <w:sz w:val="18"/>
                <w:szCs w:val="18"/>
                <w:lang w:eastAsia="es-CL"/>
              </w:rPr>
              <w:t>(%)</w:t>
            </w:r>
          </w:p>
        </w:tc>
      </w:tr>
      <w:tr>
        <w:trPr>
          <w:trHeight w:val="360"/>
        </w:trPr>
        <w:tc>
          <w:tcPr>
            <w:tcW w:w="4112" w:type="dxa"/>
            <w:tcBorders>
              <w:top w:val="single" w:sz="8" w:space="0" w:color="FFFFFF"/>
              <w:left w:val="single" w:sz="8" w:space="0" w:color="FFFFFF"/>
              <w:bottom w:val="single" w:sz="8" w:space="0" w:color="FFFFFF"/>
              <w:right w:val="single" w:sz="8" w:space="0" w:color="FFFFFF"/>
            </w:tcBorders>
            <w:shd w:val="clear" w:color="auto" w:fill="C6D9F1"/>
            <w:tcMar>
              <w:top w:w="14" w:type="dxa"/>
              <w:left w:w="14" w:type="dxa"/>
              <w:bottom w:w="0" w:type="dxa"/>
              <w:right w:w="14" w:type="dxa"/>
            </w:tcMar>
            <w:vAlign w:val="center"/>
            <w:hideMark/>
          </w:tcPr>
          <w:p>
            <w:pPr>
              <w:tabs>
                <w:tab w:val="clear" w:pos="2835"/>
              </w:tabs>
              <w:jc w:val="left"/>
              <w:textAlignment w:val="center"/>
              <w:rPr>
                <w:rFonts w:eastAsia="Times New Roman"/>
                <w:b w:val="0"/>
                <w:sz w:val="18"/>
                <w:szCs w:val="18"/>
                <w:lang w:eastAsia="es-CL"/>
              </w:rPr>
            </w:pPr>
            <w:r>
              <w:rPr>
                <w:rFonts w:eastAsia="Times New Roman"/>
                <w:bCs/>
                <w:color w:val="000000"/>
                <w:kern w:val="24"/>
                <w:sz w:val="18"/>
                <w:szCs w:val="18"/>
                <w:lang w:eastAsia="es-CL"/>
              </w:rPr>
              <w:t>TOTAL</w:t>
            </w:r>
          </w:p>
        </w:tc>
        <w:tc>
          <w:tcPr>
            <w:tcW w:w="1417" w:type="dxa"/>
            <w:tcBorders>
              <w:top w:val="single" w:sz="8" w:space="0" w:color="FFFFFF"/>
              <w:left w:val="single" w:sz="8" w:space="0" w:color="FFFFFF"/>
              <w:bottom w:val="single" w:sz="8" w:space="0" w:color="FFFFFF"/>
              <w:right w:val="single" w:sz="8" w:space="0" w:color="FFFFFF"/>
            </w:tcBorders>
            <w:shd w:val="clear" w:color="auto" w:fill="C6D9F1"/>
            <w:tcMar>
              <w:top w:w="14" w:type="dxa"/>
              <w:left w:w="14" w:type="dxa"/>
              <w:bottom w:w="0" w:type="dxa"/>
              <w:right w:w="14"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Cs/>
                <w:color w:val="000000"/>
                <w:kern w:val="24"/>
                <w:sz w:val="18"/>
                <w:szCs w:val="18"/>
                <w:lang w:eastAsia="es-CL"/>
              </w:rPr>
              <w:t>3.072.404</w:t>
            </w:r>
          </w:p>
        </w:tc>
        <w:tc>
          <w:tcPr>
            <w:tcW w:w="1539" w:type="dxa"/>
            <w:tcBorders>
              <w:top w:val="single" w:sz="8" w:space="0" w:color="FFFFFF"/>
              <w:left w:val="single" w:sz="8" w:space="0" w:color="FFFFFF"/>
              <w:bottom w:val="single" w:sz="8" w:space="0" w:color="FFFFFF"/>
              <w:right w:val="single" w:sz="8" w:space="0" w:color="FFFFFF"/>
            </w:tcBorders>
            <w:shd w:val="clear" w:color="auto" w:fill="C6D9F1"/>
            <w:tcMar>
              <w:top w:w="14" w:type="dxa"/>
              <w:left w:w="14" w:type="dxa"/>
              <w:bottom w:w="0" w:type="dxa"/>
              <w:right w:w="14"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Cs/>
                <w:color w:val="000000"/>
                <w:kern w:val="24"/>
                <w:sz w:val="18"/>
                <w:szCs w:val="18"/>
                <w:lang w:eastAsia="es-CL"/>
              </w:rPr>
              <w:t>3.177.276</w:t>
            </w:r>
          </w:p>
        </w:tc>
        <w:tc>
          <w:tcPr>
            <w:tcW w:w="1239" w:type="dxa"/>
            <w:tcBorders>
              <w:top w:val="single" w:sz="8" w:space="0" w:color="FFFFFF"/>
              <w:left w:val="single" w:sz="8" w:space="0" w:color="FFFFFF"/>
              <w:bottom w:val="single" w:sz="8" w:space="0" w:color="FFFFFF"/>
              <w:right w:val="single" w:sz="8" w:space="0" w:color="FFFFFF"/>
            </w:tcBorders>
            <w:shd w:val="clear" w:color="auto" w:fill="C6D9F1"/>
            <w:tcMar>
              <w:top w:w="14" w:type="dxa"/>
              <w:left w:w="14" w:type="dxa"/>
              <w:bottom w:w="0" w:type="dxa"/>
              <w:right w:w="14"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Cs/>
                <w:color w:val="000000"/>
                <w:kern w:val="24"/>
                <w:sz w:val="18"/>
                <w:szCs w:val="18"/>
                <w:lang w:eastAsia="es-CL"/>
              </w:rPr>
              <w:t>104.872</w:t>
            </w:r>
          </w:p>
        </w:tc>
        <w:tc>
          <w:tcPr>
            <w:tcW w:w="1035" w:type="dxa"/>
            <w:tcBorders>
              <w:top w:val="single" w:sz="8" w:space="0" w:color="FFFFFF"/>
              <w:left w:val="single" w:sz="8" w:space="0" w:color="FFFFFF"/>
              <w:bottom w:val="single" w:sz="8" w:space="0" w:color="FFFFFF"/>
              <w:right w:val="single" w:sz="8" w:space="0" w:color="FFFFFF"/>
            </w:tcBorders>
            <w:shd w:val="clear" w:color="auto" w:fill="C6D9F1"/>
            <w:tcMar>
              <w:top w:w="14" w:type="dxa"/>
              <w:left w:w="14" w:type="dxa"/>
              <w:bottom w:w="0" w:type="dxa"/>
              <w:right w:w="14"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Cs/>
                <w:color w:val="000000"/>
                <w:kern w:val="24"/>
                <w:sz w:val="18"/>
                <w:szCs w:val="18"/>
                <w:lang w:eastAsia="es-CL"/>
              </w:rPr>
              <w:t>3,4%</w:t>
            </w:r>
          </w:p>
        </w:tc>
      </w:tr>
      <w:tr>
        <w:trPr>
          <w:trHeight w:val="360"/>
        </w:trPr>
        <w:tc>
          <w:tcPr>
            <w:tcW w:w="4112" w:type="dxa"/>
            <w:tcBorders>
              <w:top w:val="single" w:sz="8" w:space="0" w:color="FFFFFF"/>
              <w:left w:val="single" w:sz="8" w:space="0" w:color="FFFFFF"/>
              <w:bottom w:val="single" w:sz="8" w:space="0" w:color="FFFFFF"/>
              <w:right w:val="single" w:sz="8" w:space="0" w:color="FFFFFF"/>
            </w:tcBorders>
            <w:shd w:val="clear" w:color="auto" w:fill="E9EDF4"/>
            <w:tcMar>
              <w:top w:w="14" w:type="dxa"/>
              <w:left w:w="14" w:type="dxa"/>
              <w:bottom w:w="0" w:type="dxa"/>
              <w:right w:w="14" w:type="dxa"/>
            </w:tcMar>
            <w:vAlign w:val="center"/>
            <w:hideMark/>
          </w:tcPr>
          <w:p>
            <w:pPr>
              <w:tabs>
                <w:tab w:val="clear" w:pos="2835"/>
              </w:tabs>
              <w:jc w:val="left"/>
              <w:textAlignment w:val="center"/>
              <w:rPr>
                <w:rFonts w:eastAsia="Times New Roman"/>
                <w:b w:val="0"/>
                <w:sz w:val="18"/>
                <w:szCs w:val="18"/>
                <w:lang w:eastAsia="es-CL"/>
              </w:rPr>
            </w:pPr>
            <w:r>
              <w:rPr>
                <w:rFonts w:eastAsia="Times New Roman"/>
                <w:b w:val="0"/>
                <w:color w:val="000000"/>
                <w:kern w:val="24"/>
                <w:sz w:val="18"/>
                <w:szCs w:val="18"/>
                <w:lang w:eastAsia="es-CL"/>
              </w:rPr>
              <w:t>Gasto en Personal  (</w:t>
            </w:r>
            <w:r>
              <w:rPr>
                <w:rFonts w:eastAsia="Times New Roman"/>
                <w:bCs/>
                <w:color w:val="000000"/>
                <w:kern w:val="24"/>
                <w:sz w:val="18"/>
                <w:szCs w:val="18"/>
                <w:lang w:eastAsia="es-CL"/>
              </w:rPr>
              <w:t>Subtítulo 21</w:t>
            </w:r>
            <w:r>
              <w:rPr>
                <w:rFonts w:eastAsia="Times New Roman"/>
                <w:b w:val="0"/>
                <w:color w:val="000000"/>
                <w:kern w:val="24"/>
                <w:sz w:val="18"/>
                <w:szCs w:val="18"/>
                <w:lang w:eastAsia="es-CL"/>
              </w:rPr>
              <w:t>)</w:t>
            </w:r>
          </w:p>
        </w:tc>
        <w:tc>
          <w:tcPr>
            <w:tcW w:w="1417" w:type="dxa"/>
            <w:tcBorders>
              <w:top w:val="single" w:sz="8" w:space="0" w:color="FFFFFF"/>
              <w:left w:val="single" w:sz="8" w:space="0" w:color="FFFFFF"/>
              <w:bottom w:val="single" w:sz="8" w:space="0" w:color="FFFFFF"/>
              <w:right w:val="single" w:sz="8" w:space="0" w:color="FFFFFF"/>
            </w:tcBorders>
            <w:shd w:val="clear" w:color="auto" w:fill="E9EDF4"/>
            <w:tcMar>
              <w:top w:w="14" w:type="dxa"/>
              <w:left w:w="14" w:type="dxa"/>
              <w:bottom w:w="0" w:type="dxa"/>
              <w:right w:w="14"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 w:val="0"/>
                <w:color w:val="000000"/>
                <w:kern w:val="24"/>
                <w:sz w:val="18"/>
                <w:szCs w:val="18"/>
                <w:lang w:eastAsia="es-CL"/>
              </w:rPr>
              <w:t>2.116.525</w:t>
            </w:r>
          </w:p>
        </w:tc>
        <w:tc>
          <w:tcPr>
            <w:tcW w:w="1539" w:type="dxa"/>
            <w:tcBorders>
              <w:top w:val="single" w:sz="8" w:space="0" w:color="FFFFFF"/>
              <w:left w:val="single" w:sz="8" w:space="0" w:color="FFFFFF"/>
              <w:bottom w:val="single" w:sz="8" w:space="0" w:color="FFFFFF"/>
              <w:right w:val="single" w:sz="8" w:space="0" w:color="FFFFFF"/>
            </w:tcBorders>
            <w:shd w:val="clear" w:color="auto" w:fill="E9EDF4"/>
            <w:tcMar>
              <w:top w:w="14" w:type="dxa"/>
              <w:left w:w="14" w:type="dxa"/>
              <w:bottom w:w="0" w:type="dxa"/>
              <w:right w:w="14"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 w:val="0"/>
                <w:color w:val="000000"/>
                <w:kern w:val="24"/>
                <w:sz w:val="18"/>
                <w:szCs w:val="18"/>
                <w:lang w:eastAsia="es-CL"/>
              </w:rPr>
              <w:t>2.418.405</w:t>
            </w:r>
          </w:p>
        </w:tc>
        <w:tc>
          <w:tcPr>
            <w:tcW w:w="1239" w:type="dxa"/>
            <w:tcBorders>
              <w:top w:val="single" w:sz="8" w:space="0" w:color="FFFFFF"/>
              <w:left w:val="single" w:sz="8" w:space="0" w:color="FFFFFF"/>
              <w:bottom w:val="single" w:sz="8" w:space="0" w:color="FFFFFF"/>
              <w:right w:val="single" w:sz="8" w:space="0" w:color="FFFFFF"/>
            </w:tcBorders>
            <w:shd w:val="clear" w:color="auto" w:fill="E9EDF4"/>
            <w:tcMar>
              <w:top w:w="14" w:type="dxa"/>
              <w:left w:w="14" w:type="dxa"/>
              <w:bottom w:w="0" w:type="dxa"/>
              <w:right w:w="14"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 w:val="0"/>
                <w:color w:val="000000"/>
                <w:kern w:val="24"/>
                <w:sz w:val="18"/>
                <w:szCs w:val="18"/>
                <w:lang w:eastAsia="es-CL"/>
              </w:rPr>
              <w:t>301.880</w:t>
            </w:r>
          </w:p>
        </w:tc>
        <w:tc>
          <w:tcPr>
            <w:tcW w:w="1035" w:type="dxa"/>
            <w:tcBorders>
              <w:top w:val="single" w:sz="8" w:space="0" w:color="FFFFFF"/>
              <w:left w:val="single" w:sz="8" w:space="0" w:color="FFFFFF"/>
              <w:bottom w:val="single" w:sz="8" w:space="0" w:color="FFFFFF"/>
              <w:right w:val="single" w:sz="8" w:space="0" w:color="FFFFFF"/>
            </w:tcBorders>
            <w:shd w:val="clear" w:color="auto" w:fill="E9EDF4"/>
            <w:tcMar>
              <w:top w:w="14" w:type="dxa"/>
              <w:left w:w="14" w:type="dxa"/>
              <w:bottom w:w="0" w:type="dxa"/>
              <w:right w:w="14"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 w:val="0"/>
                <w:color w:val="000000"/>
                <w:kern w:val="24"/>
                <w:sz w:val="18"/>
                <w:szCs w:val="18"/>
                <w:lang w:eastAsia="es-CL"/>
              </w:rPr>
              <w:t>14,3%</w:t>
            </w:r>
          </w:p>
        </w:tc>
      </w:tr>
      <w:tr>
        <w:trPr>
          <w:trHeight w:val="707"/>
        </w:trPr>
        <w:tc>
          <w:tcPr>
            <w:tcW w:w="4112" w:type="dxa"/>
            <w:tcBorders>
              <w:top w:val="single" w:sz="8" w:space="0" w:color="FFFFFF"/>
              <w:left w:val="single" w:sz="8" w:space="0" w:color="FFFFFF"/>
              <w:bottom w:val="single" w:sz="8" w:space="0" w:color="FFFFFF"/>
              <w:right w:val="single" w:sz="8" w:space="0" w:color="FFFFFF"/>
            </w:tcBorders>
            <w:shd w:val="clear" w:color="auto" w:fill="E9EDF4"/>
            <w:tcMar>
              <w:top w:w="14" w:type="dxa"/>
              <w:left w:w="14" w:type="dxa"/>
              <w:bottom w:w="0" w:type="dxa"/>
              <w:right w:w="14" w:type="dxa"/>
            </w:tcMar>
            <w:vAlign w:val="center"/>
            <w:hideMark/>
          </w:tcPr>
          <w:p>
            <w:pPr>
              <w:tabs>
                <w:tab w:val="clear" w:pos="2835"/>
              </w:tabs>
              <w:jc w:val="left"/>
              <w:textAlignment w:val="center"/>
              <w:rPr>
                <w:rFonts w:eastAsia="Times New Roman"/>
                <w:b w:val="0"/>
                <w:sz w:val="18"/>
                <w:szCs w:val="18"/>
                <w:lang w:eastAsia="es-CL"/>
              </w:rPr>
            </w:pPr>
            <w:r>
              <w:rPr>
                <w:rFonts w:eastAsia="Times New Roman"/>
                <w:b w:val="0"/>
                <w:color w:val="000000"/>
                <w:kern w:val="24"/>
                <w:sz w:val="18"/>
                <w:szCs w:val="18"/>
                <w:lang w:eastAsia="es-CL"/>
              </w:rPr>
              <w:t>Bienes y Servicios de Consumo  (</w:t>
            </w:r>
            <w:r>
              <w:rPr>
                <w:rFonts w:eastAsia="Times New Roman"/>
                <w:bCs/>
                <w:color w:val="000000"/>
                <w:kern w:val="24"/>
                <w:sz w:val="18"/>
                <w:szCs w:val="18"/>
                <w:lang w:eastAsia="es-CL"/>
              </w:rPr>
              <w:t>Subtítulo 22</w:t>
            </w:r>
            <w:r>
              <w:rPr>
                <w:rFonts w:eastAsia="Times New Roman"/>
                <w:b w:val="0"/>
                <w:color w:val="000000"/>
                <w:kern w:val="24"/>
                <w:sz w:val="18"/>
                <w:szCs w:val="18"/>
                <w:lang w:eastAsia="es-CL"/>
              </w:rPr>
              <w:t>)</w:t>
            </w:r>
          </w:p>
        </w:tc>
        <w:tc>
          <w:tcPr>
            <w:tcW w:w="1417" w:type="dxa"/>
            <w:tcBorders>
              <w:top w:val="single" w:sz="8" w:space="0" w:color="FFFFFF"/>
              <w:left w:val="single" w:sz="8" w:space="0" w:color="FFFFFF"/>
              <w:bottom w:val="single" w:sz="8" w:space="0" w:color="FFFFFF"/>
              <w:right w:val="single" w:sz="8" w:space="0" w:color="FFFFFF"/>
            </w:tcBorders>
            <w:shd w:val="clear" w:color="auto" w:fill="E9EDF4"/>
            <w:tcMar>
              <w:top w:w="14" w:type="dxa"/>
              <w:left w:w="14" w:type="dxa"/>
              <w:bottom w:w="0" w:type="dxa"/>
              <w:right w:w="14"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 w:val="0"/>
                <w:color w:val="000000"/>
                <w:kern w:val="24"/>
                <w:sz w:val="18"/>
                <w:szCs w:val="18"/>
                <w:lang w:eastAsia="es-CL"/>
              </w:rPr>
              <w:t>843.937</w:t>
            </w:r>
          </w:p>
        </w:tc>
        <w:tc>
          <w:tcPr>
            <w:tcW w:w="1539" w:type="dxa"/>
            <w:tcBorders>
              <w:top w:val="single" w:sz="8" w:space="0" w:color="FFFFFF"/>
              <w:left w:val="single" w:sz="8" w:space="0" w:color="FFFFFF"/>
              <w:bottom w:val="single" w:sz="8" w:space="0" w:color="FFFFFF"/>
              <w:right w:val="single" w:sz="8" w:space="0" w:color="FFFFFF"/>
            </w:tcBorders>
            <w:shd w:val="clear" w:color="auto" w:fill="E9EDF4"/>
            <w:tcMar>
              <w:top w:w="14" w:type="dxa"/>
              <w:left w:w="14" w:type="dxa"/>
              <w:bottom w:w="0" w:type="dxa"/>
              <w:right w:w="14"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 w:val="0"/>
                <w:color w:val="000000"/>
                <w:kern w:val="24"/>
                <w:sz w:val="18"/>
                <w:szCs w:val="18"/>
                <w:lang w:eastAsia="es-CL"/>
              </w:rPr>
              <w:t>744.358</w:t>
            </w:r>
          </w:p>
        </w:tc>
        <w:tc>
          <w:tcPr>
            <w:tcW w:w="1239" w:type="dxa"/>
            <w:tcBorders>
              <w:top w:val="single" w:sz="8" w:space="0" w:color="FFFFFF"/>
              <w:left w:val="single" w:sz="8" w:space="0" w:color="FFFFFF"/>
              <w:bottom w:val="single" w:sz="8" w:space="0" w:color="FFFFFF"/>
              <w:right w:val="single" w:sz="8" w:space="0" w:color="FFFFFF"/>
            </w:tcBorders>
            <w:shd w:val="clear" w:color="auto" w:fill="E9EDF4"/>
            <w:tcMar>
              <w:top w:w="14" w:type="dxa"/>
              <w:left w:w="14" w:type="dxa"/>
              <w:bottom w:w="0" w:type="dxa"/>
              <w:right w:w="14"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 w:val="0"/>
                <w:color w:val="000000"/>
                <w:kern w:val="24"/>
                <w:sz w:val="18"/>
                <w:szCs w:val="18"/>
                <w:lang w:eastAsia="es-CL"/>
              </w:rPr>
              <w:t>-99.579</w:t>
            </w:r>
          </w:p>
        </w:tc>
        <w:tc>
          <w:tcPr>
            <w:tcW w:w="1035" w:type="dxa"/>
            <w:tcBorders>
              <w:top w:val="single" w:sz="8" w:space="0" w:color="FFFFFF"/>
              <w:left w:val="single" w:sz="8" w:space="0" w:color="FFFFFF"/>
              <w:bottom w:val="single" w:sz="8" w:space="0" w:color="FFFFFF"/>
              <w:right w:val="single" w:sz="8" w:space="0" w:color="FFFFFF"/>
            </w:tcBorders>
            <w:shd w:val="clear" w:color="auto" w:fill="E9EDF4"/>
            <w:tcMar>
              <w:top w:w="14" w:type="dxa"/>
              <w:left w:w="14" w:type="dxa"/>
              <w:bottom w:w="0" w:type="dxa"/>
              <w:right w:w="14"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 w:val="0"/>
                <w:color w:val="000000"/>
                <w:kern w:val="24"/>
                <w:sz w:val="18"/>
                <w:szCs w:val="18"/>
                <w:lang w:eastAsia="es-CL"/>
              </w:rPr>
              <w:t>-11,8%</w:t>
            </w:r>
          </w:p>
        </w:tc>
      </w:tr>
      <w:tr>
        <w:trPr>
          <w:trHeight w:val="647"/>
        </w:trPr>
        <w:tc>
          <w:tcPr>
            <w:tcW w:w="4112" w:type="dxa"/>
            <w:tcBorders>
              <w:top w:val="single" w:sz="8" w:space="0" w:color="FFFFFF"/>
              <w:left w:val="single" w:sz="8" w:space="0" w:color="FFFFFF"/>
              <w:bottom w:val="single" w:sz="8" w:space="0" w:color="FFFFFF"/>
              <w:right w:val="single" w:sz="8" w:space="0" w:color="FFFFFF"/>
            </w:tcBorders>
            <w:shd w:val="clear" w:color="auto" w:fill="E9EDF4"/>
            <w:tcMar>
              <w:top w:w="14" w:type="dxa"/>
              <w:left w:w="14" w:type="dxa"/>
              <w:bottom w:w="0" w:type="dxa"/>
              <w:right w:w="14" w:type="dxa"/>
            </w:tcMar>
            <w:vAlign w:val="center"/>
            <w:hideMark/>
          </w:tcPr>
          <w:p>
            <w:pPr>
              <w:tabs>
                <w:tab w:val="clear" w:pos="2835"/>
              </w:tabs>
              <w:jc w:val="left"/>
              <w:textAlignment w:val="center"/>
              <w:rPr>
                <w:rFonts w:eastAsia="Times New Roman"/>
                <w:b w:val="0"/>
                <w:sz w:val="18"/>
                <w:szCs w:val="18"/>
                <w:lang w:eastAsia="es-CL"/>
              </w:rPr>
            </w:pPr>
            <w:r>
              <w:rPr>
                <w:rFonts w:eastAsia="Times New Roman"/>
                <w:b w:val="0"/>
                <w:color w:val="000000"/>
                <w:kern w:val="24"/>
                <w:sz w:val="18"/>
                <w:szCs w:val="18"/>
                <w:lang w:eastAsia="es-CL"/>
              </w:rPr>
              <w:t>Transferencias Corrientes  (</w:t>
            </w:r>
            <w:r>
              <w:rPr>
                <w:rFonts w:eastAsia="Times New Roman"/>
                <w:bCs/>
                <w:color w:val="000000"/>
                <w:kern w:val="24"/>
                <w:sz w:val="18"/>
                <w:szCs w:val="18"/>
                <w:lang w:eastAsia="es-CL"/>
              </w:rPr>
              <w:t>Subtítulo 24</w:t>
            </w:r>
            <w:r>
              <w:rPr>
                <w:rFonts w:eastAsia="Times New Roman"/>
                <w:b w:val="0"/>
                <w:color w:val="000000"/>
                <w:kern w:val="24"/>
                <w:sz w:val="18"/>
                <w:szCs w:val="18"/>
                <w:lang w:eastAsia="es-CL"/>
              </w:rPr>
              <w:t>)</w:t>
            </w:r>
          </w:p>
        </w:tc>
        <w:tc>
          <w:tcPr>
            <w:tcW w:w="1417" w:type="dxa"/>
            <w:tcBorders>
              <w:top w:val="single" w:sz="8" w:space="0" w:color="FFFFFF"/>
              <w:left w:val="single" w:sz="8" w:space="0" w:color="FFFFFF"/>
              <w:bottom w:val="single" w:sz="8" w:space="0" w:color="FFFFFF"/>
              <w:right w:val="single" w:sz="8" w:space="0" w:color="FFFFFF"/>
            </w:tcBorders>
            <w:shd w:val="clear" w:color="auto" w:fill="E9EDF4"/>
            <w:tcMar>
              <w:top w:w="14" w:type="dxa"/>
              <w:left w:w="14" w:type="dxa"/>
              <w:bottom w:w="0" w:type="dxa"/>
              <w:right w:w="14"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 w:val="0"/>
                <w:color w:val="000000"/>
                <w:kern w:val="24"/>
                <w:sz w:val="18"/>
                <w:szCs w:val="18"/>
                <w:lang w:eastAsia="es-CL"/>
              </w:rPr>
              <w:t>3.728</w:t>
            </w:r>
          </w:p>
        </w:tc>
        <w:tc>
          <w:tcPr>
            <w:tcW w:w="1539" w:type="dxa"/>
            <w:tcBorders>
              <w:top w:val="single" w:sz="8" w:space="0" w:color="FFFFFF"/>
              <w:left w:val="single" w:sz="8" w:space="0" w:color="FFFFFF"/>
              <w:bottom w:val="single" w:sz="8" w:space="0" w:color="FFFFFF"/>
              <w:right w:val="single" w:sz="8" w:space="0" w:color="FFFFFF"/>
            </w:tcBorders>
            <w:shd w:val="clear" w:color="auto" w:fill="E9EDF4"/>
            <w:tcMar>
              <w:top w:w="14" w:type="dxa"/>
              <w:left w:w="14" w:type="dxa"/>
              <w:bottom w:w="0" w:type="dxa"/>
              <w:right w:w="14"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 w:val="0"/>
                <w:color w:val="000000"/>
                <w:kern w:val="24"/>
                <w:sz w:val="18"/>
                <w:szCs w:val="18"/>
                <w:lang w:eastAsia="es-CL"/>
              </w:rPr>
              <w:t>3.619</w:t>
            </w:r>
          </w:p>
        </w:tc>
        <w:tc>
          <w:tcPr>
            <w:tcW w:w="1239" w:type="dxa"/>
            <w:tcBorders>
              <w:top w:val="single" w:sz="8" w:space="0" w:color="FFFFFF"/>
              <w:left w:val="single" w:sz="8" w:space="0" w:color="FFFFFF"/>
              <w:bottom w:val="single" w:sz="8" w:space="0" w:color="FFFFFF"/>
              <w:right w:val="single" w:sz="8" w:space="0" w:color="FFFFFF"/>
            </w:tcBorders>
            <w:shd w:val="clear" w:color="auto" w:fill="E9EDF4"/>
            <w:tcMar>
              <w:top w:w="14" w:type="dxa"/>
              <w:left w:w="14" w:type="dxa"/>
              <w:bottom w:w="0" w:type="dxa"/>
              <w:right w:w="14"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 w:val="0"/>
                <w:color w:val="000000"/>
                <w:kern w:val="24"/>
                <w:sz w:val="18"/>
                <w:szCs w:val="18"/>
                <w:lang w:eastAsia="es-CL"/>
              </w:rPr>
              <w:t>-109</w:t>
            </w:r>
          </w:p>
        </w:tc>
        <w:tc>
          <w:tcPr>
            <w:tcW w:w="1035" w:type="dxa"/>
            <w:tcBorders>
              <w:top w:val="single" w:sz="8" w:space="0" w:color="FFFFFF"/>
              <w:left w:val="single" w:sz="8" w:space="0" w:color="FFFFFF"/>
              <w:bottom w:val="single" w:sz="8" w:space="0" w:color="FFFFFF"/>
              <w:right w:val="single" w:sz="8" w:space="0" w:color="FFFFFF"/>
            </w:tcBorders>
            <w:shd w:val="clear" w:color="auto" w:fill="E9EDF4"/>
            <w:tcMar>
              <w:top w:w="14" w:type="dxa"/>
              <w:left w:w="14" w:type="dxa"/>
              <w:bottom w:w="0" w:type="dxa"/>
              <w:right w:w="14"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 w:val="0"/>
                <w:color w:val="000000"/>
                <w:kern w:val="24"/>
                <w:sz w:val="18"/>
                <w:szCs w:val="18"/>
                <w:lang w:eastAsia="es-CL"/>
              </w:rPr>
              <w:t>-2,9%</w:t>
            </w:r>
          </w:p>
        </w:tc>
      </w:tr>
      <w:tr>
        <w:trPr>
          <w:trHeight w:val="707"/>
        </w:trPr>
        <w:tc>
          <w:tcPr>
            <w:tcW w:w="4112" w:type="dxa"/>
            <w:tcBorders>
              <w:top w:val="single" w:sz="8" w:space="0" w:color="FFFFFF"/>
              <w:left w:val="single" w:sz="8" w:space="0" w:color="FFFFFF"/>
              <w:bottom w:val="single" w:sz="8" w:space="0" w:color="FFFFFF"/>
              <w:right w:val="single" w:sz="8" w:space="0" w:color="FFFFFF"/>
            </w:tcBorders>
            <w:shd w:val="clear" w:color="auto" w:fill="E9EDF4"/>
            <w:tcMar>
              <w:top w:w="14" w:type="dxa"/>
              <w:left w:w="14" w:type="dxa"/>
              <w:bottom w:w="0" w:type="dxa"/>
              <w:right w:w="14" w:type="dxa"/>
            </w:tcMar>
            <w:vAlign w:val="center"/>
            <w:hideMark/>
          </w:tcPr>
          <w:p>
            <w:pPr>
              <w:tabs>
                <w:tab w:val="clear" w:pos="2835"/>
              </w:tabs>
              <w:jc w:val="left"/>
              <w:textAlignment w:val="center"/>
              <w:rPr>
                <w:rFonts w:eastAsia="Times New Roman"/>
                <w:b w:val="0"/>
                <w:sz w:val="18"/>
                <w:szCs w:val="18"/>
                <w:lang w:eastAsia="es-CL"/>
              </w:rPr>
            </w:pPr>
            <w:r>
              <w:rPr>
                <w:rFonts w:eastAsia="Times New Roman"/>
                <w:b w:val="0"/>
                <w:color w:val="000000"/>
                <w:kern w:val="24"/>
                <w:sz w:val="18"/>
                <w:szCs w:val="18"/>
                <w:lang w:eastAsia="es-CL"/>
              </w:rPr>
              <w:t>Adquisición de Activos No Financieros  (</w:t>
            </w:r>
            <w:r>
              <w:rPr>
                <w:rFonts w:eastAsia="Times New Roman"/>
                <w:bCs/>
                <w:color w:val="000000"/>
                <w:kern w:val="24"/>
                <w:sz w:val="18"/>
                <w:szCs w:val="18"/>
                <w:lang w:eastAsia="es-CL"/>
              </w:rPr>
              <w:t>Subtítulo 29</w:t>
            </w:r>
            <w:r>
              <w:rPr>
                <w:rFonts w:eastAsia="Times New Roman"/>
                <w:b w:val="0"/>
                <w:color w:val="000000"/>
                <w:kern w:val="24"/>
                <w:sz w:val="18"/>
                <w:szCs w:val="18"/>
                <w:lang w:eastAsia="es-CL"/>
              </w:rPr>
              <w:t>)</w:t>
            </w:r>
          </w:p>
        </w:tc>
        <w:tc>
          <w:tcPr>
            <w:tcW w:w="1417" w:type="dxa"/>
            <w:tcBorders>
              <w:top w:val="single" w:sz="8" w:space="0" w:color="FFFFFF"/>
              <w:left w:val="single" w:sz="8" w:space="0" w:color="FFFFFF"/>
              <w:bottom w:val="single" w:sz="8" w:space="0" w:color="FFFFFF"/>
              <w:right w:val="single" w:sz="8" w:space="0" w:color="FFFFFF"/>
            </w:tcBorders>
            <w:shd w:val="clear" w:color="auto" w:fill="E9EDF4"/>
            <w:tcMar>
              <w:top w:w="14" w:type="dxa"/>
              <w:left w:w="14" w:type="dxa"/>
              <w:bottom w:w="0" w:type="dxa"/>
              <w:right w:w="14"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 w:val="0"/>
                <w:color w:val="000000"/>
                <w:kern w:val="24"/>
                <w:sz w:val="18"/>
                <w:szCs w:val="18"/>
                <w:lang w:eastAsia="es-CL"/>
              </w:rPr>
              <w:t>108.204</w:t>
            </w:r>
          </w:p>
        </w:tc>
        <w:tc>
          <w:tcPr>
            <w:tcW w:w="1539" w:type="dxa"/>
            <w:tcBorders>
              <w:top w:val="single" w:sz="8" w:space="0" w:color="FFFFFF"/>
              <w:left w:val="single" w:sz="8" w:space="0" w:color="FFFFFF"/>
              <w:bottom w:val="single" w:sz="8" w:space="0" w:color="FFFFFF"/>
              <w:right w:val="single" w:sz="8" w:space="0" w:color="FFFFFF"/>
            </w:tcBorders>
            <w:shd w:val="clear" w:color="auto" w:fill="E9EDF4"/>
            <w:tcMar>
              <w:top w:w="14" w:type="dxa"/>
              <w:left w:w="14" w:type="dxa"/>
              <w:bottom w:w="0" w:type="dxa"/>
              <w:right w:w="14"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 w:val="0"/>
                <w:color w:val="000000"/>
                <w:kern w:val="24"/>
                <w:sz w:val="18"/>
                <w:szCs w:val="18"/>
                <w:lang w:eastAsia="es-CL"/>
              </w:rPr>
              <w:t>10.894</w:t>
            </w:r>
          </w:p>
        </w:tc>
        <w:tc>
          <w:tcPr>
            <w:tcW w:w="1239" w:type="dxa"/>
            <w:tcBorders>
              <w:top w:val="single" w:sz="8" w:space="0" w:color="FFFFFF"/>
              <w:left w:val="single" w:sz="8" w:space="0" w:color="FFFFFF"/>
              <w:bottom w:val="single" w:sz="8" w:space="0" w:color="FFFFFF"/>
              <w:right w:val="single" w:sz="8" w:space="0" w:color="FFFFFF"/>
            </w:tcBorders>
            <w:shd w:val="clear" w:color="auto" w:fill="E9EDF4"/>
            <w:tcMar>
              <w:top w:w="14" w:type="dxa"/>
              <w:left w:w="14" w:type="dxa"/>
              <w:bottom w:w="0" w:type="dxa"/>
              <w:right w:w="14"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 w:val="0"/>
                <w:color w:val="000000"/>
                <w:kern w:val="24"/>
                <w:sz w:val="18"/>
                <w:szCs w:val="18"/>
                <w:lang w:eastAsia="es-CL"/>
              </w:rPr>
              <w:t>-97.310</w:t>
            </w:r>
          </w:p>
        </w:tc>
        <w:tc>
          <w:tcPr>
            <w:tcW w:w="1035" w:type="dxa"/>
            <w:tcBorders>
              <w:top w:val="single" w:sz="8" w:space="0" w:color="FFFFFF"/>
              <w:left w:val="single" w:sz="8" w:space="0" w:color="FFFFFF"/>
              <w:bottom w:val="single" w:sz="8" w:space="0" w:color="FFFFFF"/>
              <w:right w:val="single" w:sz="8" w:space="0" w:color="FFFFFF"/>
            </w:tcBorders>
            <w:shd w:val="clear" w:color="auto" w:fill="E9EDF4"/>
            <w:tcMar>
              <w:top w:w="14" w:type="dxa"/>
              <w:left w:w="14" w:type="dxa"/>
              <w:bottom w:w="0" w:type="dxa"/>
              <w:right w:w="14"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 w:val="0"/>
                <w:color w:val="000000"/>
                <w:kern w:val="24"/>
                <w:sz w:val="18"/>
                <w:szCs w:val="18"/>
                <w:lang w:eastAsia="es-CL"/>
              </w:rPr>
              <w:t>-89,9%</w:t>
            </w:r>
          </w:p>
        </w:tc>
      </w:tr>
      <w:tr>
        <w:trPr>
          <w:trHeight w:val="360"/>
        </w:trPr>
        <w:tc>
          <w:tcPr>
            <w:tcW w:w="4112" w:type="dxa"/>
            <w:tcBorders>
              <w:top w:val="single" w:sz="8" w:space="0" w:color="FFFFFF"/>
              <w:left w:val="single" w:sz="8" w:space="0" w:color="FFFFFF"/>
              <w:bottom w:val="single" w:sz="8" w:space="0" w:color="FFFFFF"/>
              <w:right w:val="single" w:sz="8" w:space="0" w:color="FFFFFF"/>
            </w:tcBorders>
            <w:shd w:val="clear" w:color="auto" w:fill="E9EDF4"/>
            <w:tcMar>
              <w:top w:w="14" w:type="dxa"/>
              <w:left w:w="14" w:type="dxa"/>
              <w:bottom w:w="0" w:type="dxa"/>
              <w:right w:w="14" w:type="dxa"/>
            </w:tcMar>
            <w:vAlign w:val="center"/>
            <w:hideMark/>
          </w:tcPr>
          <w:p>
            <w:pPr>
              <w:tabs>
                <w:tab w:val="clear" w:pos="2835"/>
              </w:tabs>
              <w:jc w:val="left"/>
              <w:textAlignment w:val="center"/>
              <w:rPr>
                <w:rFonts w:eastAsia="Times New Roman"/>
                <w:b w:val="0"/>
                <w:sz w:val="18"/>
                <w:szCs w:val="18"/>
                <w:lang w:eastAsia="es-CL"/>
              </w:rPr>
            </w:pPr>
            <w:r>
              <w:rPr>
                <w:rFonts w:eastAsia="Times New Roman"/>
                <w:b w:val="0"/>
                <w:color w:val="000000"/>
                <w:kern w:val="24"/>
                <w:sz w:val="18"/>
                <w:szCs w:val="18"/>
                <w:lang w:eastAsia="es-CL"/>
              </w:rPr>
              <w:t>Servicio de la Deuda  (</w:t>
            </w:r>
            <w:r>
              <w:rPr>
                <w:rFonts w:eastAsia="Times New Roman"/>
                <w:bCs/>
                <w:color w:val="000000"/>
                <w:kern w:val="24"/>
                <w:sz w:val="18"/>
                <w:szCs w:val="18"/>
                <w:lang w:eastAsia="es-CL"/>
              </w:rPr>
              <w:t>Subtítulo 34</w:t>
            </w:r>
            <w:r>
              <w:rPr>
                <w:rFonts w:eastAsia="Times New Roman"/>
                <w:b w:val="0"/>
                <w:color w:val="000000"/>
                <w:kern w:val="24"/>
                <w:sz w:val="18"/>
                <w:szCs w:val="18"/>
                <w:lang w:eastAsia="es-CL"/>
              </w:rPr>
              <w:t>)</w:t>
            </w:r>
          </w:p>
        </w:tc>
        <w:tc>
          <w:tcPr>
            <w:tcW w:w="1417" w:type="dxa"/>
            <w:tcBorders>
              <w:top w:val="single" w:sz="8" w:space="0" w:color="FFFFFF"/>
              <w:left w:val="single" w:sz="8" w:space="0" w:color="FFFFFF"/>
              <w:bottom w:val="single" w:sz="8" w:space="0" w:color="FFFFFF"/>
              <w:right w:val="single" w:sz="8" w:space="0" w:color="FFFFFF"/>
            </w:tcBorders>
            <w:shd w:val="clear" w:color="auto" w:fill="E9EDF4"/>
            <w:tcMar>
              <w:top w:w="14" w:type="dxa"/>
              <w:left w:w="14" w:type="dxa"/>
              <w:bottom w:w="0" w:type="dxa"/>
              <w:right w:w="14"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 w:val="0"/>
                <w:color w:val="000000"/>
                <w:kern w:val="24"/>
                <w:sz w:val="18"/>
                <w:szCs w:val="18"/>
                <w:lang w:eastAsia="es-CL"/>
              </w:rPr>
              <w:t>10</w:t>
            </w:r>
          </w:p>
        </w:tc>
        <w:tc>
          <w:tcPr>
            <w:tcW w:w="1539" w:type="dxa"/>
            <w:tcBorders>
              <w:top w:val="single" w:sz="8" w:space="0" w:color="FFFFFF"/>
              <w:left w:val="single" w:sz="8" w:space="0" w:color="FFFFFF"/>
              <w:bottom w:val="single" w:sz="8" w:space="0" w:color="FFFFFF"/>
              <w:right w:val="single" w:sz="8" w:space="0" w:color="FFFFFF"/>
            </w:tcBorders>
            <w:shd w:val="clear" w:color="auto" w:fill="E9EDF4"/>
            <w:tcMar>
              <w:top w:w="14" w:type="dxa"/>
              <w:left w:w="14" w:type="dxa"/>
              <w:bottom w:w="0" w:type="dxa"/>
              <w:right w:w="14"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 w:val="0"/>
                <w:color w:val="000000"/>
                <w:kern w:val="24"/>
                <w:sz w:val="18"/>
                <w:szCs w:val="18"/>
                <w:lang w:eastAsia="es-CL"/>
              </w:rPr>
              <w:t>0</w:t>
            </w:r>
          </w:p>
        </w:tc>
        <w:tc>
          <w:tcPr>
            <w:tcW w:w="1239" w:type="dxa"/>
            <w:tcBorders>
              <w:top w:val="single" w:sz="8" w:space="0" w:color="FFFFFF"/>
              <w:left w:val="single" w:sz="8" w:space="0" w:color="FFFFFF"/>
              <w:bottom w:val="single" w:sz="8" w:space="0" w:color="FFFFFF"/>
              <w:right w:val="single" w:sz="8" w:space="0" w:color="FFFFFF"/>
            </w:tcBorders>
            <w:shd w:val="clear" w:color="auto" w:fill="E9EDF4"/>
            <w:tcMar>
              <w:top w:w="14" w:type="dxa"/>
              <w:left w:w="14" w:type="dxa"/>
              <w:bottom w:w="0" w:type="dxa"/>
              <w:right w:w="14"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 w:val="0"/>
                <w:color w:val="000000"/>
                <w:kern w:val="24"/>
                <w:sz w:val="18"/>
                <w:szCs w:val="18"/>
                <w:lang w:eastAsia="es-CL"/>
              </w:rPr>
              <w:t>-10</w:t>
            </w:r>
          </w:p>
        </w:tc>
        <w:tc>
          <w:tcPr>
            <w:tcW w:w="1035" w:type="dxa"/>
            <w:tcBorders>
              <w:top w:val="single" w:sz="8" w:space="0" w:color="FFFFFF"/>
              <w:left w:val="single" w:sz="8" w:space="0" w:color="FFFFFF"/>
              <w:bottom w:val="single" w:sz="8" w:space="0" w:color="FFFFFF"/>
              <w:right w:val="single" w:sz="8" w:space="0" w:color="FFFFFF"/>
            </w:tcBorders>
            <w:shd w:val="clear" w:color="auto" w:fill="E9EDF4"/>
            <w:tcMar>
              <w:top w:w="14" w:type="dxa"/>
              <w:left w:w="14" w:type="dxa"/>
              <w:bottom w:w="0" w:type="dxa"/>
              <w:right w:w="14"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 w:val="0"/>
                <w:color w:val="000000"/>
                <w:kern w:val="24"/>
                <w:sz w:val="18"/>
                <w:szCs w:val="18"/>
                <w:lang w:eastAsia="es-CL"/>
              </w:rPr>
              <w:t>-100%</w:t>
            </w:r>
          </w:p>
        </w:tc>
      </w:tr>
      <w:tr>
        <w:trPr>
          <w:trHeight w:val="360"/>
        </w:trPr>
        <w:tc>
          <w:tcPr>
            <w:tcW w:w="4112" w:type="dxa"/>
            <w:tcBorders>
              <w:top w:val="single" w:sz="8" w:space="0" w:color="FFFFFF"/>
              <w:left w:val="single" w:sz="8" w:space="0" w:color="FFFFFF"/>
              <w:bottom w:val="single" w:sz="8" w:space="0" w:color="FFFFFF"/>
              <w:right w:val="single" w:sz="8" w:space="0" w:color="FFFFFF"/>
            </w:tcBorders>
            <w:shd w:val="clear" w:color="auto" w:fill="B9CDE5"/>
            <w:tcMar>
              <w:top w:w="14" w:type="dxa"/>
              <w:left w:w="14" w:type="dxa"/>
              <w:bottom w:w="0" w:type="dxa"/>
              <w:right w:w="14" w:type="dxa"/>
            </w:tcMar>
            <w:vAlign w:val="center"/>
            <w:hideMark/>
          </w:tcPr>
          <w:p>
            <w:pPr>
              <w:tabs>
                <w:tab w:val="clear" w:pos="2835"/>
              </w:tabs>
              <w:jc w:val="left"/>
              <w:textAlignment w:val="center"/>
              <w:rPr>
                <w:rFonts w:eastAsia="Times New Roman"/>
                <w:b w:val="0"/>
                <w:sz w:val="18"/>
                <w:szCs w:val="18"/>
                <w:lang w:eastAsia="es-CL"/>
              </w:rPr>
            </w:pPr>
            <w:r>
              <w:rPr>
                <w:rFonts w:eastAsia="Times New Roman"/>
                <w:bCs/>
                <w:color w:val="000000"/>
                <w:kern w:val="24"/>
                <w:sz w:val="18"/>
                <w:szCs w:val="18"/>
                <w:lang w:eastAsia="es-CL"/>
              </w:rPr>
              <w:t xml:space="preserve">Gasto neto </w:t>
            </w:r>
            <w:r>
              <w:rPr>
                <w:rFonts w:eastAsia="Times New Roman"/>
                <w:b w:val="0"/>
                <w:color w:val="000000"/>
                <w:kern w:val="24"/>
                <w:sz w:val="18"/>
                <w:szCs w:val="18"/>
                <w:lang w:eastAsia="es-CL"/>
              </w:rPr>
              <w:t>(*)</w:t>
            </w:r>
          </w:p>
        </w:tc>
        <w:tc>
          <w:tcPr>
            <w:tcW w:w="1417" w:type="dxa"/>
            <w:tcBorders>
              <w:top w:val="single" w:sz="8" w:space="0" w:color="FFFFFF"/>
              <w:left w:val="single" w:sz="8" w:space="0" w:color="FFFFFF"/>
              <w:bottom w:val="single" w:sz="8" w:space="0" w:color="FFFFFF"/>
              <w:right w:val="single" w:sz="8" w:space="0" w:color="FFFFFF"/>
            </w:tcBorders>
            <w:shd w:val="clear" w:color="auto" w:fill="B9CDE5"/>
            <w:tcMar>
              <w:top w:w="14" w:type="dxa"/>
              <w:left w:w="14" w:type="dxa"/>
              <w:bottom w:w="0" w:type="dxa"/>
              <w:right w:w="14"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Cs/>
                <w:color w:val="000000"/>
                <w:kern w:val="24"/>
                <w:sz w:val="18"/>
                <w:szCs w:val="18"/>
                <w:lang w:eastAsia="es-CL"/>
              </w:rPr>
              <w:t>3.072.394</w:t>
            </w:r>
          </w:p>
        </w:tc>
        <w:tc>
          <w:tcPr>
            <w:tcW w:w="1539" w:type="dxa"/>
            <w:tcBorders>
              <w:top w:val="single" w:sz="8" w:space="0" w:color="FFFFFF"/>
              <w:left w:val="single" w:sz="8" w:space="0" w:color="FFFFFF"/>
              <w:bottom w:val="single" w:sz="8" w:space="0" w:color="FFFFFF"/>
              <w:right w:val="single" w:sz="8" w:space="0" w:color="FFFFFF"/>
            </w:tcBorders>
            <w:shd w:val="clear" w:color="auto" w:fill="B9CDE5"/>
            <w:tcMar>
              <w:top w:w="14" w:type="dxa"/>
              <w:left w:w="14" w:type="dxa"/>
              <w:bottom w:w="0" w:type="dxa"/>
              <w:right w:w="14"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Cs/>
                <w:color w:val="000000"/>
                <w:kern w:val="24"/>
                <w:sz w:val="18"/>
                <w:szCs w:val="18"/>
                <w:lang w:eastAsia="es-CL"/>
              </w:rPr>
              <w:t>3.177.276</w:t>
            </w:r>
          </w:p>
        </w:tc>
        <w:tc>
          <w:tcPr>
            <w:tcW w:w="1239" w:type="dxa"/>
            <w:tcBorders>
              <w:top w:val="single" w:sz="8" w:space="0" w:color="FFFFFF"/>
              <w:left w:val="single" w:sz="8" w:space="0" w:color="FFFFFF"/>
              <w:bottom w:val="single" w:sz="8" w:space="0" w:color="FFFFFF"/>
              <w:right w:val="single" w:sz="8" w:space="0" w:color="FFFFFF"/>
            </w:tcBorders>
            <w:shd w:val="clear" w:color="auto" w:fill="B9CDE5"/>
            <w:tcMar>
              <w:top w:w="14" w:type="dxa"/>
              <w:left w:w="14" w:type="dxa"/>
              <w:bottom w:w="0" w:type="dxa"/>
              <w:right w:w="14"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Cs/>
                <w:color w:val="000000"/>
                <w:kern w:val="24"/>
                <w:sz w:val="18"/>
                <w:szCs w:val="18"/>
                <w:lang w:eastAsia="es-CL"/>
              </w:rPr>
              <w:t>104.872</w:t>
            </w:r>
          </w:p>
        </w:tc>
        <w:tc>
          <w:tcPr>
            <w:tcW w:w="1035" w:type="dxa"/>
            <w:tcBorders>
              <w:top w:val="single" w:sz="8" w:space="0" w:color="FFFFFF"/>
              <w:left w:val="single" w:sz="8" w:space="0" w:color="FFFFFF"/>
              <w:bottom w:val="single" w:sz="8" w:space="0" w:color="FFFFFF"/>
              <w:right w:val="single" w:sz="8" w:space="0" w:color="FFFFFF"/>
            </w:tcBorders>
            <w:shd w:val="clear" w:color="auto" w:fill="B9CDE5"/>
            <w:tcMar>
              <w:top w:w="14" w:type="dxa"/>
              <w:left w:w="14" w:type="dxa"/>
              <w:bottom w:w="0" w:type="dxa"/>
              <w:right w:w="14"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Cs/>
                <w:color w:val="000000"/>
                <w:kern w:val="24"/>
                <w:sz w:val="18"/>
                <w:szCs w:val="18"/>
                <w:lang w:eastAsia="es-CL"/>
              </w:rPr>
              <w:t>3,4%</w:t>
            </w:r>
          </w:p>
        </w:tc>
      </w:tr>
    </w:tbl>
    <w:p>
      <w:r>
        <w:t>(*) Gasto de Estado de Operaciones = GASTOS-(Subt.25+30+32+34+35) + Ítem25.01+Intereses y Otros Gastos Financieros de Deuda</w:t>
      </w:r>
    </w:p>
    <w:p>
      <w:pPr>
        <w:rPr>
          <w:b w:val="0"/>
        </w:rPr>
      </w:pPr>
    </w:p>
    <w:p>
      <w:pPr>
        <w:rPr>
          <w:b w:val="0"/>
        </w:rPr>
      </w:pPr>
    </w:p>
    <w:p>
      <w:pPr>
        <w:rPr>
          <w:b w:val="0"/>
        </w:rPr>
      </w:pPr>
      <w:r>
        <w:rPr>
          <w:b w:val="0"/>
        </w:rPr>
        <w:tab/>
        <w:t>A continuación, señaló que este es un presupuesto de continuidad  y explicó los incrementos y disminuciones presupuestarias en el presupuesto para el año 2017 y en los subtítulos correspondientes.</w:t>
      </w:r>
    </w:p>
    <w:p>
      <w:pPr>
        <w:rPr>
          <w:b w:val="0"/>
        </w:rPr>
      </w:pPr>
    </w:p>
    <w:p>
      <w:pPr>
        <w:jc w:val="center"/>
      </w:pPr>
      <w:r>
        <w:t>Incrementos y disminuciones presupuestarias</w:t>
      </w:r>
    </w:p>
    <w:p>
      <w:pPr>
        <w:rPr>
          <w:b w:val="0"/>
        </w:rPr>
      </w:pPr>
    </w:p>
    <w:p>
      <w:pPr>
        <w:rPr>
          <w:b w:val="0"/>
        </w:rPr>
      </w:pPr>
      <w:r>
        <w:rPr>
          <w:b w:val="0"/>
        </w:rPr>
        <w:tab/>
        <w:t xml:space="preserve">El Presupuesto total para el año 2017 considera un aumento de recursos de 3,4%, correspondiente al </w:t>
      </w:r>
      <w:r>
        <w:t>segundo año</w:t>
      </w:r>
      <w:r>
        <w:rPr>
          <w:b w:val="0"/>
        </w:rPr>
        <w:t xml:space="preserve"> de la implementación de la </w:t>
      </w:r>
      <w:r>
        <w:t>Ley N° 20.818</w:t>
      </w:r>
      <w:r>
        <w:rPr>
          <w:b w:val="0"/>
        </w:rPr>
        <w:t xml:space="preserve">, que perfecciona los mecanismos de prevención, detección, control, investigación y juzgamiento del delito de lavado de activos, introduciendo importantes modificaciones a la Ley N° 19.913 que creó la Unidad de Análisis Financiero (UAF). </w:t>
      </w:r>
    </w:p>
    <w:p>
      <w:pPr>
        <w:rPr>
          <w:b w:val="0"/>
        </w:rPr>
      </w:pPr>
    </w:p>
    <w:p>
      <w:r>
        <w:t>- Subtítulo 21: Gasto en Personal.</w:t>
      </w:r>
    </w:p>
    <w:p/>
    <w:p>
      <w:pPr>
        <w:rPr>
          <w:b w:val="0"/>
        </w:rPr>
      </w:pPr>
      <w:r>
        <w:rPr>
          <w:b w:val="0"/>
        </w:rPr>
        <w:tab/>
        <w:t xml:space="preserve">Se registra un aumento de </w:t>
      </w:r>
      <w:r>
        <w:t>14,26%</w:t>
      </w:r>
      <w:r>
        <w:rPr>
          <w:b w:val="0"/>
        </w:rPr>
        <w:t xml:space="preserve"> por 7 nuevos cupos de dotación, correspondientes a 2 técnicos y 5 profesionales, para alcanzar una dotación de 67 funcionarios al término del año 2017. Ingreso estimado al Servicio: Enero de 2017. La idea es que el 2018 tengan 72 funcionarios.</w:t>
      </w:r>
    </w:p>
    <w:p>
      <w:pPr>
        <w:rPr>
          <w:b w:val="0"/>
        </w:rPr>
      </w:pPr>
      <w:r>
        <w:rPr>
          <w:b w:val="0"/>
        </w:rPr>
        <w:tab/>
      </w:r>
    </w:p>
    <w:p>
      <w:pPr>
        <w:rPr>
          <w:b w:val="0"/>
        </w:rPr>
      </w:pPr>
    </w:p>
    <w:p>
      <w:r>
        <w:t>- Subtítulo 22: Bienes y Servicios de Consumo.</w:t>
      </w:r>
    </w:p>
    <w:p/>
    <w:p>
      <w:pPr>
        <w:rPr>
          <w:b w:val="0"/>
        </w:rPr>
      </w:pPr>
      <w:r>
        <w:rPr>
          <w:b w:val="0"/>
        </w:rPr>
        <w:tab/>
        <w:t xml:space="preserve">Se registra una disminución de </w:t>
      </w:r>
      <w:r>
        <w:t>11,80 %,</w:t>
      </w:r>
      <w:r>
        <w:rPr>
          <w:b w:val="0"/>
        </w:rPr>
        <w:t xml:space="preserve"> por cuanto el aumento generado el 2016  correspondía a los gastos de la remodelación de oficinas y generación de nuevos espacios físicos en la UAF, para incorporar a la nueva dotación solicitada de 26 funcionarios en el periodo 2016-2018. </w:t>
      </w:r>
    </w:p>
    <w:p>
      <w:pPr>
        <w:rPr>
          <w:b w:val="0"/>
        </w:rPr>
      </w:pPr>
    </w:p>
    <w:p>
      <w:r>
        <w:t>- Subtítulo 29: Adquisición de Activos No Financieros</w:t>
      </w:r>
    </w:p>
    <w:p/>
    <w:p>
      <w:pPr>
        <w:rPr>
          <w:b w:val="0"/>
        </w:rPr>
      </w:pPr>
      <w:r>
        <w:rPr>
          <w:b w:val="0"/>
        </w:rPr>
        <w:tab/>
        <w:t xml:space="preserve">La disminución de </w:t>
      </w:r>
      <w:r>
        <w:t>89,93%</w:t>
      </w:r>
      <w:r>
        <w:rPr>
          <w:b w:val="0"/>
        </w:rPr>
        <w:t xml:space="preserve"> con respecto al año 2016 se debe a que se programó la adquisición de mobiliario y de nuevo equipo informático para la adecuación de los sistemas informáticos en el Año 1 de la implementación de la Ley N° 20.818, correspondiendo para el año 2017 la adquisición de software y hardware nivel usuario para la dotación de personal autorizada de 7 funcionarios.</w:t>
      </w:r>
    </w:p>
    <w:p>
      <w:pPr>
        <w:rPr>
          <w:b w:val="0"/>
        </w:rPr>
      </w:pPr>
    </w:p>
    <w:p>
      <w:pPr>
        <w:rPr>
          <w:b w:val="0"/>
        </w:rPr>
      </w:pPr>
      <w:r>
        <w:rPr>
          <w:b w:val="0"/>
        </w:rPr>
        <w:tab/>
        <w:t>En cuanto a la ejecución presupuestaria de esta entidad hasta la fecha exhibió la siguiente lámina:</w:t>
      </w:r>
    </w:p>
    <w:p>
      <w:pPr>
        <w:rPr>
          <w:b w:val="0"/>
        </w:rPr>
      </w:pPr>
    </w:p>
    <w:p>
      <w:pPr>
        <w:jc w:val="center"/>
      </w:pPr>
      <w:r>
        <w:t>Ejecución Presupuestaria Año 2016</w:t>
      </w:r>
    </w:p>
    <w:p>
      <w:pPr>
        <w:rPr>
          <w:b w:val="0"/>
        </w:rPr>
      </w:pPr>
    </w:p>
    <w:p>
      <w:pPr>
        <w:rPr>
          <w:b w:val="0"/>
        </w:rPr>
      </w:pPr>
      <w:r>
        <w:rPr>
          <w:b w:val="0"/>
        </w:rPr>
        <w:pict>
          <v:shape id="_x0000_i1047" type="#_x0000_t75" style="width:469.25pt;height:233.9pt">
            <v:imagedata r:id="rId30" o:title=""/>
          </v:shape>
        </w:pict>
      </w:r>
    </w:p>
    <w:p>
      <w:pPr>
        <w:rPr>
          <w:b w:val="0"/>
        </w:rPr>
      </w:pPr>
    </w:p>
    <w:p>
      <w:pPr>
        <w:rPr>
          <w:b w:val="0"/>
        </w:rPr>
      </w:pPr>
    </w:p>
    <w:p>
      <w:pPr>
        <w:rPr>
          <w:b w:val="0"/>
        </w:rPr>
      </w:pPr>
    </w:p>
    <w:p>
      <w:pPr>
        <w:rPr>
          <w:b w:val="0"/>
        </w:rPr>
      </w:pPr>
      <w:r>
        <w:rPr>
          <w:b w:val="0"/>
        </w:rPr>
        <w:tab/>
      </w:r>
      <w:r>
        <w:t>El Director Subrogante de la Unidad de Análisis Financiero, señor Manuel Zarate</w:t>
      </w:r>
      <w:r>
        <w:rPr>
          <w:b w:val="0"/>
        </w:rPr>
        <w:t>, señaló que a la fecha, la ejecución del Presupuesto 2016, va de acuerdo a lo programado. Se espera ejecutar el 100 % del Presupuesto vigente.</w:t>
      </w:r>
    </w:p>
    <w:p>
      <w:pPr>
        <w:rPr>
          <w:b w:val="0"/>
        </w:rPr>
      </w:pPr>
    </w:p>
    <w:p>
      <w:r>
        <w:t>- Subtítulo 21: Gasto en Personal.</w:t>
      </w:r>
    </w:p>
    <w:p/>
    <w:p>
      <w:pPr>
        <w:rPr>
          <w:b w:val="0"/>
        </w:rPr>
      </w:pPr>
      <w:r>
        <w:rPr>
          <w:b w:val="0"/>
        </w:rPr>
        <w:tab/>
        <w:t>De acuerdo a lo programado, a la fecha han ingresado los 14 cupos otorgados para el Año 1 de la implementación de la Ley N° 20.818. Se ejecutará el 100% asociado a este Subtítulo.</w:t>
      </w:r>
    </w:p>
    <w:p>
      <w:pPr>
        <w:rPr>
          <w:b w:val="0"/>
        </w:rPr>
      </w:pPr>
    </w:p>
    <w:p>
      <w:r>
        <w:t>- Subtítulo 22: Bienes y Servicios de Consumo.</w:t>
      </w:r>
    </w:p>
    <w:p/>
    <w:p>
      <w:pPr>
        <w:rPr>
          <w:b w:val="0"/>
        </w:rPr>
      </w:pPr>
      <w:r>
        <w:rPr>
          <w:b w:val="0"/>
        </w:rPr>
        <w:tab/>
        <w:t xml:space="preserve">Para el año 2016 se solicitaron fondos para la remodelación de las dependencias del Servicio, la cual fue realizada en el mes de mayo y mediados de junio, ejecutándose el 100% del Presupuesto asignado a ese fin.  </w:t>
      </w:r>
    </w:p>
    <w:p>
      <w:pPr>
        <w:rPr>
          <w:b w:val="0"/>
        </w:rPr>
      </w:pPr>
    </w:p>
    <w:p>
      <w:r>
        <w:t>- Subtítulo 29: Adquisición de Activos No Financieros.</w:t>
      </w:r>
    </w:p>
    <w:p/>
    <w:p>
      <w:pPr>
        <w:rPr>
          <w:b w:val="0"/>
        </w:rPr>
      </w:pPr>
      <w:r>
        <w:rPr>
          <w:b w:val="0"/>
        </w:rPr>
        <w:tab/>
        <w:t xml:space="preserve">En cuanto a la adquisición de equipos y adecuación de los sistemas informáticos, a la fecha se ha ejecutado el </w:t>
      </w:r>
    </w:p>
    <w:p>
      <w:pPr>
        <w:rPr>
          <w:b w:val="0"/>
        </w:rPr>
      </w:pPr>
      <w:r>
        <w:rPr>
          <w:b w:val="0"/>
        </w:rPr>
        <w:t xml:space="preserve">61,5 % de los recursos. En lo  que resta del año se ejecutará el 38,5% restante.  </w:t>
      </w:r>
    </w:p>
    <w:p>
      <w:pPr>
        <w:rPr>
          <w:b w:val="0"/>
        </w:rPr>
      </w:pPr>
    </w:p>
    <w:p>
      <w:r>
        <w:t>Resultados:</w:t>
      </w:r>
    </w:p>
    <w:p>
      <w:pPr>
        <w:rPr>
          <w:b w:val="0"/>
        </w:rPr>
      </w:pPr>
    </w:p>
    <w:p>
      <w:r>
        <w:t>Reforzamiento de la transparencia y probidad en el sector público.</w:t>
      </w:r>
    </w:p>
    <w:p>
      <w:pPr>
        <w:rPr>
          <w:b w:val="0"/>
        </w:rPr>
      </w:pPr>
    </w:p>
    <w:p>
      <w:pPr>
        <w:rPr>
          <w:b w:val="0"/>
        </w:rPr>
      </w:pPr>
      <w:r>
        <w:rPr>
          <w:b w:val="0"/>
        </w:rPr>
        <w:tab/>
        <w:t>- En el marco de la Agenda para la Transparencia y la Probidad en los Negocios y en la Política, el Ministerio de Hacienda distribuyó a todos los ministerios y servicios públicos del Estado, intendencias, gobernaciones y municipalidades, el Oficio Circular N° 20 y la "Guía de Recomendaciones para la Implementación de un Sistema Preventivo contra los Delitos Funcionarios, el Lavado de Activos y el Financiamiento del Terrorismo", elaborada en conjunto con la UAF. Mediante la coordinación operativa con el Consejo de Auditoría Interna General de Gobierno (CAIGG) se han definido los hitos a implementar por las instituciones públicas respecto de las instrucciones emitidas.</w:t>
      </w:r>
    </w:p>
    <w:p>
      <w:pPr>
        <w:rPr>
          <w:b w:val="0"/>
        </w:rPr>
      </w:pPr>
    </w:p>
    <w:p>
      <w:pPr>
        <w:rPr>
          <w:b w:val="0"/>
        </w:rPr>
      </w:pPr>
      <w:r>
        <w:rPr>
          <w:b w:val="0"/>
        </w:rPr>
        <w:tab/>
        <w:t>- 385 instituciones públicas se encuentran registradas en la UAF al 31 de agosto de 2016 y, por lo tanto, se encuentran habilitadas para remitir reportes de las operaciones sospechosas de lavados de activos y/o financiamiento del terrorismo que adviertan  en el ejercicio de sus funciones.</w:t>
      </w:r>
    </w:p>
    <w:p>
      <w:pPr>
        <w:rPr>
          <w:b w:val="0"/>
        </w:rPr>
      </w:pPr>
    </w:p>
    <w:p>
      <w:pPr>
        <w:rPr>
          <w:b w:val="0"/>
        </w:rPr>
      </w:pPr>
      <w:r>
        <w:rPr>
          <w:b w:val="0"/>
        </w:rPr>
        <w:tab/>
        <w:t>- La UAF generó un formulario especial de Reporte de Operaciones Sospechosas (ROS) para las instituciones públicas, que les permite reportar operaciones sospechosas realizadas por un funcionario público, una institución pública, una institución privada y/o una persona natural. El nuevo formulario ROS y su Manual de Uso se encuentran disponibles en el Portal de Entidades Reportantes de la UAF.</w:t>
      </w:r>
    </w:p>
    <w:p>
      <w:pPr>
        <w:rPr>
          <w:b w:val="0"/>
        </w:rPr>
      </w:pPr>
    </w:p>
    <w:p>
      <w:pPr>
        <w:rPr>
          <w:b w:val="0"/>
        </w:rPr>
      </w:pPr>
      <w:r>
        <w:rPr>
          <w:b w:val="0"/>
        </w:rPr>
        <w:tab/>
        <w:t>- El 21 de junio de 2016, el Ministerio de Hacienda distribuyó el Oficio Circular N° 14 con una propuesta de Modelo para Formular e Implementar un Sistema de Prevención de Lavado de Activos, Financiamiento del Terrorismo y Delitos Funcionarios (LA/FT/DF), la que fue trabajada por la Unidad de Análisis Financiero, en conjunto y acción colaborativa recíproca con el CAIGG.</w:t>
      </w:r>
    </w:p>
    <w:p>
      <w:pPr>
        <w:rPr>
          <w:b w:val="0"/>
        </w:rPr>
      </w:pPr>
    </w:p>
    <w:p>
      <w:pPr>
        <w:rPr>
          <w:b w:val="0"/>
        </w:rPr>
      </w:pPr>
      <w:r>
        <w:rPr>
          <w:b w:val="0"/>
        </w:rPr>
        <w:tab/>
        <w:t xml:space="preserve">- Respecto del desarrollo de Sistemas Preventivos Antilavado de Dinero y Anticorrupción en el Sector Público, medida impulsada por el Ministerio de Hacienda y coordinada por la UAF, se desarrolló con éxito -por todos los servicios y superintendencias dependientes y relacionados de Hacienda- la elaboración de Manuales de Prevención, los que se encuentran plenamente operativos. </w:t>
      </w:r>
    </w:p>
    <w:p>
      <w:pPr>
        <w:rPr>
          <w:b w:val="0"/>
        </w:rPr>
      </w:pPr>
    </w:p>
    <w:p>
      <w:pPr>
        <w:rPr>
          <w:b w:val="0"/>
        </w:rPr>
      </w:pPr>
      <w:r>
        <w:rPr>
          <w:b w:val="0"/>
        </w:rPr>
        <w:tab/>
        <w:t xml:space="preserve">- En el marco de prevenir y orientar al sector público en la implementación de sistemas preventivos contra LA/DF/FT, desde febrero 2015 (fecha de promulgación de la Ley N°20.818) al 31 de agosto de 2016, la UAF ha capacitado a 2.468 funcionarios públicos de 403 instituciones. </w:t>
      </w:r>
    </w:p>
    <w:p>
      <w:pPr>
        <w:rPr>
          <w:b w:val="0"/>
        </w:rPr>
      </w:pPr>
    </w:p>
    <w:p>
      <w:r>
        <w:t>Prevención del financiamiento del terrorismo.</w:t>
      </w:r>
    </w:p>
    <w:p>
      <w:pPr>
        <w:rPr>
          <w:b w:val="0"/>
        </w:rPr>
      </w:pPr>
    </w:p>
    <w:p>
      <w:pPr>
        <w:rPr>
          <w:b w:val="0"/>
        </w:rPr>
      </w:pPr>
      <w:r>
        <w:rPr>
          <w:b w:val="0"/>
        </w:rPr>
        <w:tab/>
        <w:t>- La UAF emitió las Circulares N° 54 (que  informó a las personas naturales y jurídicas señaladas en el artículo 3° de la Ley N° 19.913, respecto de la necesidad de prevenir el delito de financiamiento del terrorismo en el país) y N° 55 (que modifica el título VIII de la Circular UAF N° 49, de 2012, relativa a las Resoluciones dictadas por el Consejo de Seguridad de Naciones Unidas en materia de prevención del financiamiento del terrorismo).</w:t>
      </w:r>
    </w:p>
    <w:p>
      <w:pPr>
        <w:rPr>
          <w:b w:val="0"/>
        </w:rPr>
      </w:pPr>
    </w:p>
    <w:p>
      <w:pPr>
        <w:rPr>
          <w:b w:val="0"/>
        </w:rPr>
      </w:pPr>
      <w:r>
        <w:rPr>
          <w:b w:val="0"/>
        </w:rPr>
        <w:tab/>
        <w:t xml:space="preserve">- Se dictó el Decreto Supremo N°277, del Ministerio de Relaciones Exteriores, que “Establece medidas que implementan las resoluciones dictadas por el Consejo de Seguridad de la Organización de las Naciones Unidas que indica, en materias relativas a la prevención y represión del terrorismo y la financiación del terrorismo”. </w:t>
      </w:r>
    </w:p>
    <w:p>
      <w:pPr>
        <w:rPr>
          <w:b w:val="0"/>
        </w:rPr>
      </w:pPr>
    </w:p>
    <w:p>
      <w:pPr>
        <w:rPr>
          <w:b w:val="0"/>
        </w:rPr>
      </w:pPr>
      <w:r>
        <w:rPr>
          <w:b w:val="0"/>
        </w:rPr>
        <w:tab/>
        <w:t>- Se reestructuró y relanzó el Formulario de Reporte de Operaciones Sospechosas para el sector privado. Entre las características del nuevo Formulario ROS están la posibilidad de vincular el ROS al lavado de activos o al financiamiento del terrorismo, o a ambos, para un mejor tratamiento de la información recibida.</w:t>
      </w:r>
    </w:p>
    <w:p>
      <w:pPr>
        <w:rPr>
          <w:b w:val="0"/>
        </w:rPr>
      </w:pPr>
    </w:p>
    <w:p>
      <w:r>
        <w:t>Perfeccionamiento del Sistema Nacional Antilavado y contra el financiamiento del terrorismo mediante el incremento en las funciones de la Unidad de Análisis Financiero.</w:t>
      </w:r>
    </w:p>
    <w:p>
      <w:pPr>
        <w:rPr>
          <w:b w:val="0"/>
        </w:rPr>
      </w:pPr>
    </w:p>
    <w:p>
      <w:pPr>
        <w:rPr>
          <w:b w:val="0"/>
        </w:rPr>
      </w:pPr>
      <w:r>
        <w:rPr>
          <w:b w:val="0"/>
        </w:rPr>
        <w:tab/>
        <w:t>- Creación de la Comisión Asesora Intersectorial sobre la Prevención y Combate al Lavado de Activos y al Financiamiento del Terrorismo, que coordina la UAF y que tiene como misión asesorar al Presidente de la República en la coordinación de las acciones, planes y programas de los distintos actores institucionales en materia de prevención, detección y persecución del LA/FT.</w:t>
      </w:r>
    </w:p>
    <w:p>
      <w:pPr>
        <w:rPr>
          <w:b w:val="0"/>
        </w:rPr>
      </w:pPr>
    </w:p>
    <w:p>
      <w:pPr>
        <w:rPr>
          <w:b w:val="0"/>
        </w:rPr>
      </w:pPr>
      <w:r>
        <w:rPr>
          <w:b w:val="0"/>
        </w:rPr>
        <w:tab/>
        <w:t>- El Pleno de Representantes del Grupo de Acción Financiera de Latinoamérica (Gafilat) aprobó la salida de Chile de la lista de países en seguimiento intensificado en materia de lavado de activos y financiamiento del terrorismo. Chile se encontraba en seguimiento intensificado desde la última Evaluación Mutua de Gafilat del año 2010, que detectó una serie de deficiencias en nuestro cumplimiento de las 40 Recomendaciones del Grupo de Acción Financiera Internacional (GAFI), y estableció un Plan de Acción para superarlas.</w:t>
      </w:r>
    </w:p>
    <w:p>
      <w:pPr>
        <w:rPr>
          <w:b w:val="0"/>
        </w:rPr>
      </w:pPr>
    </w:p>
    <w:p>
      <w:pPr>
        <w:rPr>
          <w:b w:val="0"/>
        </w:rPr>
      </w:pPr>
      <w:r>
        <w:rPr>
          <w:b w:val="0"/>
        </w:rPr>
        <w:tab/>
        <w:t xml:space="preserve">- </w:t>
      </w:r>
      <w:r>
        <w:t>Registro de entidades reportantes</w:t>
      </w:r>
      <w:r>
        <w:rPr>
          <w:b w:val="0"/>
        </w:rPr>
        <w:t>: Al 30 de junio de 2016 se encuentran inscritas en el Registro de Entidades Reportantes de la UAF 6.545 personas naturales y jurídicas. De ellas, 6.166 pertenecen a los 38 sectores (sector privado) a los que se refiere el artículo 3° inciso primero de la Ley N° 19.913, y 379 son instituciones públicas, habilitadas para reportar operaciones sospechosas de LA/FT. En junio de 2015 había 5.810 entidades en el Registro de la UAF.</w:t>
      </w:r>
    </w:p>
    <w:p>
      <w:pPr>
        <w:rPr>
          <w:b w:val="0"/>
        </w:rPr>
      </w:pPr>
    </w:p>
    <w:p>
      <w:pPr>
        <w:rPr>
          <w:b w:val="0"/>
        </w:rPr>
      </w:pPr>
      <w:r>
        <w:rPr>
          <w:b w:val="0"/>
        </w:rPr>
        <w:tab/>
        <w:t xml:space="preserve">- </w:t>
      </w:r>
      <w:r>
        <w:t>Reportes de Operaciones Sospechosas (ROS)</w:t>
      </w:r>
      <w:r>
        <w:rPr>
          <w:b w:val="0"/>
        </w:rPr>
        <w:t xml:space="preserve">: Entre enero y diciembre de 2015, la UAF recibió 3.150 ROS, lo que representa un aumento de 44,8% anual, cifra que constituye el mayor incremento porcentual de ROS recibidos por la UAF en los últimos 2 años, y que confirma la tendencia alcista que se mantiene desde el año 2013. En el primer semestre de 2016, la UAF ha recibido 1.876 ROS, lo que significa un incremento de 22,3% al comparar con igual período del año anterior.  </w:t>
      </w:r>
    </w:p>
    <w:p>
      <w:pPr>
        <w:rPr>
          <w:b w:val="0"/>
        </w:rPr>
      </w:pPr>
    </w:p>
    <w:p>
      <w:pPr>
        <w:rPr>
          <w:b w:val="0"/>
        </w:rPr>
      </w:pPr>
      <w:r>
        <w:rPr>
          <w:b w:val="0"/>
        </w:rPr>
        <w:tab/>
        <w:t xml:space="preserve">- </w:t>
      </w:r>
      <w:r>
        <w:t>Reportes de Operaciones en Efectivo (ROE)</w:t>
      </w:r>
      <w:r>
        <w:rPr>
          <w:b w:val="0"/>
        </w:rPr>
        <w:t xml:space="preserve">: La Ley N° 20.818 modificó el umbral de los ROE desde UF 450 a USD 10.000, o su equivalente en pesos chilenos, según el valor del dólar observado el día en que se realizó la operación. En 2015, las entidades supervisadas privadas enviaron 3.080.954 de ROE a la UAF, lo que implica un alza anual de 64,8%. Para 2016 se espera que se mantenga la tendencia al alza de los ROE recibidos por la UAF. </w:t>
      </w:r>
    </w:p>
    <w:p>
      <w:pPr>
        <w:rPr>
          <w:b w:val="0"/>
        </w:rPr>
      </w:pPr>
    </w:p>
    <w:p>
      <w:pPr>
        <w:rPr>
          <w:b w:val="0"/>
        </w:rPr>
      </w:pPr>
      <w:r>
        <w:tab/>
        <w:t>- Fiscalización del cumplimiento de las disposiciones de Ley N° 19.913 y de las Circulares UAF</w:t>
      </w:r>
      <w:r>
        <w:rPr>
          <w:b w:val="0"/>
        </w:rPr>
        <w:t>: En el primer semestre de 2016, las fiscalizaciones en terreno, a lo largo del país, muestran un crecimiento de 41% anual.</w:t>
      </w:r>
    </w:p>
    <w:p>
      <w:pPr>
        <w:rPr>
          <w:b w:val="0"/>
        </w:rPr>
      </w:pPr>
    </w:p>
    <w:p>
      <w:pPr>
        <w:rPr>
          <w:b w:val="0"/>
        </w:rPr>
      </w:pPr>
      <w:r>
        <w:rPr>
          <w:b w:val="0"/>
        </w:rPr>
        <w:tab/>
        <w:t xml:space="preserve">- </w:t>
      </w:r>
      <w:r>
        <w:t>Difusión y capacitación de la nueva normativa ALA/CFT</w:t>
      </w:r>
      <w:r>
        <w:rPr>
          <w:b w:val="0"/>
        </w:rPr>
        <w:t>: Lanzamiento de un Curso e-Learning diseñado especialmente para las instituciones públicas, y actualización del Curso e-Learning dirigido al sector privado, a través de la nueva Plataforma de Aprendizaje Virtual de la UAF.</w:t>
      </w:r>
    </w:p>
    <w:p>
      <w:pPr>
        <w:rPr>
          <w:b w:val="0"/>
        </w:rPr>
      </w:pPr>
    </w:p>
    <w:p>
      <w:pPr>
        <w:rPr>
          <w:b w:val="0"/>
        </w:rPr>
      </w:pPr>
      <w:r>
        <w:rPr>
          <w:b w:val="0"/>
        </w:rPr>
        <w:tab/>
        <w:t xml:space="preserve">Por último, el </w:t>
      </w:r>
      <w:r>
        <w:t>Director Subrogante de la Unidad de Análisis Financiero, señor Manuel Zarate</w:t>
      </w:r>
      <w:r>
        <w:rPr>
          <w:b w:val="0"/>
        </w:rPr>
        <w:t xml:space="preserve"> concluyó su presentación indicando las principales metas estratégicas para el año 2017:</w:t>
      </w:r>
    </w:p>
    <w:p>
      <w:pPr>
        <w:rPr>
          <w:b w:val="0"/>
        </w:rPr>
      </w:pPr>
    </w:p>
    <w:p>
      <w:pPr>
        <w:jc w:val="center"/>
      </w:pPr>
      <w:r>
        <w:t>Metas estratégicas 2017</w:t>
      </w:r>
    </w:p>
    <w:p>
      <w:pPr>
        <w:rPr>
          <w:b w:val="0"/>
        </w:rPr>
      </w:pPr>
    </w:p>
    <w:p>
      <w:pPr>
        <w:rPr>
          <w:b w:val="0"/>
        </w:rPr>
      </w:pPr>
      <w:r>
        <w:tab/>
        <w:t>Ley N° 20.818 – Impacto en la Uaf y en el sistema de prevención del La/Ft</w:t>
      </w:r>
      <w:r>
        <w:rPr>
          <w:b w:val="0"/>
        </w:rPr>
        <w:t xml:space="preserve">: Los recursos asignados permitirán mantener la capacidad operativa de la UAF y continuar con la implementación de la Ley N° 20.818. </w:t>
      </w:r>
    </w:p>
    <w:p>
      <w:pPr>
        <w:rPr>
          <w:b w:val="0"/>
        </w:rPr>
      </w:pPr>
    </w:p>
    <w:p>
      <w:pPr>
        <w:rPr>
          <w:b w:val="0"/>
        </w:rPr>
      </w:pPr>
      <w:r>
        <w:rPr>
          <w:b w:val="0"/>
        </w:rPr>
        <w:tab/>
        <w:t xml:space="preserve">- Realización de inteligencia financiera para la detección de indicios de LA/FT en la economía chilena. El presupuesto asignado permitirá hacer frente al aumento de los Reportes de Operaciones Sospechosas recibidos por la UAF, y mantener los tiempos de respuesta a las consultas del Ministerio Público sobre investigaciones de LA/FT.  </w:t>
      </w:r>
    </w:p>
    <w:p>
      <w:pPr>
        <w:rPr>
          <w:b w:val="0"/>
        </w:rPr>
      </w:pPr>
    </w:p>
    <w:p>
      <w:pPr>
        <w:rPr>
          <w:b w:val="0"/>
        </w:rPr>
      </w:pPr>
      <w:r>
        <w:rPr>
          <w:b w:val="0"/>
        </w:rPr>
        <w:tab/>
        <w:t>- Aplicación de modelos de prevención de LA/FT en las entidades reguladas por la UAF, pertenecientes a 38 sectores económicos. El presupuesto asignado permitirá mantener la cobertura de fiscalización en un 2% de los sectores más vulnerables al LA/FT.</w:t>
      </w:r>
    </w:p>
    <w:p>
      <w:pPr>
        <w:rPr>
          <w:b w:val="0"/>
        </w:rPr>
      </w:pPr>
    </w:p>
    <w:p>
      <w:pPr>
        <w:rPr>
          <w:b w:val="0"/>
        </w:rPr>
      </w:pPr>
      <w:r>
        <w:rPr>
          <w:b w:val="0"/>
        </w:rPr>
        <w:tab/>
        <w:t>- Pleno ejercicio de las facultades de sanción. Asumir la tramitación de procedimientos sancionatorios iniciados por la UAF en contra de las entidades reguladas, por incumplimiento de las obligaciones previstas tanto en la Ley N° 19.913, como también en las circulares dictadas por la UAF en el ejercicio de su potestad normativa.</w:t>
      </w:r>
    </w:p>
    <w:p>
      <w:pPr>
        <w:rPr>
          <w:b w:val="0"/>
        </w:rPr>
      </w:pPr>
    </w:p>
    <w:p>
      <w:pPr>
        <w:rPr>
          <w:b w:val="0"/>
        </w:rPr>
      </w:pPr>
      <w:r>
        <w:rPr>
          <w:b w:val="0"/>
        </w:rPr>
        <w:tab/>
        <w:t>- En términos de difusión y capacitación, el Presupuesto 2017 asigna recursos para la mantención del Curso e-Learning de la UAF para las instituciones públicas, además de la generación de capacitaciones presenciales en Santiago y regiones.</w:t>
      </w:r>
    </w:p>
    <w:p>
      <w:pPr>
        <w:rPr>
          <w:b w:val="0"/>
        </w:rPr>
      </w:pPr>
    </w:p>
    <w:p>
      <w:r>
        <w:tab/>
        <w:t>Ley N° 20.818 – Implementación 2016-2018.</w:t>
      </w:r>
    </w:p>
    <w:p>
      <w:pPr>
        <w:rPr>
          <w:b w:val="0"/>
        </w:rPr>
      </w:pPr>
    </w:p>
    <w:p>
      <w:r>
        <w:rPr>
          <w:b w:val="0"/>
        </w:rPr>
        <w:tab/>
        <w:t xml:space="preserve">- </w:t>
      </w:r>
      <w:r>
        <w:t>Reforzamiento de la Transparencia y Probidad en el Sector Público.</w:t>
      </w:r>
    </w:p>
    <w:p>
      <w:pPr>
        <w:rPr>
          <w:b w:val="0"/>
        </w:rPr>
      </w:pPr>
    </w:p>
    <w:p>
      <w:pPr>
        <w:rPr>
          <w:b w:val="0"/>
        </w:rPr>
      </w:pPr>
      <w:r>
        <w:rPr>
          <w:b w:val="0"/>
        </w:rPr>
        <w:tab/>
        <w:t xml:space="preserve">Continuar con la implementación, por parte del sector público, del Oficio Circular N° 20/2015 del Ministerio de Hacienda, y de la “Guía de Recomendaciones para la Implementación de un Sistema Preventivo contra los Delitos Funcionarios, el Lavado de Activos y el Financiamiento del Terrorismo”, elaborada en conjunto entre el Ministerio de Hacienda y la UAF. </w:t>
      </w:r>
    </w:p>
    <w:p>
      <w:pPr>
        <w:rPr>
          <w:b w:val="0"/>
        </w:rPr>
      </w:pPr>
    </w:p>
    <w:p>
      <w:r>
        <w:t>Prevención del Delito de Financiamiento del Terrorismo.</w:t>
      </w:r>
    </w:p>
    <w:p/>
    <w:p>
      <w:pPr>
        <w:rPr>
          <w:b w:val="0"/>
        </w:rPr>
      </w:pPr>
      <w:r>
        <w:rPr>
          <w:b w:val="0"/>
        </w:rPr>
        <w:tab/>
        <w:t>- El objetivo es que las más de seis mil personas naturales o jurídicas supervisadas por la UAF implementen sistemas para prevenir el delito de financiamiento del terrorismo.</w:t>
      </w:r>
    </w:p>
    <w:p>
      <w:pPr>
        <w:rPr>
          <w:b w:val="0"/>
        </w:rPr>
      </w:pPr>
    </w:p>
    <w:p>
      <w:pPr>
        <w:rPr>
          <w:b w:val="0"/>
        </w:rPr>
      </w:pPr>
      <w:r>
        <w:rPr>
          <w:b w:val="0"/>
        </w:rPr>
        <w:tab/>
        <w:t>- Cumplimiento de las directrices entregadas por el Consejo de Seguridad de Naciones Unidas con respecto al congelamiento de activos terroristas.</w:t>
      </w:r>
    </w:p>
    <w:p>
      <w:pPr>
        <w:rPr>
          <w:b w:val="0"/>
        </w:rPr>
      </w:pPr>
    </w:p>
    <w:p>
      <w:pPr>
        <w:rPr>
          <w:b w:val="0"/>
        </w:rPr>
      </w:pPr>
      <w:r>
        <w:t>Perfeccionamiento del Sistema Nacional Antilavado de Activos y contra el Financiamiento del Terrorismo</w:t>
      </w:r>
      <w:r>
        <w:rPr>
          <w:b w:val="0"/>
        </w:rPr>
        <w:t>.</w:t>
      </w:r>
    </w:p>
    <w:p>
      <w:pPr>
        <w:rPr>
          <w:b w:val="0"/>
        </w:rPr>
      </w:pPr>
    </w:p>
    <w:p>
      <w:pPr>
        <w:rPr>
          <w:b w:val="0"/>
        </w:rPr>
      </w:pPr>
      <w:r>
        <w:rPr>
          <w:b w:val="0"/>
        </w:rPr>
        <w:tab/>
        <w:t>- Incremento en la capacidad de los sistemas informáticos de la UAF.</w:t>
      </w:r>
    </w:p>
    <w:p>
      <w:pPr>
        <w:rPr>
          <w:b w:val="0"/>
        </w:rPr>
      </w:pPr>
    </w:p>
    <w:p>
      <w:pPr>
        <w:rPr>
          <w:b w:val="0"/>
        </w:rPr>
      </w:pPr>
      <w:r>
        <w:rPr>
          <w:b w:val="0"/>
        </w:rPr>
        <w:tab/>
        <w:t>- Realización de un monitoreo permanente a los reportes recibidos por la UAF, para detectar oportunamente indicios de lavado de activos y financiamiento del terrorismo. </w:t>
      </w:r>
    </w:p>
    <w:p>
      <w:pPr>
        <w:rPr>
          <w:b w:val="0"/>
        </w:rPr>
      </w:pPr>
    </w:p>
    <w:p>
      <w:pPr>
        <w:rPr>
          <w:b w:val="0"/>
        </w:rPr>
      </w:pPr>
    </w:p>
    <w:p>
      <w:r>
        <w:rPr>
          <w:b w:val="0"/>
        </w:rPr>
        <w:tab/>
      </w:r>
      <w:r>
        <w:t>Terminada la presentación anterior, los señores parlamentarios formularon las siguientes consultas:</w:t>
      </w:r>
    </w:p>
    <w:p>
      <w:pPr>
        <w:rPr>
          <w:b w:val="0"/>
        </w:rPr>
      </w:pPr>
    </w:p>
    <w:p>
      <w:pPr>
        <w:rPr>
          <w:b w:val="0"/>
        </w:rPr>
      </w:pPr>
      <w:r>
        <w:rPr>
          <w:b w:val="0"/>
        </w:rPr>
        <w:tab/>
      </w:r>
      <w:r>
        <w:t>El Presidente de la Subcomisión, Honorable Diputado señor De Mussy</w:t>
      </w:r>
      <w:r>
        <w:rPr>
          <w:b w:val="0"/>
        </w:rPr>
        <w:t xml:space="preserve"> señaló que el Subtítulo 21, Gastos en Personal, se incrementa en un  14,3%, lo que implica un aumento aproximado de 300 millones de pesos, lo que dividido para 7 funcionarios, significaría un sueldo promedio de tres millones y medio.</w:t>
      </w:r>
    </w:p>
    <w:p>
      <w:pPr>
        <w:rPr>
          <w:b w:val="0"/>
        </w:rPr>
      </w:pPr>
    </w:p>
    <w:p>
      <w:pPr>
        <w:rPr>
          <w:b w:val="0"/>
        </w:rPr>
      </w:pPr>
      <w:r>
        <w:rPr>
          <w:b w:val="0"/>
        </w:rPr>
        <w:tab/>
      </w:r>
      <w:r>
        <w:t>La Jefa de la Unidad de Administración y Finanzas señora Paola Verdugo</w:t>
      </w:r>
      <w:r>
        <w:rPr>
          <w:b w:val="0"/>
        </w:rPr>
        <w:t xml:space="preserve"> explicó que aparte de los 7 funcionarios en que aumenta la dotación este año,  el año pasado se pidió desde el mes de mayo el ingreso, por lo tanto, igual había un tema de remuneraciones que les tenían que dar este año más allá de los 7 funcionarios. El año pasado fueron 14 funcionarios, hay un diferencial de 3 a 4 meses que quedaron para este año, por tanto, estarían hablando de 190 millones de este año de los 7 funcionarios y 160 millones del otro. </w:t>
      </w:r>
    </w:p>
    <w:p>
      <w:pPr>
        <w:rPr>
          <w:b w:val="0"/>
        </w:rPr>
      </w:pPr>
    </w:p>
    <w:p>
      <w:pPr>
        <w:rPr>
          <w:b w:val="0"/>
        </w:rPr>
      </w:pPr>
      <w:r>
        <w:rPr>
          <w:b w:val="0"/>
        </w:rPr>
        <w:tab/>
        <w:t>Agregó que los 7 nuevos cupos correspondían al segundo año de la implementación funcionaria. El año 2016 la dotación aumento en 14 cupos y este año 2017 en 7 cupos, para llegar a los 67 y como este proyecto es de 3 años la idea es que el 2018 tengan 72 funcionarios.</w:t>
      </w:r>
    </w:p>
    <w:p>
      <w:pPr>
        <w:rPr>
          <w:b w:val="0"/>
        </w:rPr>
      </w:pPr>
    </w:p>
    <w:p>
      <w:pPr>
        <w:rPr>
          <w:b w:val="0"/>
        </w:rPr>
      </w:pPr>
      <w:r>
        <w:rPr>
          <w:b w:val="0"/>
        </w:rPr>
        <w:tab/>
      </w:r>
      <w:r>
        <w:rPr>
          <w:b w:val="0"/>
        </w:rPr>
        <w:tab/>
        <w:t>De acuerdo a lo programado, a la fecha han ingresado los 14 cupos otorgados para el Año 1 de la implementación de la Ley N° 20.818. Se ejecutará el 100% asociado a este Subtítulo.</w:t>
      </w:r>
    </w:p>
    <w:p>
      <w:pPr>
        <w:rPr>
          <w:b w:val="0"/>
        </w:rPr>
      </w:pPr>
    </w:p>
    <w:p>
      <w:pPr>
        <w:rPr>
          <w:b w:val="0"/>
        </w:rPr>
      </w:pPr>
      <w:r>
        <w:rPr>
          <w:b w:val="0"/>
        </w:rPr>
        <w:tab/>
      </w:r>
      <w:r>
        <w:rPr>
          <w:b w:val="0"/>
        </w:rPr>
        <w:tab/>
      </w:r>
      <w:r>
        <w:t>El Presidente de la Subcomisión, Honorable Diputado señor De Mussy</w:t>
      </w:r>
      <w:r>
        <w:rPr>
          <w:b w:val="0"/>
        </w:rPr>
        <w:t xml:space="preserve"> resumió esta situación señalando que para el año 2017 están pidiendo 300 millones de los cuales 180 son para el año 2017 y 120 son para pagar el diferencial que se debería haber pagado ahora.</w:t>
      </w:r>
    </w:p>
    <w:p>
      <w:pPr>
        <w:rPr>
          <w:b w:val="0"/>
        </w:rPr>
      </w:pPr>
    </w:p>
    <w:p>
      <w:pPr>
        <w:rPr>
          <w:b w:val="0"/>
        </w:rPr>
      </w:pPr>
      <w:r>
        <w:rPr>
          <w:b w:val="0"/>
        </w:rPr>
        <w:tab/>
      </w:r>
      <w:r>
        <w:t>El Director Subrogante de la Unidad de Análisis Financiero, señor Manuel Zarate</w:t>
      </w:r>
      <w:r>
        <w:rPr>
          <w:b w:val="0"/>
        </w:rPr>
        <w:t xml:space="preserve">  explicó que ingresaron en el mes de mayo de este año, hace 9 meses, pero el próximo año serían 12 meses de los mismos funcionarios, es decir, ese diferencial es el que se entrega ahora.</w:t>
      </w:r>
    </w:p>
    <w:p>
      <w:pPr>
        <w:rPr>
          <w:b w:val="0"/>
        </w:rPr>
      </w:pPr>
    </w:p>
    <w:p>
      <w:pPr>
        <w:rPr>
          <w:b w:val="0"/>
        </w:rPr>
      </w:pPr>
      <w:r>
        <w:rPr>
          <w:b w:val="0"/>
        </w:rPr>
        <w:tab/>
        <w:t>El resto del presupuesto contempla disminuciones.</w:t>
      </w:r>
    </w:p>
    <w:p>
      <w:pPr>
        <w:rPr>
          <w:b w:val="0"/>
        </w:rPr>
      </w:pPr>
    </w:p>
    <w:p>
      <w:pPr>
        <w:rPr>
          <w:lang w:val="es-ES_tradnl"/>
        </w:rPr>
      </w:pPr>
      <w:r>
        <w:rPr>
          <w:lang w:val="es-ES_tradnl"/>
        </w:rPr>
        <w:tab/>
        <w:t>Sometido a votación el Capítulo 16, Programa 01, fue aprobado sin enmiendas por la unanimidad de los miembros presentes de la Subcomisión, Honorable Diputado señor De Mussy (Presidente), Honorables Senadores señores Coloma y Tuma, y Honorables Diputados señores Schilling y Silva.</w:t>
      </w:r>
    </w:p>
    <w:p>
      <w:pPr>
        <w:rPr>
          <w:b w:val="0"/>
          <w:lang w:val="es-ES_tradnl"/>
        </w:rPr>
      </w:pPr>
    </w:p>
    <w:p>
      <w:pPr>
        <w:jc w:val="center"/>
        <w:rPr>
          <w:rFonts w:eastAsia="Times New Roman"/>
          <w:lang w:eastAsia="es-ES"/>
        </w:rPr>
      </w:pPr>
      <w:r>
        <w:rPr>
          <w:rFonts w:eastAsia="Times New Roman"/>
          <w:lang w:eastAsia="es-ES"/>
        </w:rPr>
        <w:t>CAPITULO 17</w:t>
      </w:r>
    </w:p>
    <w:p>
      <w:pPr>
        <w:jc w:val="center"/>
        <w:rPr>
          <w:rFonts w:eastAsia="Times New Roman"/>
          <w:lang w:eastAsia="es-ES"/>
        </w:rPr>
      </w:pPr>
    </w:p>
    <w:p>
      <w:pPr>
        <w:keepNext/>
        <w:jc w:val="center"/>
        <w:outlineLvl w:val="1"/>
        <w:rPr>
          <w:rFonts w:eastAsia="Times New Roman"/>
          <w:lang w:eastAsia="es-ES"/>
        </w:rPr>
      </w:pPr>
      <w:r>
        <w:rPr>
          <w:rFonts w:eastAsia="Times New Roman"/>
          <w:lang w:eastAsia="es-ES"/>
        </w:rPr>
        <w:t>Programa 01</w:t>
      </w:r>
    </w:p>
    <w:p>
      <w:pPr>
        <w:jc w:val="center"/>
        <w:rPr>
          <w:rFonts w:eastAsia="Times New Roman"/>
          <w:lang w:eastAsia="es-ES"/>
        </w:rPr>
      </w:pPr>
      <w:r>
        <w:rPr>
          <w:rFonts w:eastAsia="Times New Roman"/>
          <w:lang w:eastAsia="es-ES"/>
        </w:rPr>
        <w:t>Superintendencia de Casinos de Juego</w:t>
      </w:r>
    </w:p>
    <w:p>
      <w:pPr>
        <w:rPr>
          <w:rFonts w:eastAsia="Times New Roman"/>
          <w:lang w:eastAsia="es-ES"/>
        </w:rPr>
      </w:pPr>
    </w:p>
    <w:p>
      <w:pPr>
        <w:rPr>
          <w:rFonts w:eastAsia="Times New Roman"/>
          <w:b w:val="0"/>
          <w:lang w:eastAsia="es-ES"/>
        </w:rPr>
      </w:pPr>
      <w:r>
        <w:rPr>
          <w:rFonts w:eastAsia="Times New Roman"/>
          <w:lang w:eastAsia="es-ES"/>
        </w:rPr>
        <w:tab/>
      </w:r>
      <w:r>
        <w:rPr>
          <w:rFonts w:eastAsia="Times New Roman"/>
          <w:b w:val="0"/>
          <w:lang w:eastAsia="es-ES"/>
        </w:rPr>
        <w:t xml:space="preserve">Considera ingresos y gastos por </w:t>
      </w:r>
      <w:r>
        <w:rPr>
          <w:rFonts w:eastAsia="Times New Roman"/>
          <w:lang w:eastAsia="es-ES"/>
        </w:rPr>
        <w:t>$ 4.053.509 miles</w:t>
      </w:r>
      <w:r>
        <w:rPr>
          <w:rFonts w:eastAsia="Times New Roman"/>
          <w:b w:val="0"/>
          <w:lang w:eastAsia="es-ES"/>
        </w:rPr>
        <w:t>.</w:t>
      </w:r>
    </w:p>
    <w:p>
      <w:pPr>
        <w:rPr>
          <w:rFonts w:eastAsia="Times New Roman"/>
          <w:b w:val="0"/>
          <w:lang w:eastAsia="es-ES"/>
        </w:rPr>
      </w:pPr>
    </w:p>
    <w:p>
      <w:pPr>
        <w:rPr>
          <w:rFonts w:eastAsia="Times New Roman"/>
          <w:b w:val="0"/>
          <w:highlight w:val="yellow"/>
          <w:lang w:eastAsia="es-ES"/>
        </w:rPr>
      </w:pPr>
      <w:r>
        <w:rPr>
          <w:rFonts w:eastAsia="Times New Roman"/>
          <w:b w:val="0"/>
          <w:lang w:eastAsia="es-ES"/>
        </w:rPr>
        <w:tab/>
        <w:t>Actualmente, el presupuesto aprobado para esta Superintendencia es de $ 5.036.254 miles, lo que significa una variación de</w:t>
      </w:r>
      <w:r>
        <w:rPr>
          <w:rFonts w:eastAsia="Times New Roman"/>
          <w:b w:val="0"/>
          <w:lang w:eastAsia="es-ES"/>
        </w:rPr>
        <w:br/>
        <w:t>-19,5%.</w:t>
      </w:r>
      <w:r>
        <w:rPr>
          <w:rFonts w:eastAsia="Times New Roman"/>
          <w:b w:val="0"/>
          <w:highlight w:val="yellow"/>
          <w:lang w:eastAsia="es-ES"/>
        </w:rPr>
        <w:t xml:space="preserve"> </w:t>
      </w:r>
    </w:p>
    <w:p>
      <w:pPr>
        <w:rPr>
          <w:rFonts w:eastAsia="Times New Roman"/>
          <w:b w:val="0"/>
          <w:highlight w:val="yellow"/>
          <w:lang w:eastAsia="es-ES"/>
        </w:rPr>
      </w:pPr>
    </w:p>
    <w:p>
      <w:pPr>
        <w:rPr>
          <w:rFonts w:eastAsia="Times New Roman"/>
          <w:b w:val="0"/>
          <w:lang w:eastAsia="es-ES"/>
        </w:rPr>
      </w:pPr>
      <w:r>
        <w:rPr>
          <w:rFonts w:eastAsia="Times New Roman"/>
          <w:b w:val="0"/>
          <w:lang w:eastAsia="es-ES"/>
        </w:rPr>
        <w:tab/>
      </w:r>
      <w:r>
        <w:rPr>
          <w:rFonts w:eastAsia="Times New Roman"/>
          <w:lang w:eastAsia="es-ES"/>
        </w:rPr>
        <w:t xml:space="preserve">El Superintendente de Casinos de Juego, señor Daniel García </w:t>
      </w:r>
      <w:r>
        <w:rPr>
          <w:rFonts w:eastAsia="Times New Roman"/>
          <w:b w:val="0"/>
          <w:lang w:eastAsia="es-ES"/>
        </w:rPr>
        <w:t>inició su presentación señalando los lineamientos estratégicos de esta institución, los que resumió en los siguientes términos:</w:t>
      </w:r>
    </w:p>
    <w:p>
      <w:pPr>
        <w:rPr>
          <w:rFonts w:eastAsia="Times New Roman"/>
          <w:lang w:eastAsia="es-ES"/>
        </w:rPr>
      </w:pPr>
    </w:p>
    <w:p>
      <w:pPr>
        <w:rPr>
          <w:b w:val="0"/>
        </w:rPr>
      </w:pPr>
      <w:r>
        <w:rPr>
          <w:rFonts w:eastAsia="Times New Roman"/>
          <w:b w:val="0"/>
          <w:lang w:eastAsia="es-ES"/>
        </w:rPr>
        <w:tab/>
      </w:r>
      <w:r>
        <w:rPr>
          <w:b w:val="0"/>
        </w:rPr>
        <w:t>1.- Garantizar el cumplimiento de la normativa en los casinos de juego, resguardando la fe pública, orden público, pago de impuestos y contribución al desarrollo regional, mediante una fiscalización efectiva y la aplicación de sanciones oportunas y eficaces a las sociedades operadoras.</w:t>
      </w:r>
    </w:p>
    <w:p>
      <w:pPr>
        <w:rPr>
          <w:b w:val="0"/>
        </w:rPr>
      </w:pPr>
    </w:p>
    <w:p>
      <w:pPr>
        <w:rPr>
          <w:b w:val="0"/>
        </w:rPr>
      </w:pPr>
      <w:r>
        <w:rPr>
          <w:b w:val="0"/>
        </w:rPr>
        <w:tab/>
        <w:t>2.- Realizar el otorgamiento de permisos de operación de casinos de juego en forma íntegra y transparente y en los plazos establecidos.</w:t>
      </w:r>
    </w:p>
    <w:p>
      <w:pPr>
        <w:rPr>
          <w:b w:val="0"/>
        </w:rPr>
      </w:pPr>
    </w:p>
    <w:p>
      <w:pPr>
        <w:rPr>
          <w:b w:val="0"/>
        </w:rPr>
      </w:pPr>
      <w:r>
        <w:rPr>
          <w:b w:val="0"/>
        </w:rPr>
        <w:tab/>
        <w:t>3.- Liderar el proceso de otorgamiento de permisos de operación para los casinos que se encuentran bajo concesión municipal de conformidad a las modificaciones introducidas a la Ley N°19.995, asegurando que se desarrolle en forma transparente e imparcial.</w:t>
      </w:r>
    </w:p>
    <w:p>
      <w:pPr>
        <w:rPr>
          <w:b w:val="0"/>
        </w:rPr>
      </w:pPr>
    </w:p>
    <w:p>
      <w:pPr>
        <w:rPr>
          <w:b w:val="0"/>
        </w:rPr>
      </w:pPr>
      <w:r>
        <w:rPr>
          <w:b w:val="0"/>
        </w:rPr>
        <w:tab/>
        <w:t>4.- Proveer orientación y/o información clara y precisa sobre el funcionamiento de la industria de casinos de juego y la SCJ.</w:t>
      </w:r>
    </w:p>
    <w:p>
      <w:pPr>
        <w:rPr>
          <w:b w:val="0"/>
        </w:rPr>
      </w:pPr>
    </w:p>
    <w:p>
      <w:pPr>
        <w:rPr>
          <w:b w:val="0"/>
        </w:rPr>
      </w:pPr>
      <w:r>
        <w:rPr>
          <w:b w:val="0"/>
        </w:rPr>
        <w:tab/>
        <w:t>5.- Diseñar e implementar una estrategia tecnológica que permita otorgar servicios de excelencia traducida en gestión de la plataforma tecnológica, apoyo en los procesos de negocios y en  liderar la implementación de soluciones TI</w:t>
      </w:r>
    </w:p>
    <w:p>
      <w:pPr>
        <w:rPr>
          <w:b w:val="0"/>
        </w:rPr>
      </w:pPr>
    </w:p>
    <w:p>
      <w:pPr>
        <w:rPr>
          <w:b w:val="0"/>
        </w:rPr>
      </w:pPr>
      <w:r>
        <w:rPr>
          <w:b w:val="0"/>
        </w:rPr>
        <w:tab/>
        <w:t>A continuación, analizó la ejecución del presupuesto 2016 hasta el mes de agosto del año en curso.</w:t>
      </w:r>
    </w:p>
    <w:p>
      <w:pPr>
        <w:rPr>
          <w:b w:val="0"/>
        </w:rPr>
      </w:pPr>
    </w:p>
    <w:p>
      <w:pPr>
        <w:jc w:val="center"/>
      </w:pPr>
      <w:r>
        <w:t>Presupuesto 2016 – Ejecución a Agosto de 2016</w:t>
      </w:r>
    </w:p>
    <w:p>
      <w:pPr>
        <w:rPr>
          <w:b w:val="0"/>
        </w:rPr>
      </w:pPr>
    </w:p>
    <w:p>
      <w:pPr>
        <w:rPr>
          <w:b w:val="0"/>
        </w:rPr>
      </w:pPr>
      <w:r>
        <w:rPr>
          <w:b w:val="0"/>
          <w:noProof/>
          <w:lang w:eastAsia="es-CL"/>
        </w:rPr>
      </w:r>
      <w:r>
        <w:rPr>
          <w:b w:val="0"/>
        </w:rPr>
        <w:pict>
          <v:shape id="_x0000_s1026" type="#_x0000_t75" style="width:465pt;height:276.5pt;mso-position-horizontal-relative:char;mso-position-vertical-relative:line" fillcolor="black">
            <v:fill color2="black"/>
            <v:imagedata r:id="rId31" o:title=""/>
            <v:shadow color="black"/>
            <w10:anchorlock/>
          </v:shape>
        </w:pict>
      </w:r>
    </w:p>
    <w:p>
      <w:pPr>
        <w:rPr>
          <w:b w:val="0"/>
        </w:rPr>
      </w:pPr>
    </w:p>
    <w:p>
      <w:pPr>
        <w:rPr>
          <w:b w:val="0"/>
        </w:rPr>
      </w:pPr>
      <w:r>
        <w:rPr>
          <w:b w:val="0"/>
        </w:rPr>
        <w:tab/>
        <w:t xml:space="preserve">Explicó que el presupuesto inicial del año 2016 versus el presupuesto vigente son prácticamente iguales con una pequeña diferencia y que la ejecución es de un 51,9% al mes de agosto de este año. Añadió que esta ejecución es baja pero se explica porque el presupuesto de este año considera la evaluación de las ofertas que lleguen en el proceso de otorgamiento de permisos de casinos municipales y eso va a iniciarse recién el 4 de noviembre del año en curso. Por lo tanto, hay un 20% de este presupuesto que a la fecha es imposible que se haya ejecutado. </w:t>
      </w:r>
    </w:p>
    <w:p>
      <w:pPr>
        <w:rPr>
          <w:b w:val="0"/>
        </w:rPr>
      </w:pPr>
    </w:p>
    <w:p>
      <w:pPr>
        <w:rPr>
          <w:b w:val="0"/>
        </w:rPr>
      </w:pPr>
      <w:r>
        <w:rPr>
          <w:b w:val="0"/>
        </w:rPr>
        <w:tab/>
        <w:t>Respecto del subtítulo 29 señaló que su ejecución de un 24,9% también es baja debido a que, en general,  las licencias se compran a finales de año.</w:t>
      </w:r>
    </w:p>
    <w:p>
      <w:pPr>
        <w:rPr>
          <w:b w:val="0"/>
        </w:rPr>
      </w:pPr>
    </w:p>
    <w:p>
      <w:pPr>
        <w:rPr>
          <w:b w:val="0"/>
        </w:rPr>
      </w:pPr>
      <w:r>
        <w:rPr>
          <w:b w:val="0"/>
        </w:rPr>
        <w:tab/>
        <w:t xml:space="preserve">A continuación analizó el presupuesto que se propone para el año 2017, el que tiene una reducción importante de un   19,5%. </w:t>
      </w:r>
    </w:p>
    <w:p>
      <w:pPr>
        <w:rPr>
          <w:b w:val="0"/>
        </w:rPr>
      </w:pPr>
    </w:p>
    <w:p>
      <w:pPr>
        <w:jc w:val="center"/>
      </w:pPr>
      <w:r>
        <w:t>Presupuesto 2017 – cifras comparadas</w:t>
      </w:r>
    </w:p>
    <w:p>
      <w:pPr>
        <w:rPr>
          <w:b w:val="0"/>
        </w:rPr>
      </w:pPr>
    </w:p>
    <w:tbl>
      <w:tblPr>
        <w:tblW w:w="9220" w:type="dxa"/>
        <w:tblCellMar>
          <w:left w:w="0" w:type="dxa"/>
          <w:right w:w="0" w:type="dxa"/>
        </w:tblCellMar>
        <w:tblLook w:val="0600" w:firstRow="0" w:lastRow="0" w:firstColumn="0" w:lastColumn="0" w:noHBand="1" w:noVBand="1"/>
      </w:tblPr>
      <w:tblGrid>
        <w:gridCol w:w="3951"/>
        <w:gridCol w:w="1431"/>
        <w:gridCol w:w="1431"/>
        <w:gridCol w:w="1317"/>
        <w:gridCol w:w="1090"/>
      </w:tblGrid>
      <w:tr>
        <w:trPr>
          <w:trHeight w:val="414"/>
        </w:trPr>
        <w:tc>
          <w:tcPr>
            <w:tcW w:w="3951" w:type="dxa"/>
            <w:vMerge w:val="restart"/>
            <w:tcBorders>
              <w:top w:val="nil"/>
              <w:left w:val="nil"/>
              <w:bottom w:val="single" w:sz="8" w:space="0" w:color="FFFFFF"/>
              <w:right w:val="single" w:sz="8" w:space="0" w:color="FFFFFF"/>
            </w:tcBorders>
            <w:shd w:val="clear" w:color="auto" w:fill="B9CDE5"/>
            <w:tcMar>
              <w:top w:w="15" w:type="dxa"/>
              <w:left w:w="15" w:type="dxa"/>
              <w:bottom w:w="0" w:type="dxa"/>
              <w:right w:w="15" w:type="dxa"/>
            </w:tcMar>
            <w:hideMark/>
          </w:tcPr>
          <w:p>
            <w:pPr>
              <w:tabs>
                <w:tab w:val="clear" w:pos="2835"/>
              </w:tabs>
              <w:jc w:val="left"/>
              <w:textAlignment w:val="top"/>
              <w:rPr>
                <w:rFonts w:eastAsia="Times New Roman"/>
                <w:b w:val="0"/>
                <w:sz w:val="18"/>
                <w:szCs w:val="18"/>
                <w:lang w:eastAsia="es-CL"/>
              </w:rPr>
            </w:pPr>
            <w:r>
              <w:rPr>
                <w:rFonts w:eastAsia="Times New Roman"/>
                <w:bCs/>
                <w:color w:val="000000"/>
                <w:kern w:val="24"/>
                <w:sz w:val="18"/>
                <w:szCs w:val="18"/>
                <w:lang w:eastAsia="es-CL"/>
              </w:rPr>
              <w:t>CAPÍTULO 17 - Programa 01</w:t>
            </w:r>
            <w:r>
              <w:rPr>
                <w:rFonts w:eastAsia="Times New Roman"/>
                <w:bCs/>
                <w:color w:val="000000"/>
                <w:kern w:val="24"/>
                <w:sz w:val="18"/>
                <w:szCs w:val="18"/>
                <w:lang w:eastAsia="es-CL"/>
              </w:rPr>
              <w:br/>
              <w:t>SUPERINTENDENCIA DE CASINOS DE JUEGO</w:t>
            </w:r>
          </w:p>
        </w:tc>
        <w:tc>
          <w:tcPr>
            <w:tcW w:w="2862" w:type="dxa"/>
            <w:gridSpan w:val="2"/>
            <w:tcBorders>
              <w:top w:val="single" w:sz="8" w:space="0" w:color="FFFFFF"/>
              <w:left w:val="single" w:sz="8" w:space="0" w:color="FFFFFF"/>
              <w:bottom w:val="single" w:sz="8" w:space="0" w:color="FFFFFF"/>
              <w:right w:val="single" w:sz="8" w:space="0" w:color="FFFFFF"/>
            </w:tcBorders>
            <w:shd w:val="clear" w:color="auto" w:fill="B9CDE5"/>
            <w:tcMar>
              <w:top w:w="15" w:type="dxa"/>
              <w:left w:w="15" w:type="dxa"/>
              <w:bottom w:w="0" w:type="dxa"/>
              <w:right w:w="15" w:type="dxa"/>
            </w:tcMar>
            <w:hideMark/>
          </w:tcPr>
          <w:p>
            <w:pPr>
              <w:tabs>
                <w:tab w:val="clear" w:pos="2835"/>
              </w:tabs>
              <w:jc w:val="center"/>
              <w:textAlignment w:val="top"/>
              <w:rPr>
                <w:rFonts w:eastAsia="Times New Roman"/>
                <w:b w:val="0"/>
                <w:sz w:val="18"/>
                <w:szCs w:val="18"/>
                <w:lang w:eastAsia="es-CL"/>
              </w:rPr>
            </w:pPr>
            <w:r>
              <w:rPr>
                <w:rFonts w:eastAsia="Times New Roman"/>
                <w:bCs/>
                <w:color w:val="000000"/>
                <w:kern w:val="24"/>
                <w:sz w:val="18"/>
                <w:szCs w:val="18"/>
                <w:lang w:eastAsia="es-CL"/>
              </w:rPr>
              <w:t>Ley de Presupuesto</w:t>
            </w:r>
          </w:p>
        </w:tc>
        <w:tc>
          <w:tcPr>
            <w:tcW w:w="2407" w:type="dxa"/>
            <w:gridSpan w:val="2"/>
            <w:tcBorders>
              <w:top w:val="single" w:sz="8" w:space="0" w:color="FFFFFF"/>
              <w:left w:val="single" w:sz="8" w:space="0" w:color="FFFFFF"/>
              <w:bottom w:val="single" w:sz="8" w:space="0" w:color="FFFFFF"/>
              <w:right w:val="single" w:sz="8" w:space="0" w:color="FFFFFF"/>
            </w:tcBorders>
            <w:shd w:val="clear" w:color="auto" w:fill="B9CDE5"/>
            <w:tcMar>
              <w:top w:w="15" w:type="dxa"/>
              <w:left w:w="15" w:type="dxa"/>
              <w:bottom w:w="0" w:type="dxa"/>
              <w:right w:w="15" w:type="dxa"/>
            </w:tcMar>
            <w:hideMark/>
          </w:tcPr>
          <w:p>
            <w:pPr>
              <w:tabs>
                <w:tab w:val="clear" w:pos="2835"/>
              </w:tabs>
              <w:jc w:val="center"/>
              <w:textAlignment w:val="top"/>
              <w:rPr>
                <w:rFonts w:eastAsia="Times New Roman"/>
                <w:b w:val="0"/>
                <w:sz w:val="18"/>
                <w:szCs w:val="18"/>
                <w:lang w:eastAsia="es-CL"/>
              </w:rPr>
            </w:pPr>
            <w:r>
              <w:rPr>
                <w:rFonts w:eastAsia="Times New Roman"/>
                <w:bCs/>
                <w:color w:val="000000"/>
                <w:kern w:val="24"/>
                <w:sz w:val="18"/>
                <w:szCs w:val="18"/>
                <w:lang w:eastAsia="es-CL"/>
              </w:rPr>
              <w:t>Variación</w:t>
            </w:r>
          </w:p>
        </w:tc>
      </w:tr>
      <w:tr>
        <w:trPr>
          <w:trHeight w:val="815"/>
        </w:trPr>
        <w:tc>
          <w:tcPr>
            <w:tcW w:w="0" w:type="auto"/>
            <w:vMerge/>
            <w:tcBorders>
              <w:top w:val="nil"/>
              <w:left w:val="nil"/>
              <w:bottom w:val="single" w:sz="8" w:space="0" w:color="FFFFFF"/>
              <w:right w:val="single" w:sz="8" w:space="0" w:color="FFFFFF"/>
            </w:tcBorders>
            <w:vAlign w:val="center"/>
            <w:hideMark/>
          </w:tcPr>
          <w:p>
            <w:pPr>
              <w:tabs>
                <w:tab w:val="clear" w:pos="2835"/>
              </w:tabs>
              <w:jc w:val="left"/>
              <w:rPr>
                <w:rFonts w:eastAsia="Times New Roman"/>
                <w:b w:val="0"/>
                <w:sz w:val="18"/>
                <w:szCs w:val="18"/>
                <w:lang w:eastAsia="es-CL"/>
              </w:rPr>
            </w:pPr>
          </w:p>
        </w:tc>
        <w:tc>
          <w:tcPr>
            <w:tcW w:w="1431" w:type="dxa"/>
            <w:tcBorders>
              <w:top w:val="single" w:sz="8" w:space="0" w:color="FFFFFF"/>
              <w:left w:val="single" w:sz="8" w:space="0" w:color="FFFFFF"/>
              <w:bottom w:val="single" w:sz="8" w:space="0" w:color="FFFFFF"/>
              <w:right w:val="single" w:sz="8" w:space="0" w:color="FFFFFF"/>
            </w:tcBorders>
            <w:shd w:val="clear" w:color="auto" w:fill="B9CDE5"/>
            <w:tcMar>
              <w:top w:w="15" w:type="dxa"/>
              <w:left w:w="15" w:type="dxa"/>
              <w:bottom w:w="0" w:type="dxa"/>
              <w:right w:w="15" w:type="dxa"/>
            </w:tcMar>
            <w:hideMark/>
          </w:tcPr>
          <w:p>
            <w:pPr>
              <w:tabs>
                <w:tab w:val="clear" w:pos="2835"/>
              </w:tabs>
              <w:jc w:val="center"/>
              <w:textAlignment w:val="top"/>
              <w:rPr>
                <w:rFonts w:eastAsia="Times New Roman"/>
                <w:b w:val="0"/>
                <w:sz w:val="18"/>
                <w:szCs w:val="18"/>
                <w:lang w:eastAsia="es-CL"/>
              </w:rPr>
            </w:pPr>
            <w:r>
              <w:rPr>
                <w:rFonts w:eastAsia="Times New Roman"/>
                <w:bCs/>
                <w:color w:val="000000"/>
                <w:kern w:val="24"/>
                <w:sz w:val="18"/>
                <w:szCs w:val="18"/>
                <w:lang w:eastAsia="es-CL"/>
              </w:rPr>
              <w:t>Año 2016</w:t>
            </w:r>
            <w:r>
              <w:rPr>
                <w:rFonts w:eastAsia="Times New Roman"/>
                <w:bCs/>
                <w:color w:val="000000"/>
                <w:kern w:val="24"/>
                <w:sz w:val="18"/>
                <w:szCs w:val="18"/>
                <w:lang w:eastAsia="es-CL"/>
              </w:rPr>
              <w:br/>
              <w:t>(M$ 2017)</w:t>
            </w:r>
          </w:p>
        </w:tc>
        <w:tc>
          <w:tcPr>
            <w:tcW w:w="1431" w:type="dxa"/>
            <w:tcBorders>
              <w:top w:val="single" w:sz="8" w:space="0" w:color="FFFFFF"/>
              <w:left w:val="single" w:sz="8" w:space="0" w:color="FFFFFF"/>
              <w:bottom w:val="single" w:sz="8" w:space="0" w:color="FFFFFF"/>
              <w:right w:val="single" w:sz="8" w:space="0" w:color="FFFFFF"/>
            </w:tcBorders>
            <w:shd w:val="clear" w:color="auto" w:fill="B9CDE5"/>
            <w:tcMar>
              <w:top w:w="15" w:type="dxa"/>
              <w:left w:w="15" w:type="dxa"/>
              <w:bottom w:w="0" w:type="dxa"/>
              <w:right w:w="15" w:type="dxa"/>
            </w:tcMar>
            <w:hideMark/>
          </w:tcPr>
          <w:p>
            <w:pPr>
              <w:tabs>
                <w:tab w:val="clear" w:pos="2835"/>
              </w:tabs>
              <w:jc w:val="center"/>
              <w:textAlignment w:val="top"/>
              <w:rPr>
                <w:rFonts w:eastAsia="Times New Roman"/>
                <w:b w:val="0"/>
                <w:sz w:val="18"/>
                <w:szCs w:val="18"/>
                <w:lang w:eastAsia="es-CL"/>
              </w:rPr>
            </w:pPr>
            <w:r>
              <w:rPr>
                <w:rFonts w:eastAsia="Times New Roman"/>
                <w:bCs/>
                <w:color w:val="000000"/>
                <w:kern w:val="24"/>
                <w:sz w:val="18"/>
                <w:szCs w:val="18"/>
                <w:lang w:eastAsia="es-CL"/>
              </w:rPr>
              <w:t>Año 2017</w:t>
            </w:r>
            <w:r>
              <w:rPr>
                <w:rFonts w:eastAsia="Times New Roman"/>
                <w:bCs/>
                <w:color w:val="000000"/>
                <w:kern w:val="24"/>
                <w:sz w:val="18"/>
                <w:szCs w:val="18"/>
                <w:lang w:eastAsia="es-CL"/>
              </w:rPr>
              <w:br/>
              <w:t>(M$ 2017)</w:t>
            </w:r>
          </w:p>
        </w:tc>
        <w:tc>
          <w:tcPr>
            <w:tcW w:w="1317" w:type="dxa"/>
            <w:tcBorders>
              <w:top w:val="single" w:sz="8" w:space="0" w:color="FFFFFF"/>
              <w:left w:val="single" w:sz="8" w:space="0" w:color="FFFFFF"/>
              <w:bottom w:val="single" w:sz="8" w:space="0" w:color="FFFFFF"/>
              <w:right w:val="single" w:sz="8" w:space="0" w:color="FFFFFF"/>
            </w:tcBorders>
            <w:shd w:val="clear" w:color="auto" w:fill="B9CDE5"/>
            <w:tcMar>
              <w:top w:w="15" w:type="dxa"/>
              <w:left w:w="15" w:type="dxa"/>
              <w:bottom w:w="0" w:type="dxa"/>
              <w:right w:w="15" w:type="dxa"/>
            </w:tcMar>
            <w:hideMark/>
          </w:tcPr>
          <w:p>
            <w:pPr>
              <w:tabs>
                <w:tab w:val="clear" w:pos="2835"/>
              </w:tabs>
              <w:jc w:val="center"/>
              <w:textAlignment w:val="top"/>
              <w:rPr>
                <w:rFonts w:eastAsia="Times New Roman"/>
                <w:b w:val="0"/>
                <w:sz w:val="18"/>
                <w:szCs w:val="18"/>
                <w:lang w:eastAsia="es-CL"/>
              </w:rPr>
            </w:pPr>
            <w:r>
              <w:rPr>
                <w:rFonts w:eastAsia="Times New Roman"/>
                <w:bCs/>
                <w:color w:val="000000"/>
                <w:kern w:val="24"/>
                <w:sz w:val="18"/>
                <w:szCs w:val="18"/>
                <w:lang w:eastAsia="es-CL"/>
              </w:rPr>
              <w:t>(M$ 2017)</w:t>
            </w:r>
          </w:p>
        </w:tc>
        <w:tc>
          <w:tcPr>
            <w:tcW w:w="1089" w:type="dxa"/>
            <w:tcBorders>
              <w:top w:val="single" w:sz="8" w:space="0" w:color="FFFFFF"/>
              <w:left w:val="single" w:sz="8" w:space="0" w:color="FFFFFF"/>
              <w:bottom w:val="single" w:sz="8" w:space="0" w:color="FFFFFF"/>
              <w:right w:val="single" w:sz="8" w:space="0" w:color="FFFFFF"/>
            </w:tcBorders>
            <w:shd w:val="clear" w:color="auto" w:fill="B9CDE5"/>
            <w:tcMar>
              <w:top w:w="15" w:type="dxa"/>
              <w:left w:w="15" w:type="dxa"/>
              <w:bottom w:w="0" w:type="dxa"/>
              <w:right w:w="15" w:type="dxa"/>
            </w:tcMar>
            <w:hideMark/>
          </w:tcPr>
          <w:p>
            <w:pPr>
              <w:tabs>
                <w:tab w:val="clear" w:pos="2835"/>
              </w:tabs>
              <w:jc w:val="center"/>
              <w:textAlignment w:val="top"/>
              <w:rPr>
                <w:rFonts w:eastAsia="Times New Roman"/>
                <w:b w:val="0"/>
                <w:sz w:val="18"/>
                <w:szCs w:val="18"/>
                <w:lang w:eastAsia="es-CL"/>
              </w:rPr>
            </w:pPr>
            <w:r>
              <w:rPr>
                <w:rFonts w:eastAsia="Times New Roman"/>
                <w:bCs/>
                <w:color w:val="000000"/>
                <w:kern w:val="24"/>
                <w:sz w:val="18"/>
                <w:szCs w:val="18"/>
                <w:lang w:eastAsia="es-CL"/>
              </w:rPr>
              <w:t>(%)</w:t>
            </w:r>
          </w:p>
        </w:tc>
      </w:tr>
      <w:tr>
        <w:trPr>
          <w:trHeight w:val="414"/>
        </w:trPr>
        <w:tc>
          <w:tcPr>
            <w:tcW w:w="3951" w:type="dxa"/>
            <w:tcBorders>
              <w:top w:val="single" w:sz="8" w:space="0" w:color="FFFFFF"/>
              <w:left w:val="single" w:sz="8" w:space="0" w:color="FFFFFF"/>
              <w:bottom w:val="single" w:sz="8" w:space="0" w:color="FFFFFF"/>
              <w:right w:val="single" w:sz="8" w:space="0" w:color="FFFFFF"/>
            </w:tcBorders>
            <w:shd w:val="clear" w:color="auto" w:fill="C6D9F1"/>
            <w:tcMar>
              <w:top w:w="15" w:type="dxa"/>
              <w:left w:w="15" w:type="dxa"/>
              <w:bottom w:w="0" w:type="dxa"/>
              <w:right w:w="15" w:type="dxa"/>
            </w:tcMar>
            <w:vAlign w:val="center"/>
            <w:hideMark/>
          </w:tcPr>
          <w:p>
            <w:pPr>
              <w:tabs>
                <w:tab w:val="clear" w:pos="2835"/>
              </w:tabs>
              <w:jc w:val="left"/>
              <w:textAlignment w:val="center"/>
              <w:rPr>
                <w:rFonts w:eastAsia="Times New Roman"/>
                <w:b w:val="0"/>
                <w:sz w:val="18"/>
                <w:szCs w:val="18"/>
                <w:lang w:eastAsia="es-CL"/>
              </w:rPr>
            </w:pPr>
            <w:r>
              <w:rPr>
                <w:rFonts w:eastAsia="Times New Roman"/>
                <w:bCs/>
                <w:color w:val="000000"/>
                <w:kern w:val="24"/>
                <w:sz w:val="18"/>
                <w:szCs w:val="18"/>
                <w:lang w:eastAsia="es-CL"/>
              </w:rPr>
              <w:t>TOTAL</w:t>
            </w:r>
          </w:p>
        </w:tc>
        <w:tc>
          <w:tcPr>
            <w:tcW w:w="1431" w:type="dxa"/>
            <w:tcBorders>
              <w:top w:val="single" w:sz="8" w:space="0" w:color="FFFFFF"/>
              <w:left w:val="single" w:sz="8" w:space="0" w:color="FFFFFF"/>
              <w:bottom w:val="single" w:sz="8" w:space="0" w:color="FFFFFF"/>
              <w:right w:val="single" w:sz="8" w:space="0" w:color="FFFFFF"/>
            </w:tcBorders>
            <w:shd w:val="clear" w:color="auto" w:fill="C6D9F1"/>
            <w:tcMar>
              <w:top w:w="15" w:type="dxa"/>
              <w:left w:w="15" w:type="dxa"/>
              <w:bottom w:w="0" w:type="dxa"/>
              <w:right w:w="15"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Cs/>
                <w:color w:val="000000"/>
                <w:kern w:val="24"/>
                <w:sz w:val="18"/>
                <w:szCs w:val="18"/>
                <w:lang w:eastAsia="es-CL"/>
              </w:rPr>
              <w:t>5.036.254</w:t>
            </w:r>
          </w:p>
        </w:tc>
        <w:tc>
          <w:tcPr>
            <w:tcW w:w="1431" w:type="dxa"/>
            <w:tcBorders>
              <w:top w:val="single" w:sz="8" w:space="0" w:color="FFFFFF"/>
              <w:left w:val="single" w:sz="8" w:space="0" w:color="FFFFFF"/>
              <w:bottom w:val="single" w:sz="8" w:space="0" w:color="FFFFFF"/>
              <w:right w:val="single" w:sz="8" w:space="0" w:color="FFFFFF"/>
            </w:tcBorders>
            <w:shd w:val="clear" w:color="auto" w:fill="C6D9F1"/>
            <w:tcMar>
              <w:top w:w="15" w:type="dxa"/>
              <w:left w:w="15" w:type="dxa"/>
              <w:bottom w:w="0" w:type="dxa"/>
              <w:right w:w="15"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Cs/>
                <w:color w:val="000000"/>
                <w:kern w:val="24"/>
                <w:sz w:val="18"/>
                <w:szCs w:val="18"/>
                <w:lang w:eastAsia="es-CL"/>
              </w:rPr>
              <w:t>4.053.509</w:t>
            </w:r>
          </w:p>
        </w:tc>
        <w:tc>
          <w:tcPr>
            <w:tcW w:w="1317" w:type="dxa"/>
            <w:tcBorders>
              <w:top w:val="single" w:sz="8" w:space="0" w:color="FFFFFF"/>
              <w:left w:val="single" w:sz="8" w:space="0" w:color="FFFFFF"/>
              <w:bottom w:val="single" w:sz="8" w:space="0" w:color="FFFFFF"/>
              <w:right w:val="single" w:sz="8" w:space="0" w:color="FFFFFF"/>
            </w:tcBorders>
            <w:shd w:val="clear" w:color="auto" w:fill="C6D9F1"/>
            <w:tcMar>
              <w:top w:w="15" w:type="dxa"/>
              <w:left w:w="15" w:type="dxa"/>
              <w:bottom w:w="0" w:type="dxa"/>
              <w:right w:w="15"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Cs/>
                <w:color w:val="000000"/>
                <w:kern w:val="24"/>
                <w:sz w:val="18"/>
                <w:szCs w:val="18"/>
                <w:lang w:eastAsia="es-CL"/>
              </w:rPr>
              <w:t>-982.745</w:t>
            </w:r>
          </w:p>
        </w:tc>
        <w:tc>
          <w:tcPr>
            <w:tcW w:w="1089" w:type="dxa"/>
            <w:tcBorders>
              <w:top w:val="single" w:sz="8" w:space="0" w:color="FFFFFF"/>
              <w:left w:val="single" w:sz="8" w:space="0" w:color="FFFFFF"/>
              <w:bottom w:val="single" w:sz="8" w:space="0" w:color="FFFFFF"/>
              <w:right w:val="single" w:sz="8" w:space="0" w:color="FFFFFF"/>
            </w:tcBorders>
            <w:shd w:val="clear" w:color="auto" w:fill="C6D9F1"/>
            <w:tcMar>
              <w:top w:w="15" w:type="dxa"/>
              <w:left w:w="15" w:type="dxa"/>
              <w:bottom w:w="0" w:type="dxa"/>
              <w:right w:w="15"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Cs/>
                <w:color w:val="000000"/>
                <w:kern w:val="24"/>
                <w:sz w:val="18"/>
                <w:szCs w:val="18"/>
                <w:lang w:eastAsia="es-CL"/>
              </w:rPr>
              <w:t>-19,5%</w:t>
            </w:r>
          </w:p>
        </w:tc>
      </w:tr>
      <w:tr>
        <w:trPr>
          <w:trHeight w:val="414"/>
        </w:trPr>
        <w:tc>
          <w:tcPr>
            <w:tcW w:w="395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left"/>
              <w:textAlignment w:val="center"/>
              <w:rPr>
                <w:rFonts w:eastAsia="Times New Roman"/>
                <w:b w:val="0"/>
                <w:sz w:val="18"/>
                <w:szCs w:val="18"/>
                <w:lang w:eastAsia="es-CL"/>
              </w:rPr>
            </w:pPr>
            <w:r>
              <w:rPr>
                <w:rFonts w:eastAsia="Times New Roman"/>
                <w:b w:val="0"/>
                <w:color w:val="000000"/>
                <w:kern w:val="24"/>
                <w:sz w:val="18"/>
                <w:szCs w:val="18"/>
                <w:lang w:eastAsia="es-CL"/>
              </w:rPr>
              <w:t>Gasto en Personal  (</w:t>
            </w:r>
            <w:r>
              <w:rPr>
                <w:rFonts w:eastAsia="Times New Roman"/>
                <w:bCs/>
                <w:color w:val="000000"/>
                <w:kern w:val="24"/>
                <w:sz w:val="18"/>
                <w:szCs w:val="18"/>
                <w:lang w:eastAsia="es-CL"/>
              </w:rPr>
              <w:t>Subtítulo 21</w:t>
            </w:r>
            <w:r>
              <w:rPr>
                <w:rFonts w:eastAsia="Times New Roman"/>
                <w:b w:val="0"/>
                <w:color w:val="000000"/>
                <w:kern w:val="24"/>
                <w:sz w:val="18"/>
                <w:szCs w:val="18"/>
                <w:lang w:eastAsia="es-CL"/>
              </w:rPr>
              <w:t>)</w:t>
            </w:r>
          </w:p>
        </w:tc>
        <w:tc>
          <w:tcPr>
            <w:tcW w:w="143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 w:val="0"/>
                <w:color w:val="000000"/>
                <w:kern w:val="24"/>
                <w:sz w:val="18"/>
                <w:szCs w:val="18"/>
                <w:lang w:eastAsia="es-CL"/>
              </w:rPr>
              <w:t>2.632.845</w:t>
            </w:r>
          </w:p>
        </w:tc>
        <w:tc>
          <w:tcPr>
            <w:tcW w:w="143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 w:val="0"/>
                <w:color w:val="000000"/>
                <w:kern w:val="24"/>
                <w:sz w:val="18"/>
                <w:szCs w:val="18"/>
                <w:lang w:eastAsia="es-CL"/>
              </w:rPr>
              <w:t>2.452.261</w:t>
            </w:r>
          </w:p>
        </w:tc>
        <w:tc>
          <w:tcPr>
            <w:tcW w:w="131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 w:val="0"/>
                <w:color w:val="000000"/>
                <w:kern w:val="24"/>
                <w:sz w:val="18"/>
                <w:szCs w:val="18"/>
                <w:lang w:eastAsia="es-CL"/>
              </w:rPr>
              <w:t>-180.584</w:t>
            </w:r>
          </w:p>
        </w:tc>
        <w:tc>
          <w:tcPr>
            <w:tcW w:w="108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 w:val="0"/>
                <w:color w:val="000000"/>
                <w:kern w:val="24"/>
                <w:sz w:val="18"/>
                <w:szCs w:val="18"/>
                <w:lang w:eastAsia="es-CL"/>
              </w:rPr>
              <w:t>-6,9%</w:t>
            </w:r>
          </w:p>
        </w:tc>
      </w:tr>
      <w:tr>
        <w:trPr>
          <w:trHeight w:val="815"/>
        </w:trPr>
        <w:tc>
          <w:tcPr>
            <w:tcW w:w="395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left"/>
              <w:textAlignment w:val="center"/>
              <w:rPr>
                <w:rFonts w:eastAsia="Times New Roman"/>
                <w:b w:val="0"/>
                <w:sz w:val="18"/>
                <w:szCs w:val="18"/>
                <w:lang w:eastAsia="es-CL"/>
              </w:rPr>
            </w:pPr>
            <w:r>
              <w:rPr>
                <w:rFonts w:eastAsia="Times New Roman"/>
                <w:b w:val="0"/>
                <w:color w:val="000000"/>
                <w:kern w:val="24"/>
                <w:sz w:val="18"/>
                <w:szCs w:val="18"/>
                <w:lang w:eastAsia="es-CL"/>
              </w:rPr>
              <w:t>Bienes y Servicios de Consumo  (</w:t>
            </w:r>
            <w:r>
              <w:rPr>
                <w:rFonts w:eastAsia="Times New Roman"/>
                <w:bCs/>
                <w:color w:val="000000"/>
                <w:kern w:val="24"/>
                <w:sz w:val="18"/>
                <w:szCs w:val="18"/>
                <w:lang w:eastAsia="es-CL"/>
              </w:rPr>
              <w:t>Subtítulo 22</w:t>
            </w:r>
            <w:r>
              <w:rPr>
                <w:rFonts w:eastAsia="Times New Roman"/>
                <w:b w:val="0"/>
                <w:color w:val="000000"/>
                <w:kern w:val="24"/>
                <w:sz w:val="18"/>
                <w:szCs w:val="18"/>
                <w:lang w:eastAsia="es-CL"/>
              </w:rPr>
              <w:t>)</w:t>
            </w:r>
          </w:p>
        </w:tc>
        <w:tc>
          <w:tcPr>
            <w:tcW w:w="143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 w:val="0"/>
                <w:color w:val="000000"/>
                <w:kern w:val="24"/>
                <w:sz w:val="18"/>
                <w:szCs w:val="18"/>
                <w:lang w:eastAsia="es-CL"/>
              </w:rPr>
              <w:t>2.202.317</w:t>
            </w:r>
          </w:p>
        </w:tc>
        <w:tc>
          <w:tcPr>
            <w:tcW w:w="143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 w:val="0"/>
                <w:color w:val="000000"/>
                <w:kern w:val="24"/>
                <w:sz w:val="18"/>
                <w:szCs w:val="18"/>
                <w:lang w:eastAsia="es-CL"/>
              </w:rPr>
              <w:t>1.369.266</w:t>
            </w:r>
          </w:p>
        </w:tc>
        <w:tc>
          <w:tcPr>
            <w:tcW w:w="131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 w:val="0"/>
                <w:color w:val="000000"/>
                <w:kern w:val="24"/>
                <w:sz w:val="18"/>
                <w:szCs w:val="18"/>
                <w:lang w:eastAsia="es-CL"/>
              </w:rPr>
              <w:t>-833.051</w:t>
            </w:r>
          </w:p>
        </w:tc>
        <w:tc>
          <w:tcPr>
            <w:tcW w:w="108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 w:val="0"/>
                <w:color w:val="000000"/>
                <w:kern w:val="24"/>
                <w:sz w:val="18"/>
                <w:szCs w:val="18"/>
                <w:lang w:eastAsia="es-CL"/>
              </w:rPr>
              <w:t>-37,8%</w:t>
            </w:r>
          </w:p>
        </w:tc>
      </w:tr>
      <w:tr>
        <w:trPr>
          <w:trHeight w:val="815"/>
        </w:trPr>
        <w:tc>
          <w:tcPr>
            <w:tcW w:w="395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left"/>
              <w:textAlignment w:val="center"/>
              <w:rPr>
                <w:rFonts w:eastAsia="Times New Roman"/>
                <w:b w:val="0"/>
                <w:sz w:val="18"/>
                <w:szCs w:val="18"/>
                <w:lang w:eastAsia="es-CL"/>
              </w:rPr>
            </w:pPr>
            <w:r>
              <w:rPr>
                <w:rFonts w:eastAsia="Times New Roman"/>
                <w:b w:val="0"/>
                <w:color w:val="000000"/>
                <w:kern w:val="24"/>
                <w:sz w:val="18"/>
                <w:szCs w:val="18"/>
                <w:lang w:eastAsia="es-CL"/>
              </w:rPr>
              <w:t>Adquisición de Activos no financieros  (</w:t>
            </w:r>
            <w:r>
              <w:rPr>
                <w:rFonts w:eastAsia="Times New Roman"/>
                <w:bCs/>
                <w:color w:val="000000"/>
                <w:kern w:val="24"/>
                <w:sz w:val="18"/>
                <w:szCs w:val="18"/>
                <w:lang w:eastAsia="es-CL"/>
              </w:rPr>
              <w:t>Subtítulo 29</w:t>
            </w:r>
            <w:r>
              <w:rPr>
                <w:rFonts w:eastAsia="Times New Roman"/>
                <w:b w:val="0"/>
                <w:color w:val="000000"/>
                <w:kern w:val="24"/>
                <w:sz w:val="18"/>
                <w:szCs w:val="18"/>
                <w:lang w:eastAsia="es-CL"/>
              </w:rPr>
              <w:t>)</w:t>
            </w:r>
          </w:p>
        </w:tc>
        <w:tc>
          <w:tcPr>
            <w:tcW w:w="143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 w:val="0"/>
                <w:color w:val="000000"/>
                <w:kern w:val="24"/>
                <w:sz w:val="18"/>
                <w:szCs w:val="18"/>
                <w:lang w:eastAsia="es-CL"/>
              </w:rPr>
              <w:t>201.082</w:t>
            </w:r>
          </w:p>
        </w:tc>
        <w:tc>
          <w:tcPr>
            <w:tcW w:w="143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 w:val="0"/>
                <w:color w:val="000000"/>
                <w:kern w:val="24"/>
                <w:sz w:val="18"/>
                <w:szCs w:val="18"/>
                <w:lang w:eastAsia="es-CL"/>
              </w:rPr>
              <w:t>231.982</w:t>
            </w:r>
          </w:p>
        </w:tc>
        <w:tc>
          <w:tcPr>
            <w:tcW w:w="131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 w:val="0"/>
                <w:color w:val="000000"/>
                <w:kern w:val="24"/>
                <w:sz w:val="18"/>
                <w:szCs w:val="18"/>
                <w:lang w:eastAsia="es-CL"/>
              </w:rPr>
              <w:t>30.900</w:t>
            </w:r>
          </w:p>
        </w:tc>
        <w:tc>
          <w:tcPr>
            <w:tcW w:w="108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 w:val="0"/>
                <w:color w:val="000000"/>
                <w:kern w:val="24"/>
                <w:sz w:val="18"/>
                <w:szCs w:val="18"/>
                <w:lang w:eastAsia="es-CL"/>
              </w:rPr>
              <w:t>15,4%</w:t>
            </w:r>
          </w:p>
        </w:tc>
      </w:tr>
      <w:tr>
        <w:trPr>
          <w:trHeight w:val="414"/>
        </w:trPr>
        <w:tc>
          <w:tcPr>
            <w:tcW w:w="395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left"/>
              <w:textAlignment w:val="center"/>
              <w:rPr>
                <w:rFonts w:eastAsia="Times New Roman"/>
                <w:b w:val="0"/>
                <w:sz w:val="18"/>
                <w:szCs w:val="18"/>
                <w:lang w:eastAsia="es-CL"/>
              </w:rPr>
            </w:pPr>
            <w:r>
              <w:rPr>
                <w:rFonts w:eastAsia="Times New Roman"/>
                <w:b w:val="0"/>
                <w:color w:val="000000"/>
                <w:kern w:val="24"/>
                <w:sz w:val="18"/>
                <w:szCs w:val="18"/>
                <w:lang w:eastAsia="es-CL"/>
              </w:rPr>
              <w:t>Servicio de la Deuda  (</w:t>
            </w:r>
            <w:r>
              <w:rPr>
                <w:rFonts w:eastAsia="Times New Roman"/>
                <w:bCs/>
                <w:color w:val="000000"/>
                <w:kern w:val="24"/>
                <w:sz w:val="18"/>
                <w:szCs w:val="18"/>
                <w:lang w:eastAsia="es-CL"/>
              </w:rPr>
              <w:t>Subtítulo 34</w:t>
            </w:r>
            <w:r>
              <w:rPr>
                <w:rFonts w:eastAsia="Times New Roman"/>
                <w:b w:val="0"/>
                <w:color w:val="000000"/>
                <w:kern w:val="24"/>
                <w:sz w:val="18"/>
                <w:szCs w:val="18"/>
                <w:lang w:eastAsia="es-CL"/>
              </w:rPr>
              <w:t>)</w:t>
            </w:r>
          </w:p>
        </w:tc>
        <w:tc>
          <w:tcPr>
            <w:tcW w:w="143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 w:val="0"/>
                <w:color w:val="000000"/>
                <w:kern w:val="24"/>
                <w:sz w:val="18"/>
                <w:szCs w:val="18"/>
                <w:lang w:eastAsia="es-CL"/>
              </w:rPr>
              <w:t>10</w:t>
            </w:r>
          </w:p>
        </w:tc>
        <w:tc>
          <w:tcPr>
            <w:tcW w:w="143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left"/>
              <w:rPr>
                <w:rFonts w:eastAsia="Times New Roman"/>
                <w:b w:val="0"/>
                <w:sz w:val="18"/>
                <w:szCs w:val="18"/>
                <w:lang w:eastAsia="es-CL"/>
              </w:rPr>
            </w:pPr>
          </w:p>
        </w:tc>
        <w:tc>
          <w:tcPr>
            <w:tcW w:w="131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 w:val="0"/>
                <w:color w:val="000000"/>
                <w:kern w:val="24"/>
                <w:sz w:val="18"/>
                <w:szCs w:val="18"/>
                <w:lang w:eastAsia="es-CL"/>
              </w:rPr>
              <w:t>-10</w:t>
            </w:r>
          </w:p>
        </w:tc>
        <w:tc>
          <w:tcPr>
            <w:tcW w:w="108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 w:val="0"/>
                <w:color w:val="000000"/>
                <w:kern w:val="24"/>
                <w:sz w:val="18"/>
                <w:szCs w:val="18"/>
                <w:lang w:eastAsia="es-CL"/>
              </w:rPr>
              <w:t>-100,0%</w:t>
            </w:r>
          </w:p>
        </w:tc>
      </w:tr>
      <w:tr>
        <w:trPr>
          <w:trHeight w:val="414"/>
        </w:trPr>
        <w:tc>
          <w:tcPr>
            <w:tcW w:w="3951" w:type="dxa"/>
            <w:tcBorders>
              <w:top w:val="single" w:sz="8" w:space="0" w:color="FFFFFF"/>
              <w:left w:val="single" w:sz="8" w:space="0" w:color="FFFFFF"/>
              <w:bottom w:val="single" w:sz="8" w:space="0" w:color="FFFFFF"/>
              <w:right w:val="single" w:sz="8" w:space="0" w:color="FFFFFF"/>
            </w:tcBorders>
            <w:shd w:val="clear" w:color="auto" w:fill="B9CDE5"/>
            <w:tcMar>
              <w:top w:w="15" w:type="dxa"/>
              <w:left w:w="15" w:type="dxa"/>
              <w:bottom w:w="0" w:type="dxa"/>
              <w:right w:w="15" w:type="dxa"/>
            </w:tcMar>
            <w:vAlign w:val="center"/>
            <w:hideMark/>
          </w:tcPr>
          <w:p>
            <w:pPr>
              <w:tabs>
                <w:tab w:val="clear" w:pos="2835"/>
              </w:tabs>
              <w:jc w:val="left"/>
              <w:textAlignment w:val="center"/>
              <w:rPr>
                <w:rFonts w:eastAsia="Times New Roman"/>
                <w:b w:val="0"/>
                <w:sz w:val="18"/>
                <w:szCs w:val="18"/>
                <w:lang w:eastAsia="es-CL"/>
              </w:rPr>
            </w:pPr>
            <w:r>
              <w:rPr>
                <w:rFonts w:eastAsia="Times New Roman"/>
                <w:bCs/>
                <w:color w:val="000000"/>
                <w:kern w:val="24"/>
                <w:sz w:val="18"/>
                <w:szCs w:val="18"/>
                <w:lang w:eastAsia="es-CL"/>
              </w:rPr>
              <w:t xml:space="preserve">Gasto neto </w:t>
            </w:r>
            <w:r>
              <w:rPr>
                <w:rFonts w:eastAsia="Times New Roman"/>
                <w:b w:val="0"/>
                <w:color w:val="000000"/>
                <w:kern w:val="24"/>
                <w:sz w:val="18"/>
                <w:szCs w:val="18"/>
                <w:lang w:eastAsia="es-CL"/>
              </w:rPr>
              <w:t>(*)</w:t>
            </w:r>
          </w:p>
        </w:tc>
        <w:tc>
          <w:tcPr>
            <w:tcW w:w="1431" w:type="dxa"/>
            <w:tcBorders>
              <w:top w:val="single" w:sz="8" w:space="0" w:color="FFFFFF"/>
              <w:left w:val="single" w:sz="8" w:space="0" w:color="FFFFFF"/>
              <w:bottom w:val="single" w:sz="8" w:space="0" w:color="FFFFFF"/>
              <w:right w:val="single" w:sz="8" w:space="0" w:color="FFFFFF"/>
            </w:tcBorders>
            <w:shd w:val="clear" w:color="auto" w:fill="B9CDE5"/>
            <w:tcMar>
              <w:top w:w="15" w:type="dxa"/>
              <w:left w:w="15" w:type="dxa"/>
              <w:bottom w:w="0" w:type="dxa"/>
              <w:right w:w="15"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Cs/>
                <w:color w:val="000000"/>
                <w:kern w:val="24"/>
                <w:sz w:val="18"/>
                <w:szCs w:val="18"/>
                <w:lang w:eastAsia="es-CL"/>
              </w:rPr>
              <w:t>5.036.254</w:t>
            </w:r>
          </w:p>
        </w:tc>
        <w:tc>
          <w:tcPr>
            <w:tcW w:w="1431" w:type="dxa"/>
            <w:tcBorders>
              <w:top w:val="single" w:sz="8" w:space="0" w:color="FFFFFF"/>
              <w:left w:val="single" w:sz="8" w:space="0" w:color="FFFFFF"/>
              <w:bottom w:val="single" w:sz="8" w:space="0" w:color="FFFFFF"/>
              <w:right w:val="single" w:sz="8" w:space="0" w:color="FFFFFF"/>
            </w:tcBorders>
            <w:shd w:val="clear" w:color="auto" w:fill="B9CDE5"/>
            <w:tcMar>
              <w:top w:w="15" w:type="dxa"/>
              <w:left w:w="15" w:type="dxa"/>
              <w:bottom w:w="0" w:type="dxa"/>
              <w:right w:w="15"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Cs/>
                <w:color w:val="000000"/>
                <w:kern w:val="24"/>
                <w:sz w:val="18"/>
                <w:szCs w:val="18"/>
                <w:lang w:eastAsia="es-CL"/>
              </w:rPr>
              <w:t>4.053.509</w:t>
            </w:r>
          </w:p>
        </w:tc>
        <w:tc>
          <w:tcPr>
            <w:tcW w:w="1317" w:type="dxa"/>
            <w:tcBorders>
              <w:top w:val="single" w:sz="8" w:space="0" w:color="FFFFFF"/>
              <w:left w:val="single" w:sz="8" w:space="0" w:color="FFFFFF"/>
              <w:bottom w:val="single" w:sz="8" w:space="0" w:color="FFFFFF"/>
              <w:right w:val="single" w:sz="8" w:space="0" w:color="FFFFFF"/>
            </w:tcBorders>
            <w:shd w:val="clear" w:color="auto" w:fill="B9CDE5"/>
            <w:tcMar>
              <w:top w:w="15" w:type="dxa"/>
              <w:left w:w="15" w:type="dxa"/>
              <w:bottom w:w="0" w:type="dxa"/>
              <w:right w:w="15"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Cs/>
                <w:color w:val="000000"/>
                <w:kern w:val="24"/>
                <w:sz w:val="18"/>
                <w:szCs w:val="18"/>
                <w:lang w:eastAsia="es-CL"/>
              </w:rPr>
              <w:t>-982.745</w:t>
            </w:r>
          </w:p>
        </w:tc>
        <w:tc>
          <w:tcPr>
            <w:tcW w:w="1089" w:type="dxa"/>
            <w:tcBorders>
              <w:top w:val="single" w:sz="8" w:space="0" w:color="FFFFFF"/>
              <w:left w:val="single" w:sz="8" w:space="0" w:color="FFFFFF"/>
              <w:bottom w:val="single" w:sz="8" w:space="0" w:color="FFFFFF"/>
              <w:right w:val="single" w:sz="8" w:space="0" w:color="FFFFFF"/>
            </w:tcBorders>
            <w:shd w:val="clear" w:color="auto" w:fill="B9CDE5"/>
            <w:tcMar>
              <w:top w:w="15" w:type="dxa"/>
              <w:left w:w="15" w:type="dxa"/>
              <w:bottom w:w="0" w:type="dxa"/>
              <w:right w:w="15"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Cs/>
                <w:color w:val="000000"/>
                <w:kern w:val="24"/>
                <w:sz w:val="18"/>
                <w:szCs w:val="18"/>
                <w:lang w:eastAsia="es-CL"/>
              </w:rPr>
              <w:t>-19,5%</w:t>
            </w:r>
          </w:p>
        </w:tc>
      </w:tr>
    </w:tbl>
    <w:p>
      <w:r>
        <w:t>(*) Gasto de Estado de Operaciones = GASTOS-(Subt.25+30+32+34+35) + Ítem25.01+Intereses y Otros Gastos Financieros de Deuda</w:t>
      </w:r>
    </w:p>
    <w:p>
      <w:pPr>
        <w:rPr>
          <w:b w:val="0"/>
        </w:rPr>
      </w:pPr>
    </w:p>
    <w:p>
      <w:pPr>
        <w:rPr>
          <w:b w:val="0"/>
        </w:rPr>
      </w:pPr>
    </w:p>
    <w:p>
      <w:pPr>
        <w:rPr>
          <w:b w:val="0"/>
        </w:rPr>
      </w:pPr>
      <w:r>
        <w:rPr>
          <w:b w:val="0"/>
        </w:rPr>
        <w:tab/>
        <w:t>En seguida, pasó a analizar las variaciones presupuestarias de los siguientes subtítulos:</w:t>
      </w:r>
    </w:p>
    <w:p>
      <w:pPr>
        <w:rPr>
          <w:b w:val="0"/>
        </w:rPr>
      </w:pPr>
    </w:p>
    <w:p>
      <w:pPr>
        <w:rPr>
          <w:b w:val="0"/>
        </w:rPr>
      </w:pPr>
    </w:p>
    <w:p>
      <w:r>
        <w:t>- Subtitulo 21: Gasto en personal</w:t>
      </w:r>
    </w:p>
    <w:p>
      <w:pPr>
        <w:rPr>
          <w:b w:val="0"/>
        </w:rPr>
      </w:pPr>
    </w:p>
    <w:p>
      <w:pPr>
        <w:rPr>
          <w:b w:val="0"/>
        </w:rPr>
      </w:pPr>
      <w:r>
        <w:rPr>
          <w:b w:val="0"/>
        </w:rPr>
        <w:tab/>
        <w:t xml:space="preserve">Se registra una disminución de un 6,9% respecto al Presupuesto 2016 (M$180.584), que se explica por la disminución de los gastos por una vez relacionados con el proceso de otorgamiento de permisos de operación para los casinos que se encuentran bajo concesión municipal, asociados al concepto presupuestario “Honorarios a Suma Alzada-Personas Naturales”. Sin perjuicio de ello, la glosa relacionada con Viáticos  Nacionales, asociada a las actividades de fiscalización en terreno, se incrementa producto del mayor crecimiento de la industria. </w:t>
      </w:r>
    </w:p>
    <w:p>
      <w:pPr>
        <w:rPr>
          <w:b w:val="0"/>
        </w:rPr>
      </w:pPr>
    </w:p>
    <w:p>
      <w:pPr>
        <w:rPr>
          <w:b w:val="0"/>
        </w:rPr>
      </w:pPr>
    </w:p>
    <w:p>
      <w:r>
        <w:t>- Subtitulo 22: Bienes y servicios de consumo</w:t>
      </w:r>
    </w:p>
    <w:p>
      <w:pPr>
        <w:rPr>
          <w:b w:val="0"/>
        </w:rPr>
      </w:pPr>
    </w:p>
    <w:p>
      <w:pPr>
        <w:rPr>
          <w:b w:val="0"/>
        </w:rPr>
      </w:pPr>
      <w:r>
        <w:rPr>
          <w:b w:val="0"/>
        </w:rPr>
        <w:tab/>
        <w:t>Se registra una disminución de un 37,8% respecto al Presupuesto 2016 (M$833.051), asociada principalmente a la disminución de los gastos por una vez relacionados con el proceso de otorgamiento de permisos de operación para los casinos municipales, relacionados directamente con la contratación de servicios de consultoría que colaborarán en el proceso de evaluación integral de los proyectos que postulen a un permiso de operación.</w:t>
      </w:r>
    </w:p>
    <w:p>
      <w:pPr>
        <w:rPr>
          <w:b w:val="0"/>
        </w:rPr>
      </w:pPr>
    </w:p>
    <w:p>
      <w:pPr>
        <w:rPr>
          <w:b w:val="0"/>
        </w:rPr>
      </w:pPr>
      <w:r>
        <w:rPr>
          <w:b w:val="0"/>
        </w:rPr>
        <w:tab/>
        <w:t>Por otra parte, para el año 2017 se contemplan los gastos de continuidad operacional más aquellos asociados a la Inspección Técnica de Obras (ITOS) asociadas a los proyectos de Arica y Chillán.</w:t>
      </w:r>
    </w:p>
    <w:p>
      <w:pPr>
        <w:rPr>
          <w:b w:val="0"/>
        </w:rPr>
      </w:pPr>
    </w:p>
    <w:p>
      <w:pPr>
        <w:rPr>
          <w:b w:val="0"/>
        </w:rPr>
      </w:pPr>
    </w:p>
    <w:p>
      <w:r>
        <w:t>- Subtitulo 29: Adquisición de activos no financieros</w:t>
      </w:r>
    </w:p>
    <w:p>
      <w:pPr>
        <w:rPr>
          <w:b w:val="0"/>
        </w:rPr>
      </w:pPr>
    </w:p>
    <w:p>
      <w:pPr>
        <w:rPr>
          <w:b w:val="0"/>
        </w:rPr>
      </w:pPr>
      <w:r>
        <w:rPr>
          <w:b w:val="0"/>
        </w:rPr>
        <w:tab/>
        <w:t>Se registra un aumento de un 15,4% respecto al Presupuesto 2016 (M$30.900), que se explica por la continuidad del Plan Estratégico de Desarrollo de Sistemas, proyectado a 5 años y que iniciaría su 3ª fase, que contempla abordar los sistemas de gestión documental, de fiscalización, de homologación, de atención de consultas ciudadanas y otros sistemas esenciales para el cumplimiento de sus funciones.</w:t>
      </w:r>
    </w:p>
    <w:p>
      <w:pPr>
        <w:rPr>
          <w:b w:val="0"/>
        </w:rPr>
      </w:pPr>
    </w:p>
    <w:p>
      <w:pPr>
        <w:rPr>
          <w:b w:val="0"/>
        </w:rPr>
      </w:pPr>
      <w:r>
        <w:rPr>
          <w:b w:val="0"/>
        </w:rPr>
        <w:tab/>
        <w:t>Luego se refirió a las metas estratégicas para el año 2017 de este Servicio, que son las siguientes:</w:t>
      </w:r>
    </w:p>
    <w:p>
      <w:pPr>
        <w:rPr>
          <w:b w:val="0"/>
        </w:rPr>
      </w:pPr>
    </w:p>
    <w:p>
      <w:pPr>
        <w:rPr>
          <w:b w:val="0"/>
        </w:rPr>
      </w:pPr>
    </w:p>
    <w:p>
      <w:pPr>
        <w:jc w:val="center"/>
      </w:pPr>
      <w:r>
        <w:t>Metas estratégicas 2017</w:t>
      </w:r>
    </w:p>
    <w:p>
      <w:pPr>
        <w:rPr>
          <w:b w:val="0"/>
        </w:rPr>
      </w:pPr>
    </w:p>
    <w:p>
      <w:pPr>
        <w:rPr>
          <w:b w:val="0"/>
        </w:rPr>
      </w:pPr>
    </w:p>
    <w:p>
      <w:r>
        <w:t>- Proceso de otorgamiento de casinos año 2016 - 2017</w:t>
      </w:r>
    </w:p>
    <w:p>
      <w:pPr>
        <w:rPr>
          <w:b w:val="0"/>
        </w:rPr>
      </w:pPr>
    </w:p>
    <w:p>
      <w:pPr>
        <w:rPr>
          <w:b w:val="0"/>
        </w:rPr>
      </w:pPr>
      <w:r>
        <w:rPr>
          <w:b w:val="0"/>
        </w:rPr>
        <w:tab/>
        <w:t>Durante el año 2017 la Superintendencia debe finalizar el proceso de otorgamiento de permisos de operación en las siete comunas que actualmente cuentan con casinos municipales. Este proceso contempla la evaluación integral de todos los proyectos postulantes,  por lo que se requiere  garantizar el soporte adecuado para cumplir con el proceso de forma transparente y oportuna.</w:t>
      </w:r>
    </w:p>
    <w:p>
      <w:pPr>
        <w:rPr>
          <w:b w:val="0"/>
        </w:rPr>
      </w:pPr>
    </w:p>
    <w:p>
      <w:pPr>
        <w:rPr>
          <w:b w:val="0"/>
        </w:rPr>
      </w:pPr>
    </w:p>
    <w:p>
      <w:r>
        <w:t>- Incremento en actividades de Fiscalización</w:t>
      </w:r>
    </w:p>
    <w:p>
      <w:pPr>
        <w:rPr>
          <w:b w:val="0"/>
        </w:rPr>
      </w:pPr>
    </w:p>
    <w:p>
      <w:pPr>
        <w:rPr>
          <w:b w:val="0"/>
        </w:rPr>
      </w:pPr>
      <w:r>
        <w:rPr>
          <w:b w:val="0"/>
        </w:rPr>
        <w:tab/>
        <w:t>Para el año 2017 estarán en operación 17 casinos de juegos y se espera que en el último trimestre se incorpore el casino de juego ubicado en la ciudad de Arica. Dado el crecimiento de la industria, el promedio de fiscalizaciones por casino de juego aumentará de 27,3 a 29,8 fiscalizaciones por casino de juego y se incrementarán las actividades de fiscalización en un 37%, pasando de 450 a 615 actividades.</w:t>
      </w:r>
    </w:p>
    <w:p>
      <w:pPr>
        <w:rPr>
          <w:b w:val="0"/>
        </w:rPr>
      </w:pPr>
    </w:p>
    <w:p>
      <w:r>
        <w:t>- Desarrollo de sistemas:</w:t>
      </w:r>
    </w:p>
    <w:p>
      <w:pPr>
        <w:rPr>
          <w:b w:val="0"/>
        </w:rPr>
      </w:pPr>
    </w:p>
    <w:p>
      <w:pPr>
        <w:rPr>
          <w:b w:val="0"/>
        </w:rPr>
      </w:pPr>
      <w:r>
        <w:rPr>
          <w:b w:val="0"/>
        </w:rPr>
        <w:tab/>
        <w:t>La Superintendencia continuará con el desarrollo de los sistemas de apoyo para sus procesos, optimizando recursos mediante el desarrollo interno de los módulos comprometidos, mejorando la reportabilidad de la información de los casinos de juego.</w:t>
      </w:r>
    </w:p>
    <w:p>
      <w:pPr>
        <w:rPr>
          <w:b w:val="0"/>
        </w:rPr>
      </w:pPr>
    </w:p>
    <w:p>
      <w:r>
        <w:t>- Supervisión de obras de casinos en construcción:</w:t>
      </w:r>
    </w:p>
    <w:p>
      <w:pPr>
        <w:rPr>
          <w:b w:val="0"/>
        </w:rPr>
      </w:pPr>
    </w:p>
    <w:p>
      <w:pPr>
        <w:rPr>
          <w:b w:val="0"/>
        </w:rPr>
      </w:pPr>
      <w:r>
        <w:rPr>
          <w:b w:val="0"/>
        </w:rPr>
        <w:tab/>
        <w:t>Durante el año 2017, se debe realizar la inspección técnica de las obras y certificación para el inicio de operaciones del casino de juego ubicado en la comuna de Arica, así como iniciar la inspección técnica de obras del casino de juego de la comuna de Chillán.</w:t>
      </w:r>
    </w:p>
    <w:p>
      <w:pPr>
        <w:rPr>
          <w:b w:val="0"/>
        </w:rPr>
      </w:pPr>
    </w:p>
    <w:p>
      <w:pPr>
        <w:rPr>
          <w:b w:val="0"/>
        </w:rPr>
      </w:pPr>
    </w:p>
    <w:p>
      <w:r>
        <w:rPr>
          <w:b w:val="0"/>
        </w:rPr>
        <w:tab/>
      </w:r>
      <w:r>
        <w:t>Terminada la presentación del señor Superintendente de Casinos, los señores parlamentarios formularon las siguientes consultas:</w:t>
      </w:r>
    </w:p>
    <w:p>
      <w:pPr>
        <w:rPr>
          <w:b w:val="0"/>
        </w:rPr>
      </w:pPr>
    </w:p>
    <w:p>
      <w:pPr>
        <w:rPr>
          <w:b w:val="0"/>
        </w:rPr>
      </w:pPr>
      <w:r>
        <w:rPr>
          <w:b w:val="0"/>
        </w:rPr>
        <w:tab/>
      </w:r>
      <w:r>
        <w:t>El Presidente de la Subcomisión, Honorable Diputado señor De Mussy</w:t>
      </w:r>
      <w:r>
        <w:rPr>
          <w:b w:val="0"/>
        </w:rPr>
        <w:t xml:space="preserve"> consultó respecto del aumento en viáticos.</w:t>
      </w:r>
    </w:p>
    <w:p>
      <w:pPr>
        <w:rPr>
          <w:b w:val="0"/>
        </w:rPr>
      </w:pPr>
    </w:p>
    <w:p>
      <w:pPr>
        <w:rPr>
          <w:b w:val="0"/>
        </w:rPr>
      </w:pPr>
    </w:p>
    <w:p>
      <w:pPr>
        <w:rPr>
          <w:b w:val="0"/>
        </w:rPr>
      </w:pPr>
      <w:r>
        <w:rPr>
          <w:b w:val="0"/>
        </w:rPr>
        <w:tab/>
      </w:r>
      <w:r>
        <w:t>El Superintendente de Casinos señor Daniel García</w:t>
      </w:r>
      <w:r>
        <w:rPr>
          <w:b w:val="0"/>
        </w:rPr>
        <w:t xml:space="preserve"> respondió que este año hay un aumento en la dotación de 54 a 59 profesionales que dedican la mayor parte de su tiempo al proceso de otorgamiento de permisos de casinos municipales que el año 2017 deberían estar fiscalizando y, por lo tanto, se requieren más viáticos nacionales de fiscalización, por eso se aumentan. Es un aumento de glosa no de presupuesto.</w:t>
      </w:r>
    </w:p>
    <w:p>
      <w:pPr>
        <w:rPr>
          <w:b w:val="0"/>
        </w:rPr>
      </w:pPr>
    </w:p>
    <w:p>
      <w:pPr>
        <w:rPr>
          <w:b w:val="0"/>
        </w:rPr>
      </w:pPr>
    </w:p>
    <w:p>
      <w:pPr>
        <w:rPr>
          <w:lang w:val="es-ES_tradnl"/>
        </w:rPr>
      </w:pPr>
      <w:r>
        <w:rPr>
          <w:lang w:val="es-ES_tradnl"/>
        </w:rPr>
        <w:tab/>
        <w:t>Sometido a votación el Capítulo 17, Programa 01, fue aprobado sin enmiendas por la unanimidad de los miembros presentes de la Subcomisión, Honorable Diputado señor De Mussy (Presidente), Honorables Senadores señores Coloma y Tuma, y Honorables Diputados señores Schilling y Silva.</w:t>
      </w:r>
    </w:p>
    <w:p>
      <w:pPr>
        <w:rPr>
          <w:b w:val="0"/>
          <w:lang w:val="es-ES_tradnl"/>
        </w:rPr>
      </w:pPr>
    </w:p>
    <w:p>
      <w:pPr>
        <w:jc w:val="center"/>
        <w:rPr>
          <w:rFonts w:eastAsia="Times New Roman"/>
          <w:lang w:eastAsia="es-ES"/>
        </w:rPr>
      </w:pPr>
      <w:r>
        <w:rPr>
          <w:rFonts w:eastAsia="Times New Roman"/>
          <w:lang w:eastAsia="es-ES"/>
        </w:rPr>
        <w:t>CAPITULO 30</w:t>
      </w:r>
    </w:p>
    <w:p>
      <w:pPr>
        <w:jc w:val="center"/>
        <w:rPr>
          <w:rFonts w:eastAsia="Times New Roman"/>
          <w:lang w:eastAsia="es-ES"/>
        </w:rPr>
      </w:pPr>
    </w:p>
    <w:p>
      <w:pPr>
        <w:jc w:val="center"/>
        <w:rPr>
          <w:rFonts w:eastAsia="Times New Roman"/>
          <w:lang w:eastAsia="es-ES"/>
        </w:rPr>
      </w:pPr>
      <w:r>
        <w:rPr>
          <w:rFonts w:eastAsia="Times New Roman"/>
          <w:lang w:eastAsia="es-ES"/>
        </w:rPr>
        <w:t>Programa 01</w:t>
      </w:r>
    </w:p>
    <w:p>
      <w:pPr>
        <w:jc w:val="center"/>
        <w:rPr>
          <w:rFonts w:eastAsia="Times New Roman"/>
          <w:lang w:eastAsia="es-ES"/>
        </w:rPr>
      </w:pPr>
      <w:r>
        <w:rPr>
          <w:rFonts w:eastAsia="Times New Roman"/>
          <w:lang w:eastAsia="es-ES"/>
        </w:rPr>
        <w:t>Consejo de Defensa del Estado</w:t>
      </w:r>
    </w:p>
    <w:p>
      <w:pPr>
        <w:rPr>
          <w:rFonts w:eastAsia="Times New Roman"/>
          <w:lang w:eastAsia="es-ES"/>
        </w:rPr>
      </w:pPr>
    </w:p>
    <w:p>
      <w:pPr>
        <w:rPr>
          <w:rFonts w:eastAsia="Times New Roman"/>
          <w:b w:val="0"/>
          <w:lang w:eastAsia="es-ES"/>
        </w:rPr>
      </w:pPr>
      <w:r>
        <w:rPr>
          <w:rFonts w:eastAsia="Times New Roman"/>
          <w:lang w:eastAsia="es-ES"/>
        </w:rPr>
        <w:tab/>
      </w:r>
      <w:r>
        <w:rPr>
          <w:rFonts w:eastAsia="Times New Roman"/>
          <w:b w:val="0"/>
          <w:lang w:eastAsia="es-ES"/>
        </w:rPr>
        <w:t xml:space="preserve">Considera ingresos y gastos por </w:t>
      </w:r>
      <w:r>
        <w:rPr>
          <w:rFonts w:eastAsia="Times New Roman"/>
          <w:lang w:eastAsia="es-ES"/>
        </w:rPr>
        <w:t>$ 21.366.570 miles</w:t>
      </w:r>
      <w:r>
        <w:rPr>
          <w:rFonts w:eastAsia="Times New Roman"/>
          <w:b w:val="0"/>
          <w:lang w:eastAsia="es-ES"/>
        </w:rPr>
        <w:t>.</w:t>
      </w:r>
    </w:p>
    <w:p>
      <w:pPr>
        <w:rPr>
          <w:rFonts w:eastAsia="Times New Roman"/>
          <w:b w:val="0"/>
          <w:lang w:eastAsia="es-ES"/>
        </w:rPr>
      </w:pPr>
    </w:p>
    <w:p>
      <w:pPr>
        <w:rPr>
          <w:rFonts w:eastAsia="Times New Roman"/>
          <w:b w:val="0"/>
          <w:lang w:eastAsia="es-ES"/>
        </w:rPr>
      </w:pPr>
      <w:r>
        <w:rPr>
          <w:rFonts w:eastAsia="Times New Roman"/>
          <w:b w:val="0"/>
          <w:lang w:eastAsia="es-ES"/>
        </w:rPr>
        <w:tab/>
        <w:t xml:space="preserve">El presupuesto aprobado para este Consejo para el año en curso es de $ 20.483.612 miles, lo que implica una variación de 4,3%. </w:t>
      </w:r>
    </w:p>
    <w:p>
      <w:pPr>
        <w:rPr>
          <w:rFonts w:eastAsia="Times New Roman"/>
          <w:b w:val="0"/>
          <w:lang w:eastAsia="es-ES"/>
        </w:rPr>
      </w:pPr>
    </w:p>
    <w:p>
      <w:pPr>
        <w:rPr>
          <w:rFonts w:eastAsia="Times New Roman"/>
          <w:lang w:eastAsia="es-ES"/>
        </w:rPr>
      </w:pPr>
      <w:r>
        <w:rPr>
          <w:rFonts w:eastAsia="Times New Roman"/>
          <w:b w:val="0"/>
          <w:lang w:eastAsia="es-ES"/>
        </w:rPr>
        <w:tab/>
      </w:r>
      <w:r>
        <w:rPr>
          <w:rFonts w:eastAsia="Times New Roman"/>
          <w:lang w:eastAsia="es-ES"/>
        </w:rPr>
        <w:t xml:space="preserve">El Presidente del Consejo de Defensa del Estado señor Juan Ignacio Piña </w:t>
      </w:r>
      <w:r>
        <w:rPr>
          <w:rFonts w:eastAsia="Times New Roman"/>
          <w:b w:val="0"/>
          <w:lang w:eastAsia="es-ES"/>
        </w:rPr>
        <w:t>inició su presentación señalando los lineamientos estratégicos de su institución, que son los siguientes:</w:t>
      </w:r>
    </w:p>
    <w:p>
      <w:pPr>
        <w:rPr>
          <w:b w:val="0"/>
        </w:rPr>
      </w:pPr>
    </w:p>
    <w:p>
      <w:pPr>
        <w:rPr>
          <w:b w:val="0"/>
        </w:rPr>
      </w:pPr>
      <w:r>
        <w:rPr>
          <w:b w:val="0"/>
        </w:rPr>
        <w:tab/>
        <w:t xml:space="preserve">1.- En materia de </w:t>
      </w:r>
      <w:r>
        <w:t>defensa y representación judicial del interés fiscal</w:t>
      </w:r>
      <w:r>
        <w:rPr>
          <w:b w:val="0"/>
        </w:rPr>
        <w:t>. Junto con mantener los altos estándares institucionales en materia de defensa del interés fiscal, se implementará un protocolo de relacionamiento con los clientes, orientado en brindar un mejor servicio y alcanzar mejores grados de eficiencia en los procesos jurídicos.</w:t>
      </w:r>
    </w:p>
    <w:p>
      <w:pPr>
        <w:rPr>
          <w:b w:val="0"/>
        </w:rPr>
      </w:pPr>
    </w:p>
    <w:p>
      <w:pPr>
        <w:rPr>
          <w:b w:val="0"/>
        </w:rPr>
      </w:pPr>
      <w:r>
        <w:rPr>
          <w:b w:val="0"/>
        </w:rPr>
        <w:tab/>
        <w:t xml:space="preserve">2.- </w:t>
      </w:r>
      <w:r>
        <w:t>Mediación por daños en salud</w:t>
      </w:r>
      <w:r>
        <w:rPr>
          <w:b w:val="0"/>
        </w:rPr>
        <w:t xml:space="preserve">. Intercambiar información clave con establecimientos públicos de salud, a fin de apoyar su proceso de toma de decisión. Junto con ello, promover la suscripción de alianzas con Servicios del Estado que desarrollen modelo de resolución colaborativa de conflictos,   </w:t>
      </w:r>
    </w:p>
    <w:p>
      <w:pPr>
        <w:rPr>
          <w:b w:val="0"/>
        </w:rPr>
      </w:pPr>
    </w:p>
    <w:p>
      <w:pPr>
        <w:rPr>
          <w:b w:val="0"/>
        </w:rPr>
      </w:pPr>
      <w:r>
        <w:rPr>
          <w:b w:val="0"/>
        </w:rPr>
        <w:tab/>
        <w:t xml:space="preserve">3.- </w:t>
      </w:r>
      <w:r>
        <w:t>Modernización Institucional</w:t>
      </w:r>
      <w:r>
        <w:rPr>
          <w:b w:val="0"/>
        </w:rPr>
        <w:t>. Finalizar programa de modernización institucional, implementando nuevo diseño de integración con CAPJ (Corporación Administrativa del Poder Judicial), mejoras a los sistemas de RRHH y despliegue del rediseño de los procesos de negocio a nivel nacional.</w:t>
      </w:r>
    </w:p>
    <w:p>
      <w:pPr>
        <w:rPr>
          <w:b w:val="0"/>
        </w:rPr>
      </w:pPr>
    </w:p>
    <w:p>
      <w:pPr>
        <w:rPr>
          <w:b w:val="0"/>
        </w:rPr>
      </w:pPr>
      <w:r>
        <w:rPr>
          <w:b w:val="0"/>
        </w:rPr>
        <w:tab/>
        <w:t xml:space="preserve">4.- </w:t>
      </w:r>
      <w:r>
        <w:t>Mejoramiento de infraestructura física y tecnológica de la Institución</w:t>
      </w:r>
      <w:r>
        <w:rPr>
          <w:b w:val="0"/>
        </w:rPr>
        <w:t xml:space="preserve">. Finalizar proyecto de remodelación de la Procuraduría Fiscal de San Miguel. Mantener operativas plataformas de videoconferencias orientadas a la conectividad de las Procuradurías Fiscales. </w:t>
      </w:r>
    </w:p>
    <w:p>
      <w:pPr>
        <w:rPr>
          <w:b w:val="0"/>
        </w:rPr>
      </w:pPr>
    </w:p>
    <w:p>
      <w:pPr>
        <w:rPr>
          <w:b w:val="0"/>
        </w:rPr>
      </w:pPr>
      <w:r>
        <w:rPr>
          <w:b w:val="0"/>
        </w:rPr>
        <w:tab/>
        <w:t xml:space="preserve">5.- </w:t>
      </w:r>
      <w:r>
        <w:t>Gestión y Desarrollo de las Personas</w:t>
      </w:r>
      <w:r>
        <w:rPr>
          <w:b w:val="0"/>
        </w:rPr>
        <w:t>. Diseñar y aplicar un plan piloto de capacitación especializada para abogados litigantes. Implementar nuevo reglamento y procedimiento de gestión del desempeño.</w:t>
      </w:r>
    </w:p>
    <w:p>
      <w:pPr>
        <w:rPr>
          <w:b w:val="0"/>
        </w:rPr>
      </w:pPr>
    </w:p>
    <w:p>
      <w:pPr>
        <w:rPr>
          <w:b w:val="0"/>
        </w:rPr>
      </w:pPr>
      <w:r>
        <w:rPr>
          <w:b w:val="0"/>
        </w:rPr>
        <w:tab/>
        <w:t>A continuación, explicó las cifras presupuestarias comparadas entre el presupuesto del año 2017 y la Ley de Presupuestos del año 2016:</w:t>
      </w:r>
    </w:p>
    <w:p>
      <w:pPr>
        <w:rPr>
          <w:b w:val="0"/>
        </w:rPr>
      </w:pPr>
    </w:p>
    <w:p>
      <w:pPr>
        <w:jc w:val="center"/>
      </w:pPr>
      <w:r>
        <w:t>Presupuestos 2017 – cifras comparadas</w:t>
      </w:r>
    </w:p>
    <w:p>
      <w:pPr>
        <w:rPr>
          <w:b w:val="0"/>
        </w:rPr>
      </w:pPr>
    </w:p>
    <w:tbl>
      <w:tblPr>
        <w:tblW w:w="9083" w:type="dxa"/>
        <w:tblCellMar>
          <w:left w:w="0" w:type="dxa"/>
          <w:right w:w="0" w:type="dxa"/>
        </w:tblCellMar>
        <w:tblLook w:val="0600" w:firstRow="0" w:lastRow="0" w:firstColumn="0" w:lastColumn="0" w:noHBand="1" w:noVBand="1"/>
      </w:tblPr>
      <w:tblGrid>
        <w:gridCol w:w="3892"/>
        <w:gridCol w:w="1410"/>
        <w:gridCol w:w="1410"/>
        <w:gridCol w:w="1297"/>
        <w:gridCol w:w="1074"/>
      </w:tblGrid>
      <w:tr>
        <w:trPr>
          <w:trHeight w:val="400"/>
        </w:trPr>
        <w:tc>
          <w:tcPr>
            <w:tcW w:w="3893" w:type="dxa"/>
            <w:vMerge w:val="restart"/>
            <w:tcBorders>
              <w:top w:val="nil"/>
              <w:left w:val="nil"/>
              <w:bottom w:val="single" w:sz="8" w:space="0" w:color="FFFFFF"/>
              <w:right w:val="single" w:sz="8" w:space="0" w:color="FFFFFF"/>
            </w:tcBorders>
            <w:shd w:val="clear" w:color="auto" w:fill="B9CDE5"/>
            <w:tcMar>
              <w:top w:w="15" w:type="dxa"/>
              <w:left w:w="15" w:type="dxa"/>
              <w:bottom w:w="0" w:type="dxa"/>
              <w:right w:w="15" w:type="dxa"/>
            </w:tcMar>
            <w:hideMark/>
          </w:tcPr>
          <w:p>
            <w:pPr>
              <w:tabs>
                <w:tab w:val="clear" w:pos="2835"/>
              </w:tabs>
              <w:jc w:val="left"/>
              <w:textAlignment w:val="top"/>
              <w:rPr>
                <w:rFonts w:eastAsia="Times New Roman"/>
                <w:b w:val="0"/>
                <w:sz w:val="18"/>
                <w:szCs w:val="18"/>
                <w:lang w:eastAsia="es-CL"/>
              </w:rPr>
            </w:pPr>
            <w:r>
              <w:rPr>
                <w:rFonts w:eastAsia="Times New Roman"/>
                <w:bCs/>
                <w:color w:val="000000"/>
                <w:kern w:val="24"/>
                <w:sz w:val="18"/>
                <w:szCs w:val="18"/>
                <w:lang w:eastAsia="es-CL"/>
              </w:rPr>
              <w:t>CAPÍTULO 30 - Programa 01</w:t>
            </w:r>
            <w:r>
              <w:rPr>
                <w:rFonts w:eastAsia="Times New Roman"/>
                <w:bCs/>
                <w:color w:val="000000"/>
                <w:kern w:val="24"/>
                <w:sz w:val="18"/>
                <w:szCs w:val="18"/>
                <w:lang w:eastAsia="es-CL"/>
              </w:rPr>
              <w:br/>
              <w:t>CONSEJO DE DEFENSA DEL ESTADO</w:t>
            </w:r>
          </w:p>
        </w:tc>
        <w:tc>
          <w:tcPr>
            <w:tcW w:w="2819" w:type="dxa"/>
            <w:gridSpan w:val="2"/>
            <w:tcBorders>
              <w:top w:val="single" w:sz="8" w:space="0" w:color="FFFFFF"/>
              <w:left w:val="single" w:sz="8" w:space="0" w:color="FFFFFF"/>
              <w:bottom w:val="single" w:sz="8" w:space="0" w:color="FFFFFF"/>
              <w:right w:val="single" w:sz="8" w:space="0" w:color="FFFFFF"/>
            </w:tcBorders>
            <w:shd w:val="clear" w:color="auto" w:fill="B9CDE5"/>
            <w:tcMar>
              <w:top w:w="15" w:type="dxa"/>
              <w:left w:w="15" w:type="dxa"/>
              <w:bottom w:w="0" w:type="dxa"/>
              <w:right w:w="15" w:type="dxa"/>
            </w:tcMar>
            <w:hideMark/>
          </w:tcPr>
          <w:p>
            <w:pPr>
              <w:tabs>
                <w:tab w:val="clear" w:pos="2835"/>
              </w:tabs>
              <w:jc w:val="center"/>
              <w:textAlignment w:val="top"/>
              <w:rPr>
                <w:rFonts w:eastAsia="Times New Roman"/>
                <w:b w:val="0"/>
                <w:sz w:val="18"/>
                <w:szCs w:val="18"/>
                <w:lang w:eastAsia="es-CL"/>
              </w:rPr>
            </w:pPr>
            <w:r>
              <w:rPr>
                <w:rFonts w:eastAsia="Times New Roman"/>
                <w:bCs/>
                <w:color w:val="000000"/>
                <w:kern w:val="24"/>
                <w:sz w:val="18"/>
                <w:szCs w:val="18"/>
                <w:lang w:eastAsia="es-CL"/>
              </w:rPr>
              <w:t>Ley de Presupuesto</w:t>
            </w:r>
          </w:p>
        </w:tc>
        <w:tc>
          <w:tcPr>
            <w:tcW w:w="2371" w:type="dxa"/>
            <w:gridSpan w:val="2"/>
            <w:tcBorders>
              <w:top w:val="single" w:sz="8" w:space="0" w:color="FFFFFF"/>
              <w:left w:val="single" w:sz="8" w:space="0" w:color="FFFFFF"/>
              <w:bottom w:val="single" w:sz="8" w:space="0" w:color="FFFFFF"/>
              <w:right w:val="single" w:sz="8" w:space="0" w:color="FFFFFF"/>
            </w:tcBorders>
            <w:shd w:val="clear" w:color="auto" w:fill="B9CDE5"/>
            <w:tcMar>
              <w:top w:w="15" w:type="dxa"/>
              <w:left w:w="15" w:type="dxa"/>
              <w:bottom w:w="0" w:type="dxa"/>
              <w:right w:w="15" w:type="dxa"/>
            </w:tcMar>
            <w:hideMark/>
          </w:tcPr>
          <w:p>
            <w:pPr>
              <w:tabs>
                <w:tab w:val="clear" w:pos="2835"/>
              </w:tabs>
              <w:jc w:val="center"/>
              <w:textAlignment w:val="top"/>
              <w:rPr>
                <w:rFonts w:eastAsia="Times New Roman"/>
                <w:b w:val="0"/>
                <w:sz w:val="18"/>
                <w:szCs w:val="18"/>
                <w:lang w:eastAsia="es-CL"/>
              </w:rPr>
            </w:pPr>
            <w:r>
              <w:rPr>
                <w:rFonts w:eastAsia="Times New Roman"/>
                <w:bCs/>
                <w:color w:val="000000"/>
                <w:kern w:val="24"/>
                <w:sz w:val="18"/>
                <w:szCs w:val="18"/>
                <w:lang w:eastAsia="es-CL"/>
              </w:rPr>
              <w:t>Variación</w:t>
            </w:r>
          </w:p>
        </w:tc>
      </w:tr>
      <w:tr>
        <w:trPr>
          <w:trHeight w:val="786"/>
        </w:trPr>
        <w:tc>
          <w:tcPr>
            <w:tcW w:w="0" w:type="auto"/>
            <w:vMerge/>
            <w:tcBorders>
              <w:top w:val="nil"/>
              <w:left w:val="nil"/>
              <w:bottom w:val="single" w:sz="8" w:space="0" w:color="FFFFFF"/>
              <w:right w:val="single" w:sz="8" w:space="0" w:color="FFFFFF"/>
            </w:tcBorders>
            <w:vAlign w:val="center"/>
            <w:hideMark/>
          </w:tcPr>
          <w:p>
            <w:pPr>
              <w:tabs>
                <w:tab w:val="clear" w:pos="2835"/>
              </w:tabs>
              <w:jc w:val="left"/>
              <w:rPr>
                <w:rFonts w:eastAsia="Times New Roman"/>
                <w:b w:val="0"/>
                <w:sz w:val="18"/>
                <w:szCs w:val="18"/>
                <w:lang w:eastAsia="es-CL"/>
              </w:rPr>
            </w:pPr>
          </w:p>
        </w:tc>
        <w:tc>
          <w:tcPr>
            <w:tcW w:w="1410" w:type="dxa"/>
            <w:tcBorders>
              <w:top w:val="single" w:sz="8" w:space="0" w:color="FFFFFF"/>
              <w:left w:val="single" w:sz="8" w:space="0" w:color="FFFFFF"/>
              <w:bottom w:val="single" w:sz="8" w:space="0" w:color="FFFFFF"/>
              <w:right w:val="single" w:sz="8" w:space="0" w:color="FFFFFF"/>
            </w:tcBorders>
            <w:shd w:val="clear" w:color="auto" w:fill="B9CDE5"/>
            <w:tcMar>
              <w:top w:w="15" w:type="dxa"/>
              <w:left w:w="15" w:type="dxa"/>
              <w:bottom w:w="0" w:type="dxa"/>
              <w:right w:w="15" w:type="dxa"/>
            </w:tcMar>
            <w:hideMark/>
          </w:tcPr>
          <w:p>
            <w:pPr>
              <w:tabs>
                <w:tab w:val="clear" w:pos="2835"/>
              </w:tabs>
              <w:jc w:val="left"/>
              <w:textAlignment w:val="top"/>
              <w:rPr>
                <w:rFonts w:eastAsia="Times New Roman"/>
                <w:b w:val="0"/>
                <w:sz w:val="18"/>
                <w:szCs w:val="18"/>
                <w:lang w:eastAsia="es-CL"/>
              </w:rPr>
            </w:pPr>
            <w:r>
              <w:rPr>
                <w:rFonts w:eastAsia="Times New Roman"/>
                <w:bCs/>
                <w:color w:val="000000"/>
                <w:kern w:val="24"/>
                <w:sz w:val="18"/>
                <w:szCs w:val="18"/>
                <w:lang w:eastAsia="es-CL"/>
              </w:rPr>
              <w:t>Año 2016</w:t>
            </w:r>
            <w:r>
              <w:rPr>
                <w:rFonts w:eastAsia="Times New Roman"/>
                <w:bCs/>
                <w:color w:val="000000"/>
                <w:kern w:val="24"/>
                <w:sz w:val="18"/>
                <w:szCs w:val="18"/>
                <w:lang w:eastAsia="es-CL"/>
              </w:rPr>
              <w:br/>
              <w:t>(M$ 2017)</w:t>
            </w:r>
          </w:p>
        </w:tc>
        <w:tc>
          <w:tcPr>
            <w:tcW w:w="1410" w:type="dxa"/>
            <w:tcBorders>
              <w:top w:val="single" w:sz="8" w:space="0" w:color="FFFFFF"/>
              <w:left w:val="single" w:sz="8" w:space="0" w:color="FFFFFF"/>
              <w:bottom w:val="single" w:sz="8" w:space="0" w:color="FFFFFF"/>
              <w:right w:val="single" w:sz="8" w:space="0" w:color="FFFFFF"/>
            </w:tcBorders>
            <w:shd w:val="clear" w:color="auto" w:fill="B9CDE5"/>
            <w:tcMar>
              <w:top w:w="15" w:type="dxa"/>
              <w:left w:w="15" w:type="dxa"/>
              <w:bottom w:w="0" w:type="dxa"/>
              <w:right w:w="15" w:type="dxa"/>
            </w:tcMar>
            <w:hideMark/>
          </w:tcPr>
          <w:p>
            <w:pPr>
              <w:tabs>
                <w:tab w:val="clear" w:pos="2835"/>
              </w:tabs>
              <w:jc w:val="left"/>
              <w:textAlignment w:val="top"/>
              <w:rPr>
                <w:rFonts w:eastAsia="Times New Roman"/>
                <w:b w:val="0"/>
                <w:sz w:val="18"/>
                <w:szCs w:val="18"/>
                <w:lang w:eastAsia="es-CL"/>
              </w:rPr>
            </w:pPr>
            <w:r>
              <w:rPr>
                <w:rFonts w:eastAsia="Times New Roman"/>
                <w:bCs/>
                <w:color w:val="000000"/>
                <w:kern w:val="24"/>
                <w:sz w:val="18"/>
                <w:szCs w:val="18"/>
                <w:lang w:eastAsia="es-CL"/>
              </w:rPr>
              <w:t>Año 2017</w:t>
            </w:r>
            <w:r>
              <w:rPr>
                <w:rFonts w:eastAsia="Times New Roman"/>
                <w:bCs/>
                <w:color w:val="000000"/>
                <w:kern w:val="24"/>
                <w:sz w:val="18"/>
                <w:szCs w:val="18"/>
                <w:lang w:eastAsia="es-CL"/>
              </w:rPr>
              <w:br/>
              <w:t>(M$ 2017)</w:t>
            </w:r>
          </w:p>
        </w:tc>
        <w:tc>
          <w:tcPr>
            <w:tcW w:w="1297" w:type="dxa"/>
            <w:tcBorders>
              <w:top w:val="single" w:sz="8" w:space="0" w:color="FFFFFF"/>
              <w:left w:val="single" w:sz="8" w:space="0" w:color="FFFFFF"/>
              <w:bottom w:val="single" w:sz="8" w:space="0" w:color="FFFFFF"/>
              <w:right w:val="single" w:sz="8" w:space="0" w:color="FFFFFF"/>
            </w:tcBorders>
            <w:shd w:val="clear" w:color="auto" w:fill="B9CDE5"/>
            <w:tcMar>
              <w:top w:w="15" w:type="dxa"/>
              <w:left w:w="15" w:type="dxa"/>
              <w:bottom w:w="0" w:type="dxa"/>
              <w:right w:w="15" w:type="dxa"/>
            </w:tcMar>
            <w:hideMark/>
          </w:tcPr>
          <w:p>
            <w:pPr>
              <w:tabs>
                <w:tab w:val="clear" w:pos="2835"/>
              </w:tabs>
              <w:jc w:val="center"/>
              <w:textAlignment w:val="top"/>
              <w:rPr>
                <w:rFonts w:eastAsia="Times New Roman"/>
                <w:b w:val="0"/>
                <w:sz w:val="18"/>
                <w:szCs w:val="18"/>
                <w:lang w:eastAsia="es-CL"/>
              </w:rPr>
            </w:pPr>
            <w:r>
              <w:rPr>
                <w:rFonts w:eastAsia="Times New Roman"/>
                <w:bCs/>
                <w:color w:val="000000"/>
                <w:kern w:val="24"/>
                <w:sz w:val="18"/>
                <w:szCs w:val="18"/>
                <w:lang w:eastAsia="es-CL"/>
              </w:rPr>
              <w:t>(M$ 2017)</w:t>
            </w:r>
          </w:p>
        </w:tc>
        <w:tc>
          <w:tcPr>
            <w:tcW w:w="1073" w:type="dxa"/>
            <w:tcBorders>
              <w:top w:val="single" w:sz="8" w:space="0" w:color="FFFFFF"/>
              <w:left w:val="single" w:sz="8" w:space="0" w:color="FFFFFF"/>
              <w:bottom w:val="single" w:sz="8" w:space="0" w:color="FFFFFF"/>
              <w:right w:val="single" w:sz="8" w:space="0" w:color="FFFFFF"/>
            </w:tcBorders>
            <w:shd w:val="clear" w:color="auto" w:fill="B9CDE5"/>
            <w:tcMar>
              <w:top w:w="15" w:type="dxa"/>
              <w:left w:w="15" w:type="dxa"/>
              <w:bottom w:w="0" w:type="dxa"/>
              <w:right w:w="15" w:type="dxa"/>
            </w:tcMar>
            <w:hideMark/>
          </w:tcPr>
          <w:p>
            <w:pPr>
              <w:tabs>
                <w:tab w:val="clear" w:pos="2835"/>
              </w:tabs>
              <w:jc w:val="center"/>
              <w:textAlignment w:val="top"/>
              <w:rPr>
                <w:rFonts w:eastAsia="Times New Roman"/>
                <w:b w:val="0"/>
                <w:sz w:val="18"/>
                <w:szCs w:val="18"/>
                <w:lang w:eastAsia="es-CL"/>
              </w:rPr>
            </w:pPr>
            <w:r>
              <w:rPr>
                <w:rFonts w:eastAsia="Times New Roman"/>
                <w:bCs/>
                <w:color w:val="000000"/>
                <w:kern w:val="24"/>
                <w:sz w:val="18"/>
                <w:szCs w:val="18"/>
                <w:lang w:eastAsia="es-CL"/>
              </w:rPr>
              <w:t>(%)</w:t>
            </w:r>
          </w:p>
        </w:tc>
      </w:tr>
      <w:tr>
        <w:trPr>
          <w:trHeight w:val="400"/>
        </w:trPr>
        <w:tc>
          <w:tcPr>
            <w:tcW w:w="3893" w:type="dxa"/>
            <w:tcBorders>
              <w:top w:val="single" w:sz="8" w:space="0" w:color="FFFFFF"/>
              <w:left w:val="single" w:sz="8" w:space="0" w:color="FFFFFF"/>
              <w:bottom w:val="single" w:sz="8" w:space="0" w:color="FFFFFF"/>
              <w:right w:val="single" w:sz="8" w:space="0" w:color="FFFFFF"/>
            </w:tcBorders>
            <w:shd w:val="clear" w:color="auto" w:fill="C6D9F1"/>
            <w:tcMar>
              <w:top w:w="15" w:type="dxa"/>
              <w:left w:w="15" w:type="dxa"/>
              <w:bottom w:w="0" w:type="dxa"/>
              <w:right w:w="15" w:type="dxa"/>
            </w:tcMar>
            <w:vAlign w:val="center"/>
            <w:hideMark/>
          </w:tcPr>
          <w:p>
            <w:pPr>
              <w:tabs>
                <w:tab w:val="clear" w:pos="2835"/>
              </w:tabs>
              <w:jc w:val="left"/>
              <w:textAlignment w:val="center"/>
              <w:rPr>
                <w:rFonts w:eastAsia="Times New Roman"/>
                <w:b w:val="0"/>
                <w:sz w:val="18"/>
                <w:szCs w:val="18"/>
                <w:lang w:eastAsia="es-CL"/>
              </w:rPr>
            </w:pPr>
            <w:r>
              <w:rPr>
                <w:rFonts w:eastAsia="Times New Roman"/>
                <w:bCs/>
                <w:color w:val="000000"/>
                <w:kern w:val="24"/>
                <w:sz w:val="18"/>
                <w:szCs w:val="18"/>
                <w:lang w:eastAsia="es-CL"/>
              </w:rPr>
              <w:t>TOTAL</w:t>
            </w:r>
          </w:p>
        </w:tc>
        <w:tc>
          <w:tcPr>
            <w:tcW w:w="1410" w:type="dxa"/>
            <w:tcBorders>
              <w:top w:val="single" w:sz="8" w:space="0" w:color="FFFFFF"/>
              <w:left w:val="single" w:sz="8" w:space="0" w:color="FFFFFF"/>
              <w:bottom w:val="single" w:sz="8" w:space="0" w:color="FFFFFF"/>
              <w:right w:val="single" w:sz="8" w:space="0" w:color="FFFFFF"/>
            </w:tcBorders>
            <w:shd w:val="clear" w:color="auto" w:fill="C6D9F1"/>
            <w:tcMar>
              <w:top w:w="15" w:type="dxa"/>
              <w:left w:w="15" w:type="dxa"/>
              <w:bottom w:w="0" w:type="dxa"/>
              <w:right w:w="15"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Cs/>
                <w:color w:val="000000"/>
                <w:kern w:val="24"/>
                <w:sz w:val="18"/>
                <w:szCs w:val="18"/>
                <w:lang w:val="es-ES" w:eastAsia="es-CL"/>
              </w:rPr>
              <w:t>20.483.612</w:t>
            </w:r>
          </w:p>
        </w:tc>
        <w:tc>
          <w:tcPr>
            <w:tcW w:w="1410" w:type="dxa"/>
            <w:tcBorders>
              <w:top w:val="single" w:sz="8" w:space="0" w:color="FFFFFF"/>
              <w:left w:val="single" w:sz="8" w:space="0" w:color="FFFFFF"/>
              <w:bottom w:val="single" w:sz="8" w:space="0" w:color="FFFFFF"/>
              <w:right w:val="single" w:sz="8" w:space="0" w:color="FFFFFF"/>
            </w:tcBorders>
            <w:shd w:val="clear" w:color="auto" w:fill="C6D9F1"/>
            <w:tcMar>
              <w:top w:w="15" w:type="dxa"/>
              <w:left w:w="15" w:type="dxa"/>
              <w:bottom w:w="0" w:type="dxa"/>
              <w:right w:w="15"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Cs/>
                <w:color w:val="000000"/>
                <w:kern w:val="24"/>
                <w:sz w:val="18"/>
                <w:szCs w:val="18"/>
                <w:lang w:eastAsia="es-CL"/>
              </w:rPr>
              <w:t>21.366.570</w:t>
            </w:r>
          </w:p>
        </w:tc>
        <w:tc>
          <w:tcPr>
            <w:tcW w:w="1297" w:type="dxa"/>
            <w:tcBorders>
              <w:top w:val="single" w:sz="8" w:space="0" w:color="FFFFFF"/>
              <w:left w:val="single" w:sz="8" w:space="0" w:color="FFFFFF"/>
              <w:bottom w:val="single" w:sz="8" w:space="0" w:color="FFFFFF"/>
              <w:right w:val="single" w:sz="8" w:space="0" w:color="FFFFFF"/>
            </w:tcBorders>
            <w:shd w:val="clear" w:color="auto" w:fill="C6D9F1"/>
            <w:tcMar>
              <w:top w:w="15" w:type="dxa"/>
              <w:left w:w="15" w:type="dxa"/>
              <w:bottom w:w="0" w:type="dxa"/>
              <w:right w:w="15"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Cs/>
                <w:color w:val="000000"/>
                <w:kern w:val="24"/>
                <w:sz w:val="18"/>
                <w:szCs w:val="18"/>
                <w:lang w:val="es-ES" w:eastAsia="es-CL"/>
              </w:rPr>
              <w:t>882.958</w:t>
            </w:r>
          </w:p>
        </w:tc>
        <w:tc>
          <w:tcPr>
            <w:tcW w:w="1073" w:type="dxa"/>
            <w:tcBorders>
              <w:top w:val="single" w:sz="8" w:space="0" w:color="FFFFFF"/>
              <w:left w:val="single" w:sz="8" w:space="0" w:color="FFFFFF"/>
              <w:bottom w:val="single" w:sz="8" w:space="0" w:color="FFFFFF"/>
              <w:right w:val="single" w:sz="8" w:space="0" w:color="FFFFFF"/>
            </w:tcBorders>
            <w:shd w:val="clear" w:color="auto" w:fill="C6D9F1"/>
            <w:tcMar>
              <w:top w:w="15" w:type="dxa"/>
              <w:left w:w="15" w:type="dxa"/>
              <w:bottom w:w="0" w:type="dxa"/>
              <w:right w:w="15"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Cs/>
                <w:color w:val="000000"/>
                <w:kern w:val="24"/>
                <w:sz w:val="18"/>
                <w:szCs w:val="18"/>
                <w:lang w:val="es-ES" w:eastAsia="es-CL"/>
              </w:rPr>
              <w:t>4,3%</w:t>
            </w:r>
          </w:p>
        </w:tc>
      </w:tr>
      <w:tr>
        <w:trPr>
          <w:trHeight w:val="400"/>
        </w:trPr>
        <w:tc>
          <w:tcPr>
            <w:tcW w:w="389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left"/>
              <w:textAlignment w:val="center"/>
              <w:rPr>
                <w:rFonts w:eastAsia="Times New Roman"/>
                <w:b w:val="0"/>
                <w:sz w:val="18"/>
                <w:szCs w:val="18"/>
                <w:lang w:eastAsia="es-CL"/>
              </w:rPr>
            </w:pPr>
            <w:r>
              <w:rPr>
                <w:rFonts w:eastAsia="Times New Roman"/>
                <w:b w:val="0"/>
                <w:color w:val="000000"/>
                <w:kern w:val="24"/>
                <w:sz w:val="18"/>
                <w:szCs w:val="18"/>
                <w:lang w:eastAsia="es-CL"/>
              </w:rPr>
              <w:t>Gasto en Personal  (</w:t>
            </w:r>
            <w:r>
              <w:rPr>
                <w:rFonts w:eastAsia="Times New Roman"/>
                <w:bCs/>
                <w:color w:val="000000"/>
                <w:kern w:val="24"/>
                <w:sz w:val="18"/>
                <w:szCs w:val="18"/>
                <w:lang w:eastAsia="es-CL"/>
              </w:rPr>
              <w:t>Subtítulo 21</w:t>
            </w:r>
            <w:r>
              <w:rPr>
                <w:rFonts w:eastAsia="Times New Roman"/>
                <w:b w:val="0"/>
                <w:color w:val="000000"/>
                <w:kern w:val="24"/>
                <w:sz w:val="18"/>
                <w:szCs w:val="18"/>
                <w:lang w:eastAsia="es-CL"/>
              </w:rPr>
              <w:t>)</w:t>
            </w:r>
          </w:p>
        </w:tc>
        <w:tc>
          <w:tcPr>
            <w:tcW w:w="141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 w:val="0"/>
                <w:color w:val="000000"/>
                <w:kern w:val="24"/>
                <w:sz w:val="18"/>
                <w:szCs w:val="18"/>
                <w:lang w:val="es-ES" w:eastAsia="es-CL"/>
              </w:rPr>
              <w:t>17.249.481</w:t>
            </w:r>
          </w:p>
        </w:tc>
        <w:tc>
          <w:tcPr>
            <w:tcW w:w="141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 w:val="0"/>
                <w:color w:val="000000"/>
                <w:kern w:val="24"/>
                <w:sz w:val="18"/>
                <w:szCs w:val="18"/>
                <w:lang w:val="es-ES" w:eastAsia="es-CL"/>
              </w:rPr>
              <w:t>17.257.933</w:t>
            </w:r>
          </w:p>
        </w:tc>
        <w:tc>
          <w:tcPr>
            <w:tcW w:w="129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 w:val="0"/>
                <w:color w:val="000000"/>
                <w:kern w:val="24"/>
                <w:sz w:val="18"/>
                <w:szCs w:val="18"/>
                <w:lang w:val="es-ES" w:eastAsia="es-CL"/>
              </w:rPr>
              <w:t>8.452</w:t>
            </w:r>
          </w:p>
        </w:tc>
        <w:tc>
          <w:tcPr>
            <w:tcW w:w="107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 w:val="0"/>
                <w:color w:val="000000"/>
                <w:kern w:val="24"/>
                <w:sz w:val="18"/>
                <w:szCs w:val="18"/>
                <w:lang w:val="es-ES" w:eastAsia="es-CL"/>
              </w:rPr>
              <w:t>0,0%</w:t>
            </w:r>
          </w:p>
        </w:tc>
      </w:tr>
      <w:tr>
        <w:trPr>
          <w:trHeight w:val="786"/>
        </w:trPr>
        <w:tc>
          <w:tcPr>
            <w:tcW w:w="389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left"/>
              <w:textAlignment w:val="center"/>
              <w:rPr>
                <w:rFonts w:eastAsia="Times New Roman"/>
                <w:b w:val="0"/>
                <w:sz w:val="18"/>
                <w:szCs w:val="18"/>
                <w:lang w:eastAsia="es-CL"/>
              </w:rPr>
            </w:pPr>
            <w:r>
              <w:rPr>
                <w:rFonts w:eastAsia="Times New Roman"/>
                <w:b w:val="0"/>
                <w:color w:val="000000"/>
                <w:kern w:val="24"/>
                <w:sz w:val="18"/>
                <w:szCs w:val="18"/>
                <w:lang w:eastAsia="es-CL"/>
              </w:rPr>
              <w:t>Bienes y Servicios de Consumo  (</w:t>
            </w:r>
            <w:r>
              <w:rPr>
                <w:rFonts w:eastAsia="Times New Roman"/>
                <w:bCs/>
                <w:color w:val="000000"/>
                <w:kern w:val="24"/>
                <w:sz w:val="18"/>
                <w:szCs w:val="18"/>
                <w:lang w:eastAsia="es-CL"/>
              </w:rPr>
              <w:t>Subtítulo 22</w:t>
            </w:r>
            <w:r>
              <w:rPr>
                <w:rFonts w:eastAsia="Times New Roman"/>
                <w:b w:val="0"/>
                <w:color w:val="000000"/>
                <w:kern w:val="24"/>
                <w:sz w:val="18"/>
                <w:szCs w:val="18"/>
                <w:lang w:eastAsia="es-CL"/>
              </w:rPr>
              <w:t>)</w:t>
            </w:r>
          </w:p>
        </w:tc>
        <w:tc>
          <w:tcPr>
            <w:tcW w:w="141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 w:val="0"/>
                <w:color w:val="000000"/>
                <w:kern w:val="24"/>
                <w:sz w:val="18"/>
                <w:szCs w:val="18"/>
                <w:lang w:val="es-ES" w:eastAsia="es-CL"/>
              </w:rPr>
              <w:t>2.319.867</w:t>
            </w:r>
          </w:p>
        </w:tc>
        <w:tc>
          <w:tcPr>
            <w:tcW w:w="141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 w:val="0"/>
                <w:color w:val="000000"/>
                <w:kern w:val="24"/>
                <w:sz w:val="18"/>
                <w:szCs w:val="18"/>
                <w:lang w:val="es-ES" w:eastAsia="es-CL"/>
              </w:rPr>
              <w:t>2.256.540</w:t>
            </w:r>
          </w:p>
        </w:tc>
        <w:tc>
          <w:tcPr>
            <w:tcW w:w="129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 w:val="0"/>
                <w:color w:val="000000"/>
                <w:kern w:val="24"/>
                <w:sz w:val="18"/>
                <w:szCs w:val="18"/>
                <w:lang w:val="es-ES" w:eastAsia="es-CL"/>
              </w:rPr>
              <w:t>-63.327</w:t>
            </w:r>
          </w:p>
        </w:tc>
        <w:tc>
          <w:tcPr>
            <w:tcW w:w="107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 w:val="0"/>
                <w:color w:val="000000"/>
                <w:kern w:val="24"/>
                <w:sz w:val="18"/>
                <w:szCs w:val="18"/>
                <w:lang w:val="es-ES" w:eastAsia="es-CL"/>
              </w:rPr>
              <w:t>-2,7%</w:t>
            </w:r>
          </w:p>
        </w:tc>
      </w:tr>
      <w:tr>
        <w:trPr>
          <w:trHeight w:val="719"/>
        </w:trPr>
        <w:tc>
          <w:tcPr>
            <w:tcW w:w="389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left"/>
              <w:textAlignment w:val="center"/>
              <w:rPr>
                <w:rFonts w:eastAsia="Times New Roman"/>
                <w:b w:val="0"/>
                <w:sz w:val="18"/>
                <w:szCs w:val="18"/>
                <w:lang w:eastAsia="es-CL"/>
              </w:rPr>
            </w:pPr>
            <w:r>
              <w:rPr>
                <w:rFonts w:eastAsia="Times New Roman"/>
                <w:b w:val="0"/>
                <w:color w:val="000000"/>
                <w:kern w:val="24"/>
                <w:sz w:val="18"/>
                <w:szCs w:val="18"/>
                <w:lang w:eastAsia="es-CL"/>
              </w:rPr>
              <w:t>Transferencias Corrientes  (</w:t>
            </w:r>
            <w:r>
              <w:rPr>
                <w:rFonts w:eastAsia="Times New Roman"/>
                <w:bCs/>
                <w:color w:val="000000"/>
                <w:kern w:val="24"/>
                <w:sz w:val="18"/>
                <w:szCs w:val="18"/>
                <w:lang w:eastAsia="es-CL"/>
              </w:rPr>
              <w:t>Subtítulo 24</w:t>
            </w:r>
            <w:r>
              <w:rPr>
                <w:rFonts w:eastAsia="Times New Roman"/>
                <w:b w:val="0"/>
                <w:color w:val="000000"/>
                <w:kern w:val="24"/>
                <w:sz w:val="18"/>
                <w:szCs w:val="18"/>
                <w:lang w:eastAsia="es-CL"/>
              </w:rPr>
              <w:t>)</w:t>
            </w:r>
          </w:p>
        </w:tc>
        <w:tc>
          <w:tcPr>
            <w:tcW w:w="141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 w:val="0"/>
                <w:color w:val="000000"/>
                <w:kern w:val="24"/>
                <w:sz w:val="18"/>
                <w:szCs w:val="18"/>
                <w:lang w:val="es-ES" w:eastAsia="es-CL"/>
              </w:rPr>
              <w:t>534.705</w:t>
            </w:r>
          </w:p>
        </w:tc>
        <w:tc>
          <w:tcPr>
            <w:tcW w:w="141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 w:val="0"/>
                <w:color w:val="000000"/>
                <w:kern w:val="24"/>
                <w:sz w:val="18"/>
                <w:szCs w:val="18"/>
                <w:lang w:val="es-ES" w:eastAsia="es-CL"/>
              </w:rPr>
              <w:t>118.999</w:t>
            </w:r>
          </w:p>
        </w:tc>
        <w:tc>
          <w:tcPr>
            <w:tcW w:w="129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 w:val="0"/>
                <w:color w:val="000000"/>
                <w:kern w:val="24"/>
                <w:sz w:val="18"/>
                <w:szCs w:val="18"/>
                <w:lang w:val="es-ES" w:eastAsia="es-CL"/>
              </w:rPr>
              <w:t>-415.706</w:t>
            </w:r>
          </w:p>
        </w:tc>
        <w:tc>
          <w:tcPr>
            <w:tcW w:w="107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 w:val="0"/>
                <w:color w:val="000000"/>
                <w:kern w:val="24"/>
                <w:sz w:val="18"/>
                <w:szCs w:val="18"/>
                <w:lang w:val="es-ES" w:eastAsia="es-CL"/>
              </w:rPr>
              <w:t>-77,7%</w:t>
            </w:r>
          </w:p>
        </w:tc>
      </w:tr>
      <w:tr>
        <w:trPr>
          <w:trHeight w:val="786"/>
        </w:trPr>
        <w:tc>
          <w:tcPr>
            <w:tcW w:w="389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left"/>
              <w:textAlignment w:val="center"/>
              <w:rPr>
                <w:rFonts w:eastAsia="Times New Roman"/>
                <w:b w:val="0"/>
                <w:sz w:val="18"/>
                <w:szCs w:val="18"/>
                <w:lang w:eastAsia="es-CL"/>
              </w:rPr>
            </w:pPr>
            <w:r>
              <w:rPr>
                <w:rFonts w:eastAsia="Times New Roman"/>
                <w:b w:val="0"/>
                <w:color w:val="000000"/>
                <w:kern w:val="24"/>
                <w:sz w:val="18"/>
                <w:szCs w:val="18"/>
                <w:lang w:eastAsia="es-CL"/>
              </w:rPr>
              <w:t>Adquisición de Activos no financieros  (</w:t>
            </w:r>
            <w:r>
              <w:rPr>
                <w:rFonts w:eastAsia="Times New Roman"/>
                <w:bCs/>
                <w:color w:val="000000"/>
                <w:kern w:val="24"/>
                <w:sz w:val="18"/>
                <w:szCs w:val="18"/>
                <w:lang w:eastAsia="es-CL"/>
              </w:rPr>
              <w:t>Subtítulo 29</w:t>
            </w:r>
            <w:r>
              <w:rPr>
                <w:rFonts w:eastAsia="Times New Roman"/>
                <w:b w:val="0"/>
                <w:color w:val="000000"/>
                <w:kern w:val="24"/>
                <w:sz w:val="18"/>
                <w:szCs w:val="18"/>
                <w:lang w:eastAsia="es-CL"/>
              </w:rPr>
              <w:t>)</w:t>
            </w:r>
          </w:p>
        </w:tc>
        <w:tc>
          <w:tcPr>
            <w:tcW w:w="141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 w:val="0"/>
                <w:color w:val="000000"/>
                <w:kern w:val="24"/>
                <w:sz w:val="18"/>
                <w:szCs w:val="18"/>
                <w:lang w:val="es-ES" w:eastAsia="es-CL"/>
              </w:rPr>
              <w:t>223.966</w:t>
            </w:r>
          </w:p>
        </w:tc>
        <w:tc>
          <w:tcPr>
            <w:tcW w:w="141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 w:val="0"/>
                <w:color w:val="000000"/>
                <w:kern w:val="24"/>
                <w:sz w:val="18"/>
                <w:szCs w:val="18"/>
                <w:lang w:val="es-ES" w:eastAsia="es-CL"/>
              </w:rPr>
              <w:t>378.585</w:t>
            </w:r>
          </w:p>
        </w:tc>
        <w:tc>
          <w:tcPr>
            <w:tcW w:w="129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 w:val="0"/>
                <w:color w:val="000000"/>
                <w:kern w:val="24"/>
                <w:sz w:val="18"/>
                <w:szCs w:val="18"/>
                <w:lang w:val="es-ES" w:eastAsia="es-CL"/>
              </w:rPr>
              <w:t>154.619</w:t>
            </w:r>
          </w:p>
        </w:tc>
        <w:tc>
          <w:tcPr>
            <w:tcW w:w="107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 w:val="0"/>
                <w:color w:val="000000"/>
                <w:kern w:val="24"/>
                <w:sz w:val="18"/>
                <w:szCs w:val="18"/>
                <w:lang w:val="es-ES" w:eastAsia="es-CL"/>
              </w:rPr>
              <w:t>69,0%</w:t>
            </w:r>
          </w:p>
        </w:tc>
      </w:tr>
      <w:tr>
        <w:trPr>
          <w:trHeight w:val="400"/>
        </w:trPr>
        <w:tc>
          <w:tcPr>
            <w:tcW w:w="389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left"/>
              <w:textAlignment w:val="center"/>
              <w:rPr>
                <w:rFonts w:eastAsia="Times New Roman"/>
                <w:b w:val="0"/>
                <w:sz w:val="18"/>
                <w:szCs w:val="18"/>
                <w:lang w:eastAsia="es-CL"/>
              </w:rPr>
            </w:pPr>
            <w:r>
              <w:rPr>
                <w:rFonts w:eastAsia="Times New Roman"/>
                <w:b w:val="0"/>
                <w:color w:val="000000"/>
                <w:kern w:val="24"/>
                <w:sz w:val="18"/>
                <w:szCs w:val="18"/>
                <w:lang w:eastAsia="es-CL"/>
              </w:rPr>
              <w:t>Iniciativas de Inversión  (</w:t>
            </w:r>
            <w:r>
              <w:rPr>
                <w:rFonts w:eastAsia="Times New Roman"/>
                <w:bCs/>
                <w:color w:val="000000"/>
                <w:kern w:val="24"/>
                <w:sz w:val="18"/>
                <w:szCs w:val="18"/>
                <w:lang w:eastAsia="es-CL"/>
              </w:rPr>
              <w:t>Subtítulo 31</w:t>
            </w:r>
            <w:r>
              <w:rPr>
                <w:rFonts w:eastAsia="Times New Roman"/>
                <w:b w:val="0"/>
                <w:color w:val="000000"/>
                <w:kern w:val="24"/>
                <w:sz w:val="18"/>
                <w:szCs w:val="18"/>
                <w:lang w:eastAsia="es-CL"/>
              </w:rPr>
              <w:t>)</w:t>
            </w:r>
          </w:p>
        </w:tc>
        <w:tc>
          <w:tcPr>
            <w:tcW w:w="141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 w:val="0"/>
                <w:color w:val="000000"/>
                <w:kern w:val="24"/>
                <w:sz w:val="18"/>
                <w:szCs w:val="18"/>
                <w:lang w:val="es-ES" w:eastAsia="es-CL"/>
              </w:rPr>
              <w:t>136.368</w:t>
            </w:r>
          </w:p>
        </w:tc>
        <w:tc>
          <w:tcPr>
            <w:tcW w:w="141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 w:val="0"/>
                <w:color w:val="000000"/>
                <w:kern w:val="24"/>
                <w:sz w:val="18"/>
                <w:szCs w:val="18"/>
                <w:lang w:val="es-ES" w:eastAsia="es-CL"/>
              </w:rPr>
              <w:t>289.782</w:t>
            </w:r>
          </w:p>
        </w:tc>
        <w:tc>
          <w:tcPr>
            <w:tcW w:w="129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 w:val="0"/>
                <w:color w:val="000000"/>
                <w:kern w:val="24"/>
                <w:sz w:val="18"/>
                <w:szCs w:val="18"/>
                <w:lang w:val="es-ES" w:eastAsia="es-CL"/>
              </w:rPr>
              <w:t>153.414</w:t>
            </w:r>
          </w:p>
        </w:tc>
        <w:tc>
          <w:tcPr>
            <w:tcW w:w="107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 w:val="0"/>
                <w:color w:val="000000"/>
                <w:kern w:val="24"/>
                <w:sz w:val="18"/>
                <w:szCs w:val="18"/>
                <w:lang w:val="es-ES" w:eastAsia="es-CL"/>
              </w:rPr>
              <w:t>112,5%</w:t>
            </w:r>
          </w:p>
        </w:tc>
      </w:tr>
      <w:tr>
        <w:trPr>
          <w:trHeight w:val="400"/>
        </w:trPr>
        <w:tc>
          <w:tcPr>
            <w:tcW w:w="389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left"/>
              <w:textAlignment w:val="center"/>
              <w:rPr>
                <w:rFonts w:eastAsia="Times New Roman"/>
                <w:b w:val="0"/>
                <w:sz w:val="18"/>
                <w:szCs w:val="18"/>
                <w:lang w:eastAsia="es-CL"/>
              </w:rPr>
            </w:pPr>
            <w:r>
              <w:rPr>
                <w:rFonts w:eastAsia="Times New Roman"/>
                <w:b w:val="0"/>
                <w:color w:val="000000"/>
                <w:kern w:val="24"/>
                <w:sz w:val="18"/>
                <w:szCs w:val="18"/>
                <w:lang w:eastAsia="es-CL"/>
              </w:rPr>
              <w:t>Servicio de la Deuda  (</w:t>
            </w:r>
            <w:r>
              <w:rPr>
                <w:rFonts w:eastAsia="Times New Roman"/>
                <w:bCs/>
                <w:color w:val="000000"/>
                <w:kern w:val="24"/>
                <w:sz w:val="18"/>
                <w:szCs w:val="18"/>
                <w:lang w:eastAsia="es-CL"/>
              </w:rPr>
              <w:t>Subtítulo 34</w:t>
            </w:r>
            <w:r>
              <w:rPr>
                <w:rFonts w:eastAsia="Times New Roman"/>
                <w:b w:val="0"/>
                <w:color w:val="000000"/>
                <w:kern w:val="24"/>
                <w:sz w:val="18"/>
                <w:szCs w:val="18"/>
                <w:lang w:eastAsia="es-CL"/>
              </w:rPr>
              <w:t>)</w:t>
            </w:r>
          </w:p>
        </w:tc>
        <w:tc>
          <w:tcPr>
            <w:tcW w:w="141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 w:val="0"/>
                <w:color w:val="000000"/>
                <w:kern w:val="24"/>
                <w:sz w:val="18"/>
                <w:szCs w:val="18"/>
                <w:lang w:val="es-ES" w:eastAsia="es-CL"/>
              </w:rPr>
              <w:t>19.225</w:t>
            </w:r>
          </w:p>
        </w:tc>
        <w:tc>
          <w:tcPr>
            <w:tcW w:w="141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 w:val="0"/>
                <w:color w:val="000000"/>
                <w:kern w:val="24"/>
                <w:sz w:val="18"/>
                <w:szCs w:val="18"/>
                <w:lang w:val="es-ES" w:eastAsia="es-CL"/>
              </w:rPr>
              <w:t>1.064.731</w:t>
            </w:r>
          </w:p>
        </w:tc>
        <w:tc>
          <w:tcPr>
            <w:tcW w:w="129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 w:val="0"/>
                <w:color w:val="000000"/>
                <w:kern w:val="24"/>
                <w:sz w:val="18"/>
                <w:szCs w:val="18"/>
                <w:lang w:val="es-ES" w:eastAsia="es-CL"/>
              </w:rPr>
              <w:t>1.045.506</w:t>
            </w:r>
          </w:p>
        </w:tc>
        <w:tc>
          <w:tcPr>
            <w:tcW w:w="107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 w:val="0"/>
                <w:color w:val="000000"/>
                <w:kern w:val="24"/>
                <w:sz w:val="18"/>
                <w:szCs w:val="18"/>
                <w:lang w:val="es-ES" w:eastAsia="es-CL"/>
              </w:rPr>
              <w:t>5438,3%</w:t>
            </w:r>
          </w:p>
        </w:tc>
      </w:tr>
      <w:tr>
        <w:trPr>
          <w:trHeight w:val="400"/>
        </w:trPr>
        <w:tc>
          <w:tcPr>
            <w:tcW w:w="3893" w:type="dxa"/>
            <w:tcBorders>
              <w:top w:val="single" w:sz="8" w:space="0" w:color="FFFFFF"/>
              <w:left w:val="single" w:sz="8" w:space="0" w:color="FFFFFF"/>
              <w:bottom w:val="single" w:sz="8" w:space="0" w:color="FFFFFF"/>
              <w:right w:val="single" w:sz="8" w:space="0" w:color="FFFFFF"/>
            </w:tcBorders>
            <w:shd w:val="clear" w:color="auto" w:fill="B9CDE5"/>
            <w:tcMar>
              <w:top w:w="15" w:type="dxa"/>
              <w:left w:w="15" w:type="dxa"/>
              <w:bottom w:w="0" w:type="dxa"/>
              <w:right w:w="15" w:type="dxa"/>
            </w:tcMar>
            <w:vAlign w:val="center"/>
            <w:hideMark/>
          </w:tcPr>
          <w:p>
            <w:pPr>
              <w:tabs>
                <w:tab w:val="clear" w:pos="2835"/>
              </w:tabs>
              <w:jc w:val="left"/>
              <w:textAlignment w:val="center"/>
              <w:rPr>
                <w:rFonts w:eastAsia="Times New Roman"/>
                <w:b w:val="0"/>
                <w:sz w:val="18"/>
                <w:szCs w:val="18"/>
                <w:lang w:eastAsia="es-CL"/>
              </w:rPr>
            </w:pPr>
            <w:r>
              <w:rPr>
                <w:rFonts w:eastAsia="Times New Roman"/>
                <w:bCs/>
                <w:color w:val="000000"/>
                <w:kern w:val="24"/>
                <w:sz w:val="18"/>
                <w:szCs w:val="18"/>
                <w:lang w:eastAsia="es-CL"/>
              </w:rPr>
              <w:t xml:space="preserve">Gasto neto </w:t>
            </w:r>
            <w:r>
              <w:rPr>
                <w:rFonts w:eastAsia="Times New Roman"/>
                <w:b w:val="0"/>
                <w:color w:val="000000"/>
                <w:kern w:val="24"/>
                <w:sz w:val="18"/>
                <w:szCs w:val="18"/>
                <w:lang w:eastAsia="es-CL"/>
              </w:rPr>
              <w:t>(*)</w:t>
            </w:r>
          </w:p>
        </w:tc>
        <w:tc>
          <w:tcPr>
            <w:tcW w:w="1410" w:type="dxa"/>
            <w:tcBorders>
              <w:top w:val="single" w:sz="8" w:space="0" w:color="FFFFFF"/>
              <w:left w:val="single" w:sz="8" w:space="0" w:color="FFFFFF"/>
              <w:bottom w:val="single" w:sz="8" w:space="0" w:color="FFFFFF"/>
              <w:right w:val="single" w:sz="8" w:space="0" w:color="FFFFFF"/>
            </w:tcBorders>
            <w:shd w:val="clear" w:color="auto" w:fill="B9CDE5"/>
            <w:tcMar>
              <w:top w:w="15" w:type="dxa"/>
              <w:left w:w="15" w:type="dxa"/>
              <w:bottom w:w="0" w:type="dxa"/>
              <w:right w:w="15"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Cs/>
                <w:color w:val="000000"/>
                <w:kern w:val="24"/>
                <w:sz w:val="18"/>
                <w:szCs w:val="18"/>
                <w:lang w:val="es-ES" w:eastAsia="es-CL"/>
              </w:rPr>
              <w:t>20.483.612</w:t>
            </w:r>
          </w:p>
        </w:tc>
        <w:tc>
          <w:tcPr>
            <w:tcW w:w="1410" w:type="dxa"/>
            <w:tcBorders>
              <w:top w:val="single" w:sz="8" w:space="0" w:color="FFFFFF"/>
              <w:left w:val="single" w:sz="8" w:space="0" w:color="FFFFFF"/>
              <w:bottom w:val="single" w:sz="8" w:space="0" w:color="FFFFFF"/>
              <w:right w:val="single" w:sz="8" w:space="0" w:color="FFFFFF"/>
            </w:tcBorders>
            <w:shd w:val="clear" w:color="auto" w:fill="B9CDE5"/>
            <w:tcMar>
              <w:top w:w="15" w:type="dxa"/>
              <w:left w:w="15" w:type="dxa"/>
              <w:bottom w:w="0" w:type="dxa"/>
              <w:right w:w="15"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Cs/>
                <w:color w:val="000000"/>
                <w:kern w:val="24"/>
                <w:sz w:val="18"/>
                <w:szCs w:val="18"/>
                <w:lang w:eastAsia="es-CL"/>
              </w:rPr>
              <w:t>21.366.570</w:t>
            </w:r>
          </w:p>
        </w:tc>
        <w:tc>
          <w:tcPr>
            <w:tcW w:w="1297" w:type="dxa"/>
            <w:tcBorders>
              <w:top w:val="single" w:sz="8" w:space="0" w:color="FFFFFF"/>
              <w:left w:val="single" w:sz="8" w:space="0" w:color="FFFFFF"/>
              <w:bottom w:val="single" w:sz="8" w:space="0" w:color="FFFFFF"/>
              <w:right w:val="single" w:sz="8" w:space="0" w:color="FFFFFF"/>
            </w:tcBorders>
            <w:shd w:val="clear" w:color="auto" w:fill="B9CDE5"/>
            <w:tcMar>
              <w:top w:w="15" w:type="dxa"/>
              <w:left w:w="15" w:type="dxa"/>
              <w:bottom w:w="0" w:type="dxa"/>
              <w:right w:w="15"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Cs/>
                <w:color w:val="000000"/>
                <w:kern w:val="24"/>
                <w:sz w:val="18"/>
                <w:szCs w:val="18"/>
                <w:lang w:val="es-ES" w:eastAsia="es-CL"/>
              </w:rPr>
              <w:t>882.958</w:t>
            </w:r>
          </w:p>
        </w:tc>
        <w:tc>
          <w:tcPr>
            <w:tcW w:w="1073" w:type="dxa"/>
            <w:tcBorders>
              <w:top w:val="single" w:sz="8" w:space="0" w:color="FFFFFF"/>
              <w:left w:val="single" w:sz="8" w:space="0" w:color="FFFFFF"/>
              <w:bottom w:val="single" w:sz="8" w:space="0" w:color="FFFFFF"/>
              <w:right w:val="single" w:sz="8" w:space="0" w:color="FFFFFF"/>
            </w:tcBorders>
            <w:shd w:val="clear" w:color="auto" w:fill="B9CDE5"/>
            <w:tcMar>
              <w:top w:w="15" w:type="dxa"/>
              <w:left w:w="15" w:type="dxa"/>
              <w:bottom w:w="0" w:type="dxa"/>
              <w:right w:w="15" w:type="dxa"/>
            </w:tcMar>
            <w:vAlign w:val="center"/>
            <w:hideMark/>
          </w:tcPr>
          <w:p>
            <w:pPr>
              <w:tabs>
                <w:tab w:val="clear" w:pos="2835"/>
              </w:tabs>
              <w:jc w:val="right"/>
              <w:textAlignment w:val="center"/>
              <w:rPr>
                <w:rFonts w:eastAsia="Times New Roman"/>
                <w:b w:val="0"/>
                <w:sz w:val="18"/>
                <w:szCs w:val="18"/>
                <w:lang w:eastAsia="es-CL"/>
              </w:rPr>
            </w:pPr>
            <w:r>
              <w:rPr>
                <w:rFonts w:eastAsia="Times New Roman"/>
                <w:bCs/>
                <w:color w:val="000000"/>
                <w:kern w:val="24"/>
                <w:sz w:val="18"/>
                <w:szCs w:val="18"/>
                <w:lang w:val="es-ES" w:eastAsia="es-CL"/>
              </w:rPr>
              <w:t>4,3%</w:t>
            </w:r>
          </w:p>
        </w:tc>
      </w:tr>
    </w:tbl>
    <w:p>
      <w:r>
        <w:t>(*) Gasto de Estado de Operaciones = GASTOS-(Subt.25+30+32+34+35) + Ítem25.01+Intereses y Otros Gastos Financieros de Deuda</w:t>
      </w:r>
    </w:p>
    <w:p>
      <w:pPr>
        <w:rPr>
          <w:b w:val="0"/>
        </w:rPr>
      </w:pPr>
    </w:p>
    <w:p>
      <w:pPr>
        <w:rPr>
          <w:b w:val="0"/>
        </w:rPr>
      </w:pPr>
    </w:p>
    <w:p>
      <w:pPr>
        <w:rPr>
          <w:b w:val="0"/>
        </w:rPr>
      </w:pPr>
      <w:r>
        <w:rPr>
          <w:b w:val="0"/>
        </w:rPr>
        <w:tab/>
        <w:t>En seguida, analizó las variaciones presupuestarias de los siguientes Subtítulos:</w:t>
      </w:r>
    </w:p>
    <w:p/>
    <w:p/>
    <w:p>
      <w:r>
        <w:t>- Subtitulo 22: Bienes y Servicios de Consumo</w:t>
      </w:r>
    </w:p>
    <w:p/>
    <w:p>
      <w:pPr>
        <w:rPr>
          <w:b w:val="0"/>
        </w:rPr>
      </w:pPr>
      <w:r>
        <w:rPr>
          <w:b w:val="0"/>
        </w:rPr>
        <w:tab/>
        <w:t xml:space="preserve">Se registra una disminución de 2,7%, por término de habilitación de inmueble arrendado para Procuraduría Fiscal de San Miguel y política de austeridad. Incluye recursos para programa extraordinario de capacitación por M$47.768. </w:t>
      </w:r>
    </w:p>
    <w:p>
      <w:pPr>
        <w:rPr>
          <w:b w:val="0"/>
        </w:rPr>
      </w:pPr>
    </w:p>
    <w:p>
      <w:pPr>
        <w:rPr>
          <w:b w:val="0"/>
        </w:rPr>
      </w:pPr>
    </w:p>
    <w:p>
      <w:r>
        <w:t>- Subtitulo 24: Transferencias Corrientes</w:t>
      </w:r>
    </w:p>
    <w:p/>
    <w:p>
      <w:pPr>
        <w:rPr>
          <w:b w:val="0"/>
        </w:rPr>
      </w:pPr>
      <w:r>
        <w:rPr>
          <w:b w:val="0"/>
        </w:rPr>
        <w:tab/>
        <w:t>Se consigna una disminución de 77,7% y obedece al saldo pendiente por ejecutar del Programa de Modernización Institucional (PMI), cuyo término corresponde al año 2017.</w:t>
      </w:r>
    </w:p>
    <w:p>
      <w:pPr>
        <w:rPr>
          <w:b w:val="0"/>
        </w:rPr>
      </w:pPr>
    </w:p>
    <w:p>
      <w:pPr>
        <w:rPr>
          <w:b w:val="0"/>
        </w:rPr>
      </w:pPr>
    </w:p>
    <w:p>
      <w:r>
        <w:t>Subtitulo 29: Adquisición de Activos no Financieros</w:t>
      </w:r>
    </w:p>
    <w:p/>
    <w:p>
      <w:pPr>
        <w:rPr>
          <w:b w:val="0"/>
        </w:rPr>
      </w:pPr>
      <w:r>
        <w:rPr>
          <w:b w:val="0"/>
        </w:rPr>
        <w:tab/>
        <w:t>Se incrementan recursos en 69% y corresponde al financiamiento de soporte informático del CDE, renovación de equipo de videoconferencia en mal estado y reemplazo de tres vehículos.</w:t>
      </w:r>
    </w:p>
    <w:p>
      <w:pPr>
        <w:rPr>
          <w:b w:val="0"/>
        </w:rPr>
      </w:pPr>
    </w:p>
    <w:p>
      <w:r>
        <w:t>Subtitulo 31: Inversión</w:t>
      </w:r>
    </w:p>
    <w:p/>
    <w:p>
      <w:pPr>
        <w:rPr>
          <w:b w:val="0"/>
        </w:rPr>
      </w:pPr>
      <w:r>
        <w:rPr>
          <w:b w:val="0"/>
        </w:rPr>
        <w:tab/>
        <w:t>Se registra un aumento en inversión de 112,5%, cuyo origen corresponde a la segunda parte del proyecto de Mejoramiento y Ampliación de la Procuraduría Fiscal de San Miguel.</w:t>
      </w:r>
    </w:p>
    <w:p>
      <w:pPr>
        <w:rPr>
          <w:b w:val="0"/>
        </w:rPr>
      </w:pPr>
    </w:p>
    <w:p>
      <w:r>
        <w:t>Subtitulo 34: Servicio de la Deuda</w:t>
      </w:r>
    </w:p>
    <w:p/>
    <w:p>
      <w:pPr>
        <w:rPr>
          <w:b w:val="0"/>
        </w:rPr>
      </w:pPr>
      <w:r>
        <w:rPr>
          <w:b w:val="0"/>
        </w:rPr>
        <w:tab/>
        <w:t>Se incrementan los recursos para financiar la amortización de la deuda externa por Programa de Modernización Institucional (PMI).</w:t>
      </w:r>
    </w:p>
    <w:p>
      <w:pPr>
        <w:rPr>
          <w:b w:val="0"/>
        </w:rPr>
      </w:pPr>
    </w:p>
    <w:p>
      <w:pPr>
        <w:rPr>
          <w:b w:val="0"/>
        </w:rPr>
      </w:pPr>
      <w:r>
        <w:rPr>
          <w:b w:val="0"/>
        </w:rPr>
        <w:tab/>
      </w:r>
    </w:p>
    <w:p>
      <w:pPr>
        <w:rPr>
          <w:b w:val="0"/>
        </w:rPr>
      </w:pPr>
      <w:r>
        <w:rPr>
          <w:b w:val="0"/>
        </w:rPr>
        <w:tab/>
        <w:t>En seguida, se refirió a la ejecución del presupuesto del año 2016 hasta el mes de agosto de este año.</w:t>
      </w:r>
    </w:p>
    <w:p>
      <w:pPr>
        <w:rPr>
          <w:b w:val="0"/>
        </w:rPr>
      </w:pPr>
    </w:p>
    <w:p>
      <w:pPr>
        <w:rPr>
          <w:b w:val="0"/>
        </w:rPr>
      </w:pPr>
      <w:r>
        <w:rPr>
          <w:b w:val="0"/>
          <w:noProof/>
          <w:lang w:eastAsia="es-CL"/>
        </w:rPr>
        <w:pict>
          <v:shape id="Marcador de contenido 6" o:spid="_x0000_i1049" type="#_x0000_t75" style="width:464.3pt;height:259.2pt;visibility:visible">
            <v:imagedata r:id="rId32" o:title=""/>
            <o:lock v:ext="edit" grouping="t"/>
          </v:shape>
        </w:pict>
      </w:r>
    </w:p>
    <w:p>
      <w:pPr>
        <w:rPr>
          <w:b w:val="0"/>
        </w:rPr>
      </w:pPr>
      <w:r>
        <w:rPr>
          <w:b w:val="0"/>
        </w:rPr>
        <w:t xml:space="preserve">(1) Menor ejecución por actividades de capacitación, peritajes y diligencias judiciales que se realizan y concluyen durante segundo semestre. </w:t>
      </w:r>
    </w:p>
    <w:p>
      <w:pPr>
        <w:rPr>
          <w:b w:val="0"/>
        </w:rPr>
      </w:pPr>
      <w:r>
        <w:rPr>
          <w:b w:val="0"/>
        </w:rPr>
        <w:t>(2) Menor ejecución por proyecto integración con CAPJ que comenzó su ejecución en septiembre 2016.</w:t>
      </w:r>
    </w:p>
    <w:p>
      <w:pPr>
        <w:rPr>
          <w:b w:val="0"/>
        </w:rPr>
      </w:pPr>
      <w:r>
        <w:rPr>
          <w:b w:val="0"/>
        </w:rPr>
        <w:t>(3) Se inician obras de remodelación PF de San Miguel en el mes de agosto. En septiembre se ejecutó primer estado de pago.</w:t>
      </w:r>
    </w:p>
    <w:p>
      <w:pPr>
        <w:rPr>
          <w:b w:val="0"/>
        </w:rPr>
      </w:pPr>
    </w:p>
    <w:p>
      <w:pPr>
        <w:rPr>
          <w:b w:val="0"/>
        </w:rPr>
      </w:pPr>
    </w:p>
    <w:p>
      <w:pPr>
        <w:rPr>
          <w:rFonts w:eastAsia="Times New Roman"/>
          <w:b w:val="0"/>
          <w:lang w:eastAsia="es-ES"/>
        </w:rPr>
      </w:pPr>
      <w:r>
        <w:rPr>
          <w:rFonts w:eastAsia="Times New Roman"/>
          <w:b w:val="0"/>
          <w:lang w:eastAsia="es-ES"/>
        </w:rPr>
        <w:tab/>
        <w:t xml:space="preserve">Señaló que la ejecución presupuestaria a agosto alcanza a un 72% o 71% corregido. Desde esa perspectiva linealmente se encuentra conforme con lo que habían estructurado y, agregó, que los índices que podrían resaltar por baja ejecución tienen una explicación sencilla, por ejemplo, en el </w:t>
      </w:r>
      <w:r>
        <w:rPr>
          <w:rFonts w:eastAsia="Times New Roman"/>
          <w:lang w:eastAsia="es-ES"/>
        </w:rPr>
        <w:t>Subtítulo 22</w:t>
      </w:r>
      <w:r>
        <w:rPr>
          <w:rFonts w:eastAsia="Times New Roman"/>
          <w:b w:val="0"/>
          <w:lang w:eastAsia="es-ES"/>
        </w:rPr>
        <w:t xml:space="preserve"> hay una menor ejecución por actividades de capacitación, peritaje y diligencias judiciales que se realizan y concluyen durante este segundo semestre y que se pagan una vez informados.</w:t>
      </w:r>
    </w:p>
    <w:p>
      <w:pPr>
        <w:rPr>
          <w:rFonts w:eastAsia="Times New Roman"/>
          <w:b w:val="0"/>
          <w:lang w:eastAsia="es-ES"/>
        </w:rPr>
      </w:pPr>
    </w:p>
    <w:p>
      <w:pPr>
        <w:rPr>
          <w:rFonts w:eastAsia="Times New Roman"/>
          <w:b w:val="0"/>
          <w:lang w:eastAsia="es-ES"/>
        </w:rPr>
      </w:pPr>
      <w:r>
        <w:rPr>
          <w:rFonts w:eastAsia="Times New Roman"/>
          <w:b w:val="0"/>
          <w:lang w:eastAsia="es-ES"/>
        </w:rPr>
        <w:tab/>
        <w:t xml:space="preserve">Lo mismo en el </w:t>
      </w:r>
      <w:r>
        <w:rPr>
          <w:rFonts w:eastAsia="Times New Roman"/>
          <w:lang w:eastAsia="es-ES"/>
        </w:rPr>
        <w:t>Subtítulo 29</w:t>
      </w:r>
      <w:r>
        <w:rPr>
          <w:rFonts w:eastAsia="Times New Roman"/>
          <w:b w:val="0"/>
          <w:lang w:eastAsia="es-ES"/>
        </w:rPr>
        <w:t>, Adquisición de Activos no Financieros, hay una menor ejecución del proyecto de integración con la CAPJ que comenzó su ejecución en septiembre de este año. Indicó que este es un proyecto muy interesante del Programa de Modernización en que se integran los sistemas del Consejo de Defensa del Estado con la Corporación Administrativa del Poder Judicial lo que ha implicado que tengan una información espejo tal como aparece en el sistema interno del Poder Judicial, lo que ayuda en la utilización de los recursos en los gastos de receptores y en visitas a tribunales, ya que cuentan con la misma información que los tribunales, a partir de este desarrollo.</w:t>
      </w:r>
    </w:p>
    <w:p>
      <w:pPr>
        <w:rPr>
          <w:rFonts w:eastAsia="Times New Roman"/>
          <w:b w:val="0"/>
          <w:lang w:eastAsia="es-ES"/>
        </w:rPr>
      </w:pPr>
    </w:p>
    <w:p>
      <w:pPr>
        <w:rPr>
          <w:rFonts w:eastAsia="Times New Roman"/>
          <w:b w:val="0"/>
          <w:lang w:eastAsia="es-ES"/>
        </w:rPr>
      </w:pPr>
      <w:r>
        <w:rPr>
          <w:rFonts w:eastAsia="Times New Roman"/>
          <w:b w:val="0"/>
          <w:lang w:eastAsia="es-ES"/>
        </w:rPr>
        <w:tab/>
        <w:t>Indicó que han sido muy exigentes desde la perspectiva tecnológica, no tanto desde la perspectiva de los recursos pero lo que falta por ejecutar se va a terminar en los meses que restan.</w:t>
      </w:r>
    </w:p>
    <w:p>
      <w:pPr>
        <w:rPr>
          <w:rFonts w:eastAsia="Times New Roman"/>
          <w:b w:val="0"/>
          <w:lang w:eastAsia="es-ES"/>
        </w:rPr>
      </w:pPr>
    </w:p>
    <w:p>
      <w:pPr>
        <w:rPr>
          <w:rFonts w:eastAsia="Times New Roman"/>
          <w:b w:val="0"/>
          <w:lang w:eastAsia="es-ES"/>
        </w:rPr>
      </w:pPr>
      <w:r>
        <w:rPr>
          <w:rFonts w:eastAsia="Times New Roman"/>
          <w:b w:val="0"/>
          <w:lang w:eastAsia="es-ES"/>
        </w:rPr>
        <w:tab/>
        <w:t xml:space="preserve">Por último, manifestó que la baja ejecución del </w:t>
      </w:r>
      <w:r>
        <w:rPr>
          <w:rFonts w:eastAsia="Times New Roman"/>
          <w:lang w:eastAsia="es-ES"/>
        </w:rPr>
        <w:t>Subtítulo 31</w:t>
      </w:r>
      <w:r>
        <w:rPr>
          <w:rFonts w:eastAsia="Times New Roman"/>
          <w:b w:val="0"/>
          <w:lang w:eastAsia="es-ES"/>
        </w:rPr>
        <w:t xml:space="preserve">, que son las iniciativas de inversión, básicamente corresponden a lo planificado. Estas son las obras de inversión en la procuraduría fiscal de San Miguel cuyo primer estado de pago se realizó en septiembre por eso no alcanzó a figurar aquí y esperan tener completa ejecución de este Subtítulo cuando termine este año. </w:t>
      </w:r>
    </w:p>
    <w:p>
      <w:pPr>
        <w:rPr>
          <w:rFonts w:eastAsia="Times New Roman"/>
          <w:b w:val="0"/>
          <w:lang w:eastAsia="es-ES"/>
        </w:rPr>
      </w:pPr>
    </w:p>
    <w:p>
      <w:pPr>
        <w:rPr>
          <w:b w:val="0"/>
        </w:rPr>
      </w:pPr>
      <w:r>
        <w:rPr>
          <w:b w:val="0"/>
        </w:rPr>
        <w:tab/>
        <w:t>Finalmente, concluyó su exposición efectuando una relación de las metas estratégicas para el año 2017.</w:t>
      </w:r>
    </w:p>
    <w:p>
      <w:pPr>
        <w:rPr>
          <w:b w:val="0"/>
        </w:rPr>
      </w:pPr>
    </w:p>
    <w:p>
      <w:pPr>
        <w:rPr>
          <w:b w:val="0"/>
        </w:rPr>
      </w:pPr>
    </w:p>
    <w:p>
      <w:r>
        <w:t>- Pagos evitados al Fisco demandado</w:t>
      </w:r>
    </w:p>
    <w:p/>
    <w:p>
      <w:pPr>
        <w:rPr>
          <w:b w:val="0"/>
        </w:rPr>
      </w:pPr>
      <w:r>
        <w:tab/>
      </w:r>
      <w:r>
        <w:rPr>
          <w:b w:val="0"/>
        </w:rPr>
        <w:t>Se espera evitar un 93% de los pagos demandados al Fisco en juicios civiles, laborales y expropiaciones, terminados durante el año 2017.</w:t>
      </w:r>
    </w:p>
    <w:p>
      <w:pPr>
        <w:rPr>
          <w:b w:val="0"/>
        </w:rPr>
      </w:pPr>
    </w:p>
    <w:p>
      <w:r>
        <w:t>- Pagos obtenidos y recuperados por el Fisco demandante</w:t>
      </w:r>
    </w:p>
    <w:p/>
    <w:p>
      <w:pPr>
        <w:rPr>
          <w:b w:val="0"/>
        </w:rPr>
      </w:pPr>
      <w:r>
        <w:tab/>
      </w:r>
      <w:r>
        <w:rPr>
          <w:b w:val="0"/>
        </w:rPr>
        <w:t>En las causas Fisco demandante, se espera obtener en sentencia el 83% del monto demandado y recuperar el 95% del monto obtenido mediante una transacción, en las causas terminadas durante el año 2017.</w:t>
      </w:r>
    </w:p>
    <w:p>
      <w:pPr>
        <w:rPr>
          <w:b w:val="0"/>
        </w:rPr>
      </w:pPr>
    </w:p>
    <w:p>
      <w:pPr>
        <w:rPr>
          <w:b w:val="0"/>
        </w:rPr>
      </w:pPr>
    </w:p>
    <w:p>
      <w:r>
        <w:t>- Porcentaje de sentencias favorables en causas no patrimoniales</w:t>
      </w:r>
    </w:p>
    <w:p/>
    <w:p>
      <w:pPr>
        <w:rPr>
          <w:b w:val="0"/>
        </w:rPr>
      </w:pPr>
      <w:r>
        <w:rPr>
          <w:b w:val="0"/>
        </w:rPr>
        <w:tab/>
        <w:t>Se espera obtener un 92% de sentencias favorables en causas no patrimoniales tales como, recursos de protección, amparos económicos, nulidades de derecho público y causas penales donde el bien jurídico protegido está relacionado con la probidad funcionaria o bien con delitos que no tienen valor económico.</w:t>
      </w:r>
    </w:p>
    <w:p>
      <w:pPr>
        <w:rPr>
          <w:b w:val="0"/>
        </w:rPr>
      </w:pPr>
    </w:p>
    <w:p>
      <w:r>
        <w:t>- Porcentaje de acuerdos de reparación en mediaciones</w:t>
      </w:r>
    </w:p>
    <w:p/>
    <w:p>
      <w:pPr>
        <w:rPr>
          <w:b w:val="0"/>
        </w:rPr>
      </w:pPr>
      <w:r>
        <w:rPr>
          <w:b w:val="0"/>
        </w:rPr>
        <w:tab/>
        <w:t>En cuanto al Servicio de Mediación en Salud, se espera lograr un 22% de acuerdo en reclamos admisibles en contra de prestadores públicos de salud.</w:t>
      </w:r>
    </w:p>
    <w:p>
      <w:pPr>
        <w:rPr>
          <w:b w:val="0"/>
        </w:rPr>
      </w:pPr>
    </w:p>
    <w:p>
      <w:pPr>
        <w:rPr>
          <w:b w:val="0"/>
        </w:rPr>
      </w:pPr>
    </w:p>
    <w:p>
      <w:r>
        <w:rPr>
          <w:b w:val="0"/>
        </w:rPr>
        <w:tab/>
      </w:r>
      <w:r>
        <w:t>Terminada la presentación, los señores parlamentarios formularon las siguientes consultas:</w:t>
      </w:r>
    </w:p>
    <w:p/>
    <w:p>
      <w:pPr>
        <w:rPr>
          <w:b w:val="0"/>
        </w:rPr>
      </w:pPr>
      <w:r>
        <w:tab/>
        <w:t xml:space="preserve">El Honorable Diputado señor Silva </w:t>
      </w:r>
      <w:r>
        <w:rPr>
          <w:b w:val="0"/>
        </w:rPr>
        <w:t>consultó por el Subtítulo 34, Servicio de la Deuda, cuyos recursos se incrementan en  5438,3% nivel importante destinado a financiar la amortización de la deuda. Preguntó cómo sigue los años que vienen y consulta, además, por el cumplimiento de las metas del año 2016 al respecto.</w:t>
      </w:r>
    </w:p>
    <w:p>
      <w:pPr>
        <w:rPr>
          <w:b w:val="0"/>
        </w:rPr>
      </w:pPr>
    </w:p>
    <w:p>
      <w:pPr>
        <w:rPr>
          <w:b w:val="0"/>
        </w:rPr>
      </w:pPr>
      <w:r>
        <w:rPr>
          <w:b w:val="0"/>
        </w:rPr>
        <w:tab/>
      </w:r>
      <w:r>
        <w:t xml:space="preserve">El  Presidente del Consejo de Defensa del Estado, señor Juan Ignacio Piña </w:t>
      </w:r>
      <w:r>
        <w:rPr>
          <w:b w:val="0"/>
        </w:rPr>
        <w:t>informó que en las metas estratégicas  que tienen contempladas se espera evitar un 93% de los pagos demandados al Fisco. Agregó que, a la fecha, tienen un cumplimiento de un 92,5%. En una meta para este año de 96%, lo que está dentro de las metas históricas del Consejo.</w:t>
      </w:r>
    </w:p>
    <w:p>
      <w:pPr>
        <w:rPr>
          <w:b w:val="0"/>
        </w:rPr>
      </w:pPr>
    </w:p>
    <w:p>
      <w:pPr>
        <w:rPr>
          <w:b w:val="0"/>
        </w:rPr>
      </w:pPr>
      <w:r>
        <w:rPr>
          <w:b w:val="0"/>
        </w:rPr>
        <w:tab/>
        <w:t>Explicó que la meta se calcula sobre la base de la experiencia que van teniendo año a año y las anticipaciones que se pueden tener. Si bien, básicamente tienen una cierta mantención, hay ciertos años judiciales en que las contingencias son profundamente mayores.</w:t>
      </w:r>
    </w:p>
    <w:p>
      <w:pPr>
        <w:rPr>
          <w:b w:val="0"/>
        </w:rPr>
      </w:pPr>
    </w:p>
    <w:p>
      <w:pPr>
        <w:rPr>
          <w:b w:val="0"/>
        </w:rPr>
      </w:pPr>
      <w:r>
        <w:rPr>
          <w:b w:val="0"/>
        </w:rPr>
        <w:tab/>
        <w:t>El próximo año es un año en que hay varias contingencias de esta naturaleza a partir de juicios que han sido de mucho reconocimiento público, por ejemplo, lo que está pasando con la Dirección General de Aeronáutica Civil, en fin, la consideración de estos efectos tiene que estar en el presupuesto de alguna manera.</w:t>
      </w:r>
    </w:p>
    <w:p>
      <w:pPr>
        <w:rPr>
          <w:b w:val="0"/>
        </w:rPr>
      </w:pPr>
    </w:p>
    <w:p>
      <w:pPr>
        <w:rPr>
          <w:b w:val="0"/>
        </w:rPr>
      </w:pPr>
      <w:r>
        <w:rPr>
          <w:b w:val="0"/>
        </w:rPr>
        <w:tab/>
        <w:t>En cuanto a los pagos obtenidos y recuperados por el Fisco demandante tienen un 83% como meta. La meta es del 80% y a la fecha llevan un cumplimiento de un 89,5%.</w:t>
      </w:r>
    </w:p>
    <w:p>
      <w:pPr>
        <w:rPr>
          <w:b w:val="0"/>
        </w:rPr>
      </w:pPr>
    </w:p>
    <w:p>
      <w:pPr>
        <w:rPr>
          <w:b w:val="0"/>
        </w:rPr>
      </w:pPr>
      <w:r>
        <w:rPr>
          <w:b w:val="0"/>
        </w:rPr>
        <w:tab/>
        <w:t>Respecto de la recuperación de los montos obtenidos mediante transacciones, la meta del próximo año es de 95%, la meta de este año era de 93% y a la fecha llevan un 100% de recuperación. Se trata de transacciones en donde las partes llegan a un acuerdo de pago.</w:t>
      </w:r>
    </w:p>
    <w:p>
      <w:pPr>
        <w:rPr>
          <w:b w:val="0"/>
        </w:rPr>
      </w:pPr>
    </w:p>
    <w:p>
      <w:pPr>
        <w:rPr>
          <w:b w:val="0"/>
        </w:rPr>
      </w:pPr>
      <w:r>
        <w:rPr>
          <w:b w:val="0"/>
        </w:rPr>
        <w:tab/>
        <w:t>En las causas no patrimoniales esperan obtener un 92% de sentencias favorables el próximo año. La meta para este año es de 90% y llevan un 85% con la esperanza de corregir la pequeña variación.</w:t>
      </w:r>
    </w:p>
    <w:p>
      <w:pPr>
        <w:rPr>
          <w:b w:val="0"/>
        </w:rPr>
      </w:pPr>
    </w:p>
    <w:p>
      <w:pPr>
        <w:rPr>
          <w:b w:val="0"/>
        </w:rPr>
      </w:pPr>
      <w:r>
        <w:rPr>
          <w:b w:val="0"/>
        </w:rPr>
        <w:tab/>
        <w:t>Por último, respecto del porcentaje de acuerdos de reparación en mediaciones, se espera lograr un 22%. El año pasado tuvieron un año muy bueno con un 25% y este año están cerca de este 22% y es lo que proponen para el año siguiente.</w:t>
      </w:r>
    </w:p>
    <w:p>
      <w:pPr>
        <w:rPr>
          <w:b w:val="0"/>
        </w:rPr>
      </w:pPr>
    </w:p>
    <w:p>
      <w:pPr>
        <w:rPr>
          <w:b w:val="0"/>
        </w:rPr>
      </w:pPr>
      <w:r>
        <w:rPr>
          <w:b w:val="0"/>
        </w:rPr>
        <w:tab/>
        <w:t>Respecto del comportamiento del servicio de la deuda a partir del próximo año,  el crédito total es de 2 millones y medio de dólares, el servicio tendrá que hacerse el próximo año y el saldo en los años posteriores.</w:t>
      </w:r>
    </w:p>
    <w:p>
      <w:pPr>
        <w:rPr>
          <w:b w:val="0"/>
        </w:rPr>
      </w:pPr>
    </w:p>
    <w:p>
      <w:pPr>
        <w:rPr>
          <w:rFonts w:eastAsia="Times New Roman"/>
          <w:b w:val="0"/>
          <w:lang w:eastAsia="es-ES"/>
        </w:rPr>
      </w:pPr>
      <w:r>
        <w:rPr>
          <w:rFonts w:eastAsia="Times New Roman"/>
          <w:b w:val="0"/>
          <w:lang w:eastAsia="es-ES"/>
        </w:rPr>
        <w:tab/>
      </w:r>
      <w:r>
        <w:rPr>
          <w:rFonts w:eastAsia="Times New Roman"/>
          <w:lang w:eastAsia="es-ES"/>
        </w:rPr>
        <w:t xml:space="preserve">El Presidente de la Subcomisión, Honorable Diputado señor De Mussy </w:t>
      </w:r>
      <w:r>
        <w:rPr>
          <w:rFonts w:eastAsia="Times New Roman"/>
          <w:b w:val="0"/>
          <w:lang w:eastAsia="es-ES"/>
        </w:rPr>
        <w:t>consultó respecto de las metas por los pagos demandados al Fisco las que estima que son altas y agregó que en las metas no se señala la posibilidad de llegar a acuerdo, en el primer pago, evitado al Fisco demandado, se espera evitar un 93% de éste, aparte de lo que se llegó a acuerdo.</w:t>
      </w:r>
    </w:p>
    <w:p>
      <w:pPr>
        <w:rPr>
          <w:rFonts w:eastAsia="Times New Roman"/>
          <w:b w:val="0"/>
          <w:lang w:eastAsia="es-ES"/>
        </w:rPr>
      </w:pPr>
    </w:p>
    <w:p>
      <w:pPr>
        <w:rPr>
          <w:rFonts w:eastAsia="Times New Roman"/>
          <w:b w:val="0"/>
          <w:lang w:eastAsia="es-ES"/>
        </w:rPr>
      </w:pPr>
      <w:r>
        <w:rPr>
          <w:rFonts w:eastAsia="Times New Roman"/>
          <w:b w:val="0"/>
          <w:lang w:eastAsia="es-ES"/>
        </w:rPr>
        <w:tab/>
      </w:r>
      <w:r>
        <w:rPr>
          <w:rFonts w:eastAsia="Times New Roman"/>
          <w:lang w:eastAsia="es-ES"/>
        </w:rPr>
        <w:t>El Presidente del Consejo de Defensa del Estado, señor Juan Ignacio Piña</w:t>
      </w:r>
      <w:r>
        <w:rPr>
          <w:rFonts w:eastAsia="Times New Roman"/>
          <w:b w:val="0"/>
          <w:lang w:eastAsia="es-ES"/>
        </w:rPr>
        <w:t xml:space="preserve"> informó que las cifras anteriores son independientes de aquellas causas que terminan por una transacción. La explicación de estos números son indicadores que también en parte se encuentran profundamente subsidiados. Explicó, en otros términos, que hoy día cualquier litigante puede poner en una demanda la cifra que estime conveniente y aunque haya una gran diferencia con lo que en definitiva se le entregue, el costo para él es cero. Eso hace que los litigantes en general cuando demandan una indemnización de perjuicios al Fisco pongan una cifra estratosférica y este indicador compara lo efectivamente condenado con la demanda original.</w:t>
      </w:r>
    </w:p>
    <w:p>
      <w:pPr>
        <w:rPr>
          <w:rFonts w:eastAsia="Times New Roman"/>
          <w:b w:val="0"/>
          <w:lang w:eastAsia="es-ES"/>
        </w:rPr>
      </w:pPr>
    </w:p>
    <w:p>
      <w:pPr>
        <w:rPr>
          <w:rFonts w:eastAsia="Times New Roman"/>
          <w:b w:val="0"/>
          <w:lang w:eastAsia="es-ES"/>
        </w:rPr>
      </w:pPr>
      <w:r>
        <w:rPr>
          <w:rFonts w:eastAsia="Times New Roman"/>
          <w:b w:val="0"/>
          <w:lang w:eastAsia="es-ES"/>
        </w:rPr>
        <w:tab/>
      </w:r>
      <w:r>
        <w:rPr>
          <w:rFonts w:eastAsia="Times New Roman"/>
          <w:b w:val="0"/>
          <w:lang w:eastAsia="es-ES"/>
        </w:rPr>
        <w:tab/>
      </w:r>
      <w:r>
        <w:rPr>
          <w:rFonts w:eastAsia="Times New Roman"/>
          <w:lang w:eastAsia="es-ES"/>
        </w:rPr>
        <w:t>El Presidente de la Subcomisión, Honorable Diputado señor De Mussy</w:t>
      </w:r>
      <w:r>
        <w:rPr>
          <w:rFonts w:eastAsia="Times New Roman"/>
          <w:b w:val="0"/>
          <w:lang w:eastAsia="es-ES"/>
        </w:rPr>
        <w:t xml:space="preserve">  resumió señalando que en este 93%, primero no se contemplan las causas en que se llega a un acuerdo y, luego, aquellas en que se sigue litigando y se pierden es por una cantidad menor en relación con lo que solicitaron.</w:t>
      </w:r>
    </w:p>
    <w:p>
      <w:pPr>
        <w:rPr>
          <w:rFonts w:eastAsia="Times New Roman"/>
          <w:b w:val="0"/>
          <w:lang w:eastAsia="es-ES"/>
        </w:rPr>
      </w:pPr>
    </w:p>
    <w:p>
      <w:pPr>
        <w:rPr>
          <w:rFonts w:eastAsia="Times New Roman"/>
          <w:b w:val="0"/>
          <w:lang w:eastAsia="es-ES"/>
        </w:rPr>
      </w:pPr>
      <w:r>
        <w:rPr>
          <w:rFonts w:eastAsia="Times New Roman"/>
          <w:b w:val="0"/>
          <w:lang w:eastAsia="es-ES"/>
        </w:rPr>
        <w:tab/>
      </w:r>
      <w:r>
        <w:rPr>
          <w:rFonts w:eastAsia="Times New Roman"/>
          <w:b w:val="0"/>
          <w:lang w:eastAsia="es-ES"/>
        </w:rPr>
        <w:tab/>
      </w:r>
      <w:r>
        <w:rPr>
          <w:rFonts w:eastAsia="Times New Roman"/>
          <w:lang w:eastAsia="es-ES"/>
        </w:rPr>
        <w:t xml:space="preserve">El Presidente del Consejo de Defensa del Estado, señor Juan Ignacio Piña </w:t>
      </w:r>
      <w:r>
        <w:rPr>
          <w:rFonts w:eastAsia="Times New Roman"/>
          <w:b w:val="0"/>
          <w:lang w:eastAsia="es-ES"/>
        </w:rPr>
        <w:t>respondió afirmativamente pero aclaró que no se excluyen las de las transacciones y aclaró, respecto de las que llegaron a acuerdo, que están en un indicador aparte.</w:t>
      </w:r>
    </w:p>
    <w:p>
      <w:pPr>
        <w:rPr>
          <w:rFonts w:eastAsia="Times New Roman"/>
          <w:b w:val="0"/>
          <w:lang w:eastAsia="es-ES"/>
        </w:rPr>
      </w:pPr>
    </w:p>
    <w:p>
      <w:pPr>
        <w:rPr>
          <w:rFonts w:eastAsia="Times New Roman"/>
          <w:b w:val="0"/>
          <w:lang w:eastAsia="es-ES"/>
        </w:rPr>
      </w:pPr>
    </w:p>
    <w:p>
      <w:pPr>
        <w:rPr>
          <w:rFonts w:eastAsia="Times New Roman"/>
          <w:b w:val="0"/>
          <w:lang w:eastAsia="es-ES"/>
        </w:rPr>
      </w:pPr>
      <w:r>
        <w:rPr>
          <w:rFonts w:eastAsia="Times New Roman"/>
          <w:b w:val="0"/>
          <w:lang w:eastAsia="es-ES"/>
        </w:rPr>
        <w:tab/>
      </w:r>
      <w:r>
        <w:rPr>
          <w:rFonts w:eastAsia="Times New Roman"/>
          <w:b w:val="0"/>
          <w:lang w:eastAsia="es-ES"/>
        </w:rPr>
        <w:tab/>
      </w:r>
      <w:r>
        <w:rPr>
          <w:rFonts w:eastAsia="Times New Roman"/>
          <w:lang w:eastAsia="es-ES"/>
        </w:rPr>
        <w:t>El Presidente de la Subcomisión, Honorable Diputado señor De Mussy</w:t>
      </w:r>
      <w:r>
        <w:rPr>
          <w:rFonts w:eastAsia="Times New Roman"/>
          <w:b w:val="0"/>
          <w:lang w:eastAsia="es-ES"/>
        </w:rPr>
        <w:t xml:space="preserve"> preguntó si el abogado de una persona que se ha querellado en contra del Estado tiene la misma información que el Consejo, teniendo en consideración el proyecto de integración del Consejo de Defensa del Estado con la Corporación Administrativa del Poder Judicial que les permite que tengan una información espejo lo que les facilita el trabajo o es una asimetría de información.</w:t>
      </w:r>
    </w:p>
    <w:p>
      <w:pPr>
        <w:rPr>
          <w:rFonts w:eastAsia="Times New Roman"/>
          <w:b w:val="0"/>
          <w:lang w:eastAsia="es-ES"/>
        </w:rPr>
      </w:pPr>
    </w:p>
    <w:p>
      <w:pPr>
        <w:rPr>
          <w:rFonts w:eastAsia="Times New Roman"/>
          <w:b w:val="0"/>
          <w:lang w:eastAsia="es-ES"/>
        </w:rPr>
      </w:pPr>
    </w:p>
    <w:p>
      <w:pPr>
        <w:rPr>
          <w:rFonts w:eastAsia="Times New Roman"/>
          <w:b w:val="0"/>
          <w:lang w:eastAsia="es-ES"/>
        </w:rPr>
      </w:pPr>
      <w:r>
        <w:rPr>
          <w:rFonts w:eastAsia="Times New Roman"/>
          <w:b w:val="0"/>
          <w:lang w:eastAsia="es-ES"/>
        </w:rPr>
        <w:tab/>
      </w:r>
      <w:r>
        <w:rPr>
          <w:rFonts w:eastAsia="Times New Roman"/>
          <w:b w:val="0"/>
          <w:lang w:eastAsia="es-ES"/>
        </w:rPr>
        <w:tab/>
      </w:r>
      <w:r>
        <w:rPr>
          <w:rFonts w:eastAsia="Times New Roman"/>
          <w:lang w:eastAsia="es-ES"/>
        </w:rPr>
        <w:t>El Presidente del Consejo de Defensa del Estado, señor Juan Ignacio Piña</w:t>
      </w:r>
      <w:r>
        <w:rPr>
          <w:rFonts w:eastAsia="Times New Roman"/>
          <w:b w:val="0"/>
          <w:lang w:eastAsia="es-ES"/>
        </w:rPr>
        <w:t xml:space="preserve"> respondió que la información técnicamente está dispuesta exactamente igual para todos los intervinientes, no hay nadie que tenga más información que los otros, en otros términos, cuando en una causa judicial se establece la reserva al Consejo le afecta exactamente igual como le puede afectar a cualquier otro interviniente.</w:t>
      </w:r>
    </w:p>
    <w:p>
      <w:pPr>
        <w:rPr>
          <w:rFonts w:eastAsia="Times New Roman"/>
          <w:b w:val="0"/>
          <w:lang w:eastAsia="es-ES"/>
        </w:rPr>
      </w:pPr>
    </w:p>
    <w:p>
      <w:pPr>
        <w:rPr>
          <w:rFonts w:eastAsia="Times New Roman"/>
          <w:b w:val="0"/>
          <w:lang w:eastAsia="es-ES"/>
        </w:rPr>
      </w:pPr>
      <w:r>
        <w:rPr>
          <w:rFonts w:eastAsia="Times New Roman"/>
          <w:b w:val="0"/>
          <w:lang w:eastAsia="es-ES"/>
        </w:rPr>
        <w:tab/>
        <w:t xml:space="preserve">Lo que sí se produce, en razón de que existe un principio de cooperación entre los servicios públicos es que se pueden establecer convenios específicos, básicamente, para la rapidez del acceso a esta información. Tanto el Poder Judicial, desde la presidencia del Ministro Muñoz como ahora del Ministro Dolmestch ha celebrado una serie de Convenios con distintos actores. Esto para el Consejo es muy importante, básicamente, porque les permite ahorrar muchos recursos en los desplazamientos a tribunales, teniendo que contar con receptores o procuradoras. Desde esa perspectiva les permite optimizar el asunto pero no tienen ninguna ventaja respecto de la información. </w:t>
      </w:r>
    </w:p>
    <w:p>
      <w:pPr>
        <w:rPr>
          <w:rFonts w:eastAsia="Times New Roman"/>
          <w:b w:val="0"/>
          <w:lang w:eastAsia="es-ES"/>
        </w:rPr>
      </w:pPr>
    </w:p>
    <w:p>
      <w:pPr>
        <w:rPr>
          <w:rFonts w:eastAsia="Times New Roman"/>
          <w:b w:val="0"/>
          <w:lang w:eastAsia="es-ES"/>
        </w:rPr>
      </w:pPr>
    </w:p>
    <w:p>
      <w:pPr>
        <w:rPr>
          <w:rFonts w:eastAsia="Times New Roman"/>
          <w:b w:val="0"/>
          <w:lang w:eastAsia="es-ES"/>
        </w:rPr>
      </w:pPr>
      <w:r>
        <w:rPr>
          <w:rFonts w:eastAsia="Times New Roman"/>
          <w:b w:val="0"/>
          <w:lang w:eastAsia="es-ES"/>
        </w:rPr>
        <w:tab/>
      </w:r>
      <w:r>
        <w:rPr>
          <w:rFonts w:eastAsia="Times New Roman"/>
          <w:b w:val="0"/>
          <w:lang w:eastAsia="es-ES"/>
        </w:rPr>
        <w:tab/>
      </w:r>
      <w:r>
        <w:rPr>
          <w:rFonts w:eastAsia="Times New Roman"/>
          <w:lang w:eastAsia="es-ES"/>
        </w:rPr>
        <w:t>El Presidente de la Subcomisión, Honorable Diputado señor De Mussy</w:t>
      </w:r>
      <w:r>
        <w:rPr>
          <w:rFonts w:eastAsia="Times New Roman"/>
          <w:b w:val="0"/>
          <w:lang w:eastAsia="es-ES"/>
        </w:rPr>
        <w:t xml:space="preserve"> señaló que tienen ventaja en términos de costos operativos pero no de información.</w:t>
      </w:r>
    </w:p>
    <w:p>
      <w:pPr>
        <w:rPr>
          <w:rFonts w:eastAsia="Times New Roman"/>
          <w:b w:val="0"/>
          <w:lang w:eastAsia="es-ES"/>
        </w:rPr>
      </w:pPr>
    </w:p>
    <w:p>
      <w:pPr>
        <w:rPr>
          <w:rFonts w:eastAsia="Times New Roman"/>
          <w:b w:val="0"/>
          <w:lang w:eastAsia="es-ES"/>
        </w:rPr>
      </w:pPr>
    </w:p>
    <w:p>
      <w:pPr>
        <w:rPr>
          <w:lang w:val="es-ES_tradnl"/>
        </w:rPr>
      </w:pPr>
      <w:r>
        <w:rPr>
          <w:rFonts w:eastAsia="Times New Roman"/>
          <w:b w:val="0"/>
          <w:lang w:eastAsia="es-ES"/>
        </w:rPr>
        <w:tab/>
      </w:r>
      <w:r>
        <w:rPr>
          <w:lang w:val="es-ES_tradnl"/>
        </w:rPr>
        <w:t>Sometido a votación el Capítulo 30, Programa 01, fue aprobado sin enmiendas por la unanimidad de los miembros presentes de la Subcomisión, Honorable Diputado señor De Mussy (Presidente), Honorables Senadores señores Coloma y Tuma, y Honorables Diputados señores Schilling y Silva.</w:t>
      </w:r>
    </w:p>
    <w:p>
      <w:pPr>
        <w:rPr>
          <w:rFonts w:eastAsia="Times New Roman"/>
          <w:b w:val="0"/>
          <w:lang w:val="es-ES_tradnl" w:eastAsia="es-ES"/>
        </w:rPr>
      </w:pPr>
    </w:p>
    <w:p>
      <w:pPr>
        <w:jc w:val="center"/>
        <w:rPr>
          <w:rFonts w:eastAsia="Times New Roman"/>
          <w:b w:val="0"/>
          <w:lang w:eastAsia="es-ES"/>
        </w:rPr>
      </w:pPr>
      <w:r>
        <w:rPr>
          <w:rFonts w:eastAsia="Times New Roman"/>
          <w:b w:val="0"/>
          <w:lang w:eastAsia="es-ES"/>
        </w:rPr>
        <w:t xml:space="preserve">- - - - - - - - - - </w:t>
      </w:r>
    </w:p>
    <w:p>
      <w:pPr>
        <w:rPr>
          <w:rFonts w:eastAsia="Times New Roman"/>
          <w:b w:val="0"/>
          <w:lang w:eastAsia="es-ES"/>
        </w:rPr>
      </w:pPr>
    </w:p>
    <w:p>
      <w:pPr>
        <w:jc w:val="center"/>
        <w:rPr>
          <w:b w:val="0"/>
        </w:rPr>
      </w:pPr>
      <w:r>
        <w:t>ACUERDOS</w:t>
      </w:r>
    </w:p>
    <w:p/>
    <w:p>
      <w:pPr>
        <w:rPr>
          <w:b w:val="0"/>
        </w:rPr>
      </w:pPr>
      <w:r>
        <w:tab/>
      </w:r>
      <w:r>
        <w:rPr>
          <w:b w:val="0"/>
        </w:rPr>
        <w:t>En mérito de las consideraciones expuestas, y a título meramente ilustrativo, se informan, a continuación, los acuerdos de la Subcomisión respecto a la Partida en informe:</w:t>
      </w:r>
    </w:p>
    <w:p>
      <w:pPr>
        <w:rPr>
          <w:b w:val="0"/>
        </w:rPr>
      </w:pPr>
    </w:p>
    <w:p>
      <w:pPr>
        <w:jc w:val="center"/>
        <w:rPr>
          <w:b w:val="0"/>
          <w:u w:val="single"/>
        </w:rPr>
      </w:pPr>
      <w:r>
        <w:rPr>
          <w:u w:val="single"/>
        </w:rPr>
        <w:t>PARTIDA 08, MINISTERIO DE HACIENDA</w:t>
      </w:r>
    </w:p>
    <w:p>
      <w:pPr>
        <w:rPr>
          <w:b w:val="0"/>
        </w:rPr>
      </w:pPr>
    </w:p>
    <w:p>
      <w:pPr>
        <w:rPr>
          <w:b w:val="0"/>
          <w:u w:val="single"/>
        </w:rPr>
      </w:pPr>
      <w:r>
        <w:rPr>
          <w:u w:val="single"/>
        </w:rPr>
        <w:t>I.- Aprobar sin modificaciones:</w:t>
      </w:r>
    </w:p>
    <w:p>
      <w:pPr>
        <w:rPr>
          <w:b w:val="0"/>
        </w:rPr>
      </w:pPr>
    </w:p>
    <w:p>
      <w:r>
        <w:t xml:space="preserve">CAPÍTULO 01, Secretaría y Administración General. </w:t>
      </w:r>
    </w:p>
    <w:p>
      <w:r>
        <w:t xml:space="preserve">Programa 01, Secretaría y Administración General. </w:t>
      </w:r>
    </w:p>
    <w:p>
      <w:pPr>
        <w:rPr>
          <w:b w:val="0"/>
        </w:rPr>
      </w:pPr>
      <w:r>
        <w:t>Aprobado 5x0</w:t>
      </w:r>
    </w:p>
    <w:p/>
    <w:p>
      <w:pPr>
        <w:rPr>
          <w:b w:val="0"/>
        </w:rPr>
      </w:pPr>
      <w:r>
        <w:t>Programa 06, Unidad Administradora de los Tribunales Tributarios y Aduaneros.</w:t>
      </w:r>
    </w:p>
    <w:p>
      <w:pPr>
        <w:rPr>
          <w:b w:val="0"/>
        </w:rPr>
      </w:pPr>
      <w:r>
        <w:t>Aprobado 5x0</w:t>
      </w:r>
    </w:p>
    <w:p>
      <w:pPr>
        <w:rPr>
          <w:b w:val="0"/>
        </w:rPr>
      </w:pPr>
    </w:p>
    <w:p>
      <w:r>
        <w:t xml:space="preserve">Programa 07, Sistema Integrado de Comercio Exterior (SICEX). </w:t>
      </w:r>
    </w:p>
    <w:p>
      <w:pPr>
        <w:rPr>
          <w:b w:val="0"/>
        </w:rPr>
      </w:pPr>
      <w:r>
        <w:t>Aprobado 5x0</w:t>
      </w:r>
    </w:p>
    <w:p/>
    <w:p>
      <w:r>
        <w:t>Programa 08, Programa de Modernización Sector Público.</w:t>
      </w:r>
    </w:p>
    <w:p>
      <w:r>
        <w:t>Aprobado 5x0</w:t>
      </w:r>
    </w:p>
    <w:p/>
    <w:p>
      <w:r>
        <w:t>CAPÍTULO 02, Programa 01, Dirección de Presupuestos.</w:t>
      </w:r>
    </w:p>
    <w:p>
      <w:pPr>
        <w:rPr>
          <w:b w:val="0"/>
        </w:rPr>
      </w:pPr>
      <w:r>
        <w:t>Aprobado 5x0</w:t>
      </w:r>
    </w:p>
    <w:p>
      <w:pPr>
        <w:rPr>
          <w:b w:val="0"/>
        </w:rPr>
      </w:pPr>
    </w:p>
    <w:p>
      <w:r>
        <w:t>CAPÍTULO 03, Programa 01, Servicio de Impuestos Internos.</w:t>
      </w:r>
    </w:p>
    <w:p>
      <w:pPr>
        <w:rPr>
          <w:b w:val="0"/>
        </w:rPr>
      </w:pPr>
      <w:r>
        <w:t>Aprobado 5x0</w:t>
      </w:r>
    </w:p>
    <w:p/>
    <w:p>
      <w:r>
        <w:t>CAPÍTULO 04, Programa 01, Servicio Nacional de Aduanas.</w:t>
      </w:r>
    </w:p>
    <w:p>
      <w:pPr>
        <w:rPr>
          <w:b w:val="0"/>
        </w:rPr>
      </w:pPr>
      <w:r>
        <w:t>Aprobado 5x0</w:t>
      </w:r>
    </w:p>
    <w:p/>
    <w:p>
      <w:r>
        <w:t>CAPÍTULO 05, Programa 01, Servicio de Tesorerías.</w:t>
      </w:r>
    </w:p>
    <w:p>
      <w:pPr>
        <w:rPr>
          <w:b w:val="0"/>
        </w:rPr>
      </w:pPr>
      <w:r>
        <w:t>Aprobado 5x0</w:t>
      </w:r>
    </w:p>
    <w:p/>
    <w:p>
      <w:r>
        <w:t>CAPÍTULO 07, Programa 01, Dirección de Compras y Contratación Pública.</w:t>
      </w:r>
    </w:p>
    <w:p>
      <w:pPr>
        <w:rPr>
          <w:b w:val="0"/>
        </w:rPr>
      </w:pPr>
      <w:r>
        <w:t>Aprobado 5x0</w:t>
      </w:r>
    </w:p>
    <w:p/>
    <w:p>
      <w:r>
        <w:t xml:space="preserve">CAPÍTULO 08, Programa 01, Superintendencia de Valores y Seguros. </w:t>
      </w:r>
    </w:p>
    <w:p>
      <w:pPr>
        <w:rPr>
          <w:b w:val="0"/>
        </w:rPr>
      </w:pPr>
      <w:r>
        <w:t>Aprobado 5x0</w:t>
      </w:r>
    </w:p>
    <w:p/>
    <w:p>
      <w:pPr>
        <w:rPr>
          <w:b w:val="0"/>
        </w:rPr>
      </w:pPr>
      <w:r>
        <w:t xml:space="preserve">CAPÍTULO 11, Programa 01, Superintendencia de Bancos e Instituciones Financieras. </w:t>
      </w:r>
    </w:p>
    <w:p>
      <w:pPr>
        <w:rPr>
          <w:b w:val="0"/>
        </w:rPr>
      </w:pPr>
      <w:r>
        <w:t>Aprobado 5x0</w:t>
      </w:r>
    </w:p>
    <w:p/>
    <w:p>
      <w:r>
        <w:t>CAPÍTULO 15, Programa 01, Dirección Nacional del Servicio Civil.</w:t>
      </w:r>
    </w:p>
    <w:p>
      <w:pPr>
        <w:rPr>
          <w:b w:val="0"/>
        </w:rPr>
      </w:pPr>
      <w:r>
        <w:t>Aprobado 5x0</w:t>
      </w:r>
    </w:p>
    <w:p/>
    <w:p>
      <w:r>
        <w:t>CAPÍTULO 16, Programa 01, Unidad de Análisis Financiero.</w:t>
      </w:r>
    </w:p>
    <w:p>
      <w:pPr>
        <w:rPr>
          <w:b w:val="0"/>
        </w:rPr>
      </w:pPr>
      <w:r>
        <w:t>Aprobado 5x0</w:t>
      </w:r>
    </w:p>
    <w:p/>
    <w:p>
      <w:r>
        <w:t xml:space="preserve">CAPÍTULO 17, Programa 01, Superintendencia de Casinos de Juego. </w:t>
      </w:r>
    </w:p>
    <w:p>
      <w:pPr>
        <w:rPr>
          <w:b w:val="0"/>
        </w:rPr>
      </w:pPr>
      <w:r>
        <w:t>Aprobado 5x0</w:t>
      </w:r>
    </w:p>
    <w:p/>
    <w:p>
      <w:r>
        <w:t xml:space="preserve">CAPÍTULO 30, Programa 01, Consejo de Defensa del Estado. </w:t>
      </w:r>
    </w:p>
    <w:p>
      <w:pPr>
        <w:rPr>
          <w:b w:val="0"/>
        </w:rPr>
      </w:pPr>
      <w:r>
        <w:t>Aprobado 5x0</w:t>
      </w:r>
    </w:p>
    <w:p/>
    <w:p>
      <w:pPr>
        <w:jc w:val="center"/>
        <w:rPr>
          <w:b w:val="0"/>
        </w:rPr>
      </w:pPr>
      <w:r>
        <w:rPr>
          <w:b w:val="0"/>
        </w:rPr>
        <w:t xml:space="preserve">- - - - - - - - </w:t>
      </w:r>
    </w:p>
    <w:p>
      <w:pPr>
        <w:rPr>
          <w:rFonts w:eastAsia="Times New Roman"/>
          <w:b w:val="0"/>
          <w:lang w:eastAsia="es-ES"/>
        </w:rPr>
      </w:pPr>
    </w:p>
    <w:p>
      <w:pPr>
        <w:rPr>
          <w:rFonts w:eastAsia="Times New Roman"/>
          <w:b w:val="0"/>
          <w:lang w:eastAsia="es-ES"/>
        </w:rPr>
      </w:pPr>
    </w:p>
    <w:p>
      <w:pPr>
        <w:rPr>
          <w:rFonts w:eastAsia="Times New Roman"/>
          <w:b w:val="0"/>
          <w:lang w:eastAsia="es-ES"/>
        </w:rPr>
      </w:pPr>
      <w:r>
        <w:rPr>
          <w:rFonts w:eastAsia="Times New Roman"/>
          <w:b w:val="0"/>
          <w:lang w:eastAsia="es-ES"/>
        </w:rPr>
        <w:tab/>
        <w:t xml:space="preserve">Acordado en sesiones celebradas los días </w:t>
      </w:r>
      <w:r>
        <w:rPr>
          <w:rFonts w:eastAsia="Times New Roman"/>
          <w:u w:val="single"/>
          <w:lang w:eastAsia="es-ES"/>
        </w:rPr>
        <w:t>5 de octubre de 2016</w:t>
      </w:r>
      <w:r>
        <w:rPr>
          <w:rFonts w:eastAsia="Times New Roman"/>
          <w:b w:val="0"/>
          <w:lang w:eastAsia="es-ES"/>
        </w:rPr>
        <w:t xml:space="preserve">, con asistencia de sus miembros, Honorable Diputado señor Felipe De Mussy Hiriart (Presidente), Honorables Senadores señores Juan Antonio Coloma Correa y Eugenio Tuma Zedán, y Honorables Diputados señores Marcelo Schilling Rodríguez y Ernesto Silva Méndez y </w:t>
      </w:r>
      <w:r>
        <w:rPr>
          <w:rFonts w:eastAsia="Times New Roman"/>
          <w:u w:val="single"/>
          <w:lang w:eastAsia="es-ES"/>
        </w:rPr>
        <w:t>2 de noviembre de 2016</w:t>
      </w:r>
      <w:r>
        <w:rPr>
          <w:rFonts w:eastAsia="Times New Roman"/>
          <w:b w:val="0"/>
          <w:lang w:eastAsia="es-ES"/>
        </w:rPr>
        <w:t>, con asistencia de sus miembros, Honorable Diputado señor Felipe De Mussy Hiriart (Presidente), Honorables Senadores señores Juan Antonio Coloma Correa y Eugenio Tuma Zedán, y Honorables Diputados señores Marcelo Schilling Rodríguez y Ernesto Silva Méndez.</w:t>
      </w:r>
    </w:p>
    <w:p>
      <w:pPr>
        <w:rPr>
          <w:rFonts w:eastAsia="Times New Roman"/>
          <w:b w:val="0"/>
          <w:lang w:eastAsia="es-ES"/>
        </w:rPr>
      </w:pPr>
    </w:p>
    <w:p>
      <w:pPr>
        <w:rPr>
          <w:rFonts w:eastAsia="Times New Roman"/>
          <w:b w:val="0"/>
          <w:lang w:eastAsia="es-ES"/>
        </w:rPr>
      </w:pPr>
      <w:r>
        <w:rPr>
          <w:rFonts w:eastAsia="Times New Roman"/>
          <w:b w:val="0"/>
          <w:lang w:eastAsia="es-ES"/>
        </w:rPr>
        <w:tab/>
        <w:t>Sala de la Subcomisión, a 2 de noviembre de 2016.</w:t>
      </w:r>
    </w:p>
    <w:p>
      <w:pPr>
        <w:rPr>
          <w:rFonts w:eastAsia="Times New Roman"/>
          <w:b w:val="0"/>
          <w:lang w:eastAsia="es-ES"/>
        </w:rPr>
      </w:pPr>
    </w:p>
    <w:p/>
    <w:p/>
    <w:p/>
    <w:p/>
    <w:p/>
    <w:p/>
    <w:p/>
    <w:p/>
    <w:p/>
    <w:p/>
    <w:p/>
    <w:p/>
    <w:p/>
    <w:p/>
    <w:p/>
    <w:p>
      <w:pPr>
        <w:rPr>
          <w:b w:val="0"/>
        </w:rPr>
      </w:pPr>
    </w:p>
    <w:p>
      <w:pPr>
        <w:jc w:val="center"/>
      </w:pPr>
      <w:r>
        <w:t>ANA MARÍA JARAMILLO FUENZALIDA</w:t>
      </w:r>
    </w:p>
    <w:p>
      <w:pPr>
        <w:jc w:val="center"/>
        <w:rPr>
          <w:b w:val="0"/>
        </w:rPr>
      </w:pPr>
      <w:r>
        <w:rPr>
          <w:b w:val="0"/>
        </w:rPr>
        <w:t>Abogado Secretario de la Primera Subcomisión</w:t>
      </w:r>
    </w:p>
    <w:p>
      <w:pPr>
        <w:tabs>
          <w:tab w:val="clear" w:pos="2835"/>
        </w:tabs>
        <w:rPr>
          <w:b w:val="0"/>
        </w:rPr>
      </w:pPr>
    </w:p>
    <w:p>
      <w:pPr>
        <w:tabs>
          <w:tab w:val="clear" w:pos="2835"/>
        </w:tabs>
        <w:jc w:val="center"/>
        <w:rPr>
          <w:rFonts w:eastAsia="Times New Roman"/>
          <w:lang w:val="es-ES" w:eastAsia="es-ES"/>
        </w:rPr>
      </w:pPr>
      <w:r>
        <w:rPr>
          <w:rFonts w:eastAsia="Times New Roman"/>
          <w:lang w:val="es-ES" w:eastAsia="es-ES"/>
        </w:rPr>
        <w:t>ANEXO 08</w:t>
      </w:r>
    </w:p>
    <w:p>
      <w:pPr>
        <w:jc w:val="center"/>
        <w:rPr>
          <w:b w:val="0"/>
        </w:rPr>
      </w:pPr>
      <w:r>
        <w:t>MINISTERIO DE HACIENDA</w:t>
      </w:r>
    </w:p>
    <w:p>
      <w:pPr>
        <w:ind w:left="284" w:hanging="284"/>
        <w:rPr>
          <w:b w:val="0"/>
        </w:rPr>
      </w:pPr>
    </w:p>
    <w:p>
      <w:pPr>
        <w:ind w:left="284" w:hanging="284"/>
        <w:rPr>
          <w:b w:val="0"/>
        </w:rPr>
      </w:pPr>
      <w:r>
        <w:t>A.</w:t>
      </w:r>
      <w:r>
        <w:rPr>
          <w:b w:val="0"/>
        </w:rPr>
        <w:t xml:space="preserve"> Libro de la Dirección de Presupuestos, Partida 08, Ministerio de Hacienda, sobre el Proyecto de Ley de Presupuestos para el año 2017.</w:t>
      </w:r>
    </w:p>
    <w:p>
      <w:pPr>
        <w:ind w:left="284" w:hanging="284"/>
        <w:rPr>
          <w:b w:val="0"/>
        </w:rPr>
      </w:pPr>
    </w:p>
    <w:p>
      <w:pPr>
        <w:ind w:left="284" w:hanging="284"/>
        <w:rPr>
          <w:b w:val="0"/>
        </w:rPr>
      </w:pPr>
      <w:r>
        <w:t>B.</w:t>
      </w:r>
      <w:r>
        <w:rPr>
          <w:b w:val="0"/>
        </w:rPr>
        <w:t xml:space="preserve"> Exposición del señor Subsecretario de Hacienda, respecto del Presupuesto para el año 2017.</w:t>
      </w:r>
    </w:p>
    <w:p>
      <w:pPr>
        <w:ind w:left="284" w:hanging="284"/>
        <w:rPr>
          <w:b w:val="0"/>
        </w:rPr>
      </w:pPr>
    </w:p>
    <w:p>
      <w:pPr>
        <w:ind w:left="284" w:hanging="284"/>
        <w:jc w:val="center"/>
        <w:rPr>
          <w:b w:val="0"/>
        </w:rPr>
      </w:pPr>
      <w:r>
        <w:rPr>
          <w:b w:val="0"/>
        </w:rPr>
        <w:t>- - - - - - -</w:t>
      </w:r>
    </w:p>
    <w:p>
      <w:pPr>
        <w:ind w:left="284" w:hanging="284"/>
        <w:rPr>
          <w:b w:val="0"/>
        </w:rPr>
      </w:pPr>
    </w:p>
    <w:p>
      <w:pPr>
        <w:rPr>
          <w:b w:val="0"/>
        </w:rPr>
      </w:pPr>
      <w:r>
        <w:t>C</w:t>
      </w:r>
      <w:r>
        <w:rPr>
          <w:b w:val="0"/>
        </w:rPr>
        <w:t>. Documentos que contienen las respuestas solicitadas, entregadas a la Subcomisión:</w:t>
      </w:r>
    </w:p>
    <w:p>
      <w:pPr>
        <w:rPr>
          <w:b w:val="0"/>
        </w:rPr>
      </w:pPr>
    </w:p>
    <w:p>
      <w:pPr>
        <w:rPr>
          <w:b w:val="0"/>
        </w:rPr>
      </w:pPr>
      <w:r>
        <w:t>1</w:t>
      </w:r>
      <w:r>
        <w:rPr>
          <w:b w:val="0"/>
        </w:rPr>
        <w:t xml:space="preserve">.- </w:t>
      </w:r>
      <w:r>
        <w:t>Respuestas de carácter general a la Partida:</w:t>
      </w:r>
    </w:p>
    <w:p>
      <w:pPr>
        <w:rPr>
          <w:b w:val="0"/>
        </w:rPr>
      </w:pPr>
    </w:p>
    <w:p>
      <w:pPr>
        <w:rPr>
          <w:b w:val="0"/>
          <w:lang w:val="es-MX"/>
        </w:rPr>
      </w:pPr>
      <w:r>
        <w:rPr>
          <w:b w:val="0"/>
          <w:lang w:val="es-MX"/>
        </w:rPr>
        <w:t>- Cuadro por subtítulos de ingreso y gastos de la Partida, con cifras comparativas en miles de pesos de 2017 referidas al presupuesto 2016, detallando los montos que se rebajan por ajuste fiscal y lo que se suma por reajuste. En cuanto a las Leyes Especiales se informa con efecto cero para este Ministerio.</w:t>
      </w:r>
    </w:p>
    <w:p>
      <w:pPr>
        <w:rPr>
          <w:b w:val="0"/>
          <w:lang w:val="es-MX"/>
        </w:rPr>
      </w:pPr>
    </w:p>
    <w:p>
      <w:pPr>
        <w:rPr>
          <w:b w:val="0"/>
          <w:lang w:val="es-MX"/>
        </w:rPr>
      </w:pPr>
      <w:r>
        <w:rPr>
          <w:b w:val="0"/>
          <w:lang w:val="es-MX"/>
        </w:rPr>
        <w:t>- Minuta del informe financiero actualizado del proyecto de ley que otorga una bonificación adicional y otros beneficios de incentivo al retiro para los funcionarios y funcionarias de los servicios públicos. Para los años 2016 y 2017, el informe financiero estima un costo fiscal de $66.666 y $58.196 millones de pesos de 2016, respectivamente.</w:t>
      </w:r>
    </w:p>
    <w:p>
      <w:pPr>
        <w:rPr>
          <w:b w:val="0"/>
          <w:lang w:val="es-MX"/>
        </w:rPr>
      </w:pPr>
    </w:p>
    <w:p>
      <w:pPr>
        <w:rPr>
          <w:b w:val="0"/>
          <w:lang w:val="es-MX"/>
        </w:rPr>
      </w:pPr>
      <w:r>
        <w:rPr>
          <w:b w:val="0"/>
          <w:lang w:val="es-MX"/>
        </w:rPr>
        <w:t>- Cuadro con gastos de publicidad y difusión y para gastos en estudios del año 2016, desagregado por Servicios del Ministerio de Hacienda.</w:t>
      </w:r>
    </w:p>
    <w:p>
      <w:pPr>
        <w:rPr>
          <w:b w:val="0"/>
          <w:lang w:val="es-MX"/>
        </w:rPr>
      </w:pPr>
    </w:p>
    <w:p>
      <w:pPr>
        <w:rPr>
          <w:b w:val="0"/>
          <w:lang w:val="es-MX"/>
        </w:rPr>
      </w:pPr>
      <w:r>
        <w:rPr>
          <w:b w:val="0"/>
          <w:lang w:val="es-MX"/>
        </w:rPr>
        <w:t>- Cuadro que incorpora información de cupos de personal para Reforma Tributaria, detallando tanto el número de personas como el gasto en miles de pesos, desagregada para: el Servicio de Impuestos Internos, Servicio Nacional de Aduanas y Servicio de Tesorerías.</w:t>
      </w:r>
    </w:p>
    <w:p>
      <w:pPr>
        <w:rPr>
          <w:b w:val="0"/>
          <w:lang w:val="es-MX"/>
        </w:rPr>
      </w:pPr>
    </w:p>
    <w:p>
      <w:pPr>
        <w:rPr>
          <w:b w:val="0"/>
        </w:rPr>
      </w:pPr>
      <w:r>
        <w:rPr>
          <w:b w:val="0"/>
        </w:rPr>
        <w:t>- Minuta</w:t>
      </w:r>
      <w:r>
        <w:rPr>
          <w:b w:val="0"/>
          <w:lang w:val="es-MX"/>
        </w:rPr>
        <w:t xml:space="preserve"> con antecedentes de la rotación efectiva de personal del Ministerio, que las fundamenta en 3 situaciones: procesos normales de desvinculaciones (fallecimientos, renuncias, jubilaciones), Procesos de concursos masivos de ingreso funcionario, y Evaluación de traspaso de personal honorarios a dotación en cupos disponibles.</w:t>
      </w:r>
    </w:p>
    <w:p>
      <w:pPr>
        <w:rPr>
          <w:b w:val="0"/>
        </w:rPr>
      </w:pPr>
    </w:p>
    <w:p>
      <w:pPr>
        <w:rPr>
          <w:b w:val="0"/>
        </w:rPr>
      </w:pPr>
      <w:r>
        <w:t>2</w:t>
      </w:r>
      <w:r>
        <w:rPr>
          <w:b w:val="0"/>
        </w:rPr>
        <w:t>.-</w:t>
      </w:r>
      <w:r>
        <w:t xml:space="preserve"> Sistema Integrado de Comercio Exterior (SICEX):</w:t>
      </w:r>
      <w:r>
        <w:rPr>
          <w:b w:val="0"/>
        </w:rPr>
        <w:t xml:space="preserve"> </w:t>
      </w:r>
    </w:p>
    <w:p>
      <w:pPr>
        <w:rPr>
          <w:b w:val="0"/>
        </w:rPr>
      </w:pPr>
    </w:p>
    <w:p>
      <w:pPr>
        <w:rPr>
          <w:b w:val="0"/>
        </w:rPr>
      </w:pPr>
      <w:r>
        <w:rPr>
          <w:b w:val="0"/>
        </w:rPr>
        <w:t>- Minuta</w:t>
      </w:r>
      <w:r>
        <w:rPr>
          <w:b w:val="0"/>
          <w:lang w:val="es-MX"/>
        </w:rPr>
        <w:t xml:space="preserve"> del Programa Sistema Integrado de Comercio Exterior, detallando sus procesos, indicadores de productividad y resultados a septiembre de 2016. Como impacto del programa, se informa que éste ha permitido reducir el tiempo promedio para exportar en un 52%. Respecto de los ahorros de costos informa que se contratará una consultaría para determinar el ahorro que significa para las empresas exportadoras la reducción de tiempo de exportación.</w:t>
      </w:r>
    </w:p>
    <w:p>
      <w:pPr>
        <w:rPr>
          <w:b w:val="0"/>
        </w:rPr>
      </w:pPr>
    </w:p>
    <w:p>
      <w:pPr>
        <w:rPr>
          <w:b w:val="0"/>
        </w:rPr>
      </w:pPr>
      <w:r>
        <w:t>3</w:t>
      </w:r>
      <w:r>
        <w:rPr>
          <w:b w:val="0"/>
        </w:rPr>
        <w:t>.-</w:t>
      </w:r>
      <w:r>
        <w:t xml:space="preserve"> Programa de Modernización Sector Público:</w:t>
      </w:r>
    </w:p>
    <w:p>
      <w:pPr>
        <w:rPr>
          <w:b w:val="0"/>
        </w:rPr>
      </w:pPr>
    </w:p>
    <w:p>
      <w:pPr>
        <w:rPr>
          <w:b w:val="0"/>
        </w:rPr>
      </w:pPr>
      <w:r>
        <w:rPr>
          <w:b w:val="0"/>
          <w:lang w:val="es-MX"/>
        </w:rPr>
        <w:t>- Informe N°2 de Consultoría para formulación de proyecto de fortalecimiento de ChileAtiende.</w:t>
      </w:r>
    </w:p>
    <w:p>
      <w:pPr>
        <w:rPr>
          <w:b w:val="0"/>
        </w:rPr>
      </w:pPr>
    </w:p>
    <w:p>
      <w:pPr>
        <w:rPr>
          <w:b w:val="0"/>
        </w:rPr>
      </w:pPr>
      <w:r>
        <w:t>4.- Dirección de Presupuestos</w:t>
      </w:r>
      <w:r>
        <w:rPr>
          <w:b w:val="0"/>
        </w:rPr>
        <w:t>:</w:t>
      </w:r>
    </w:p>
    <w:p>
      <w:pPr>
        <w:rPr>
          <w:b w:val="0"/>
        </w:rPr>
      </w:pPr>
    </w:p>
    <w:p>
      <w:pPr>
        <w:rPr>
          <w:b w:val="0"/>
        </w:rPr>
      </w:pPr>
      <w:r>
        <w:rPr>
          <w:b w:val="0"/>
          <w:lang w:val="es-MX"/>
        </w:rPr>
        <w:t>- Estadística de programas gubernamentales evaluados desde el año 2011 a 2016, con un total de 132 programas en sus 4 clasificaciones: Evaluación de Gasto Institucional, (EGI), Evaluación de Impacto (EI), Evaluación de Programas Gubernamentales (EPG) y Evaluación de Programas Nuevos (EPN), donde el 50% de los programas evaluados ha sido calificado como de desempeño insuficiente y un 22% con desempeño suficiente</w:t>
      </w:r>
    </w:p>
    <w:p>
      <w:pPr>
        <w:rPr>
          <w:b w:val="0"/>
        </w:rPr>
      </w:pPr>
    </w:p>
    <w:p>
      <w:r>
        <w:t>5.- Servicio de Tesorerías:</w:t>
      </w:r>
    </w:p>
    <w:p>
      <w:pPr>
        <w:rPr>
          <w:b w:val="0"/>
        </w:rPr>
      </w:pPr>
    </w:p>
    <w:p>
      <w:pPr>
        <w:rPr>
          <w:b w:val="0"/>
        </w:rPr>
      </w:pPr>
      <w:r>
        <w:rPr>
          <w:b w:val="0"/>
          <w:lang w:val="es-MX"/>
        </w:rPr>
        <w:t>- Presupuesto 2017 destinado a la recaudación coercitiva del Servicio de Tesorerías es del 41% del presupuesto global, es decir, MM$22.686.</w:t>
      </w:r>
    </w:p>
    <w:p>
      <w:pPr>
        <w:rPr>
          <w:b w:val="0"/>
        </w:rPr>
      </w:pPr>
    </w:p>
    <w:p>
      <w:r>
        <w:t>6.- CHILECOMPRAS:</w:t>
      </w:r>
    </w:p>
    <w:p>
      <w:pPr>
        <w:rPr>
          <w:b w:val="0"/>
        </w:rPr>
      </w:pPr>
    </w:p>
    <w:p>
      <w:pPr>
        <w:rPr>
          <w:b w:val="0"/>
        </w:rPr>
      </w:pPr>
      <w:r>
        <w:rPr>
          <w:b w:val="0"/>
        </w:rPr>
        <w:t>- Gráficas</w:t>
      </w:r>
      <w:r>
        <w:rPr>
          <w:b w:val="0"/>
          <w:lang w:val="es-MX"/>
        </w:rPr>
        <w:t xml:space="preserve"> con estadísticas sobre transacciones efectuadas por sector (Número de transacciones y volumen transado)</w:t>
      </w:r>
    </w:p>
    <w:p>
      <w:pPr>
        <w:rPr>
          <w:b w:val="0"/>
        </w:rPr>
      </w:pPr>
    </w:p>
    <w:p>
      <w:r>
        <w:t>7.- Dirección Nacional de Servicio Civil:</w:t>
      </w:r>
    </w:p>
    <w:p>
      <w:pPr>
        <w:rPr>
          <w:b w:val="0"/>
        </w:rPr>
      </w:pPr>
    </w:p>
    <w:p>
      <w:pPr>
        <w:rPr>
          <w:b w:val="0"/>
        </w:rPr>
      </w:pPr>
      <w:r>
        <w:rPr>
          <w:b w:val="0"/>
        </w:rPr>
        <w:t xml:space="preserve">- </w:t>
      </w:r>
      <w:r>
        <w:rPr>
          <w:b w:val="0"/>
          <w:lang w:val="es-MX"/>
        </w:rPr>
        <w:t>Copia de Actas del Consejo Ciudadano de Observadores (Acta sesión N°4 y N°5) y cronograma sobre la participación del Ministerio de Hacienda para realizar el proceso de selección de los facilitadores del proceso constituyente y otros informes relativos a dicho procedimiento.</w:t>
      </w:r>
    </w:p>
    <w:p>
      <w:pPr>
        <w:rPr>
          <w:b w:val="0"/>
        </w:rPr>
      </w:pPr>
    </w:p>
    <w:p>
      <w:pPr>
        <w:jc w:val="center"/>
        <w:rPr>
          <w:b w:val="0"/>
        </w:rPr>
      </w:pPr>
      <w:r>
        <w:rPr>
          <w:b w:val="0"/>
        </w:rPr>
        <w:t xml:space="preserve">- - - - - - - </w:t>
      </w:r>
    </w:p>
    <w:p>
      <w:pPr>
        <w:tabs>
          <w:tab w:val="clear" w:pos="2835"/>
        </w:tabs>
        <w:jc w:val="center"/>
        <w:rPr>
          <w:rFonts w:eastAsia="Times New Roman" w:cs="Times New Roman"/>
          <w:lang w:val="es-ES" w:eastAsia="es-ES"/>
        </w:rPr>
      </w:pPr>
    </w:p>
    <w:p>
      <w:pPr>
        <w:tabs>
          <w:tab w:val="clear" w:pos="2835"/>
        </w:tabs>
        <w:jc w:val="center"/>
        <w:rPr>
          <w:rFonts w:eastAsia="Times New Roman" w:cs="Times New Roman"/>
          <w:lang w:val="es-ES" w:eastAsia="es-ES"/>
        </w:rPr>
      </w:pPr>
    </w:p>
    <w:p>
      <w:pPr>
        <w:tabs>
          <w:tab w:val="clear" w:pos="2835"/>
        </w:tabs>
        <w:jc w:val="center"/>
        <w:rPr>
          <w:rFonts w:eastAsia="Times New Roman" w:cs="Times New Roman"/>
          <w:lang w:val="es-ES" w:eastAsia="es-ES"/>
        </w:rPr>
      </w:pPr>
    </w:p>
    <w:p>
      <w:pPr>
        <w:tabs>
          <w:tab w:val="clear" w:pos="2835"/>
        </w:tabs>
        <w:jc w:val="center"/>
        <w:rPr>
          <w:rFonts w:eastAsia="Times New Roman" w:cs="Times New Roman"/>
          <w:lang w:val="es-ES" w:eastAsia="es-ES"/>
        </w:rPr>
      </w:pPr>
    </w:p>
    <w:p>
      <w:pPr>
        <w:tabs>
          <w:tab w:val="clear" w:pos="2835"/>
        </w:tabs>
        <w:jc w:val="center"/>
        <w:rPr>
          <w:rFonts w:eastAsia="Times New Roman" w:cs="Times New Roman"/>
          <w:lang w:val="es-ES" w:eastAsia="es-ES"/>
        </w:rPr>
      </w:pPr>
    </w:p>
    <w:p>
      <w:pPr>
        <w:tabs>
          <w:tab w:val="clear" w:pos="2835"/>
        </w:tabs>
        <w:jc w:val="center"/>
        <w:rPr>
          <w:rFonts w:eastAsia="Times New Roman" w:cs="Times New Roman"/>
          <w:lang w:val="es-ES" w:eastAsia="es-ES"/>
        </w:rPr>
      </w:pPr>
    </w:p>
    <w:p>
      <w:pPr>
        <w:tabs>
          <w:tab w:val="clear" w:pos="2835"/>
        </w:tabs>
        <w:jc w:val="center"/>
        <w:rPr>
          <w:rFonts w:eastAsia="Times New Roman" w:cs="Times New Roman"/>
          <w:lang w:val="es-ES" w:eastAsia="es-ES"/>
        </w:rPr>
      </w:pPr>
    </w:p>
    <w:p>
      <w:pPr>
        <w:tabs>
          <w:tab w:val="clear" w:pos="2835"/>
        </w:tabs>
        <w:jc w:val="center"/>
        <w:rPr>
          <w:rFonts w:eastAsia="Times New Roman" w:cs="Times New Roman"/>
          <w:lang w:val="es-ES" w:eastAsia="es-ES"/>
        </w:rPr>
      </w:pPr>
    </w:p>
    <w:p>
      <w:pPr>
        <w:tabs>
          <w:tab w:val="clear" w:pos="2835"/>
        </w:tabs>
        <w:jc w:val="center"/>
        <w:rPr>
          <w:rFonts w:eastAsia="Times New Roman" w:cs="Times New Roman"/>
          <w:lang w:val="es-ES" w:eastAsia="es-ES"/>
        </w:rPr>
      </w:pPr>
    </w:p>
    <w:p>
      <w:pPr>
        <w:tabs>
          <w:tab w:val="clear" w:pos="2835"/>
        </w:tabs>
        <w:jc w:val="center"/>
        <w:rPr>
          <w:rFonts w:eastAsia="Times New Roman" w:cs="Times New Roman"/>
          <w:lang w:val="es-ES" w:eastAsia="es-ES"/>
        </w:rPr>
      </w:pPr>
      <w:r>
        <w:rPr>
          <w:rFonts w:eastAsia="Times New Roman" w:cs="Times New Roman"/>
          <w:lang w:val="es-ES" w:eastAsia="es-ES"/>
        </w:rPr>
        <w:t>INDICE</w:t>
      </w:r>
    </w:p>
    <w:p>
      <w:pPr>
        <w:tabs>
          <w:tab w:val="clear" w:pos="2835"/>
        </w:tabs>
        <w:rPr>
          <w:rFonts w:eastAsia="Times New Roman" w:cs="Times New Roman"/>
          <w:sz w:val="22"/>
          <w:szCs w:val="20"/>
          <w:lang w:val="es-ES" w:eastAsia="es-ES"/>
        </w:rPr>
      </w:pPr>
    </w:p>
    <w:p>
      <w:pPr>
        <w:tabs>
          <w:tab w:val="clear" w:pos="2835"/>
        </w:tabs>
        <w:rPr>
          <w:rFonts w:eastAsia="Times New Roman"/>
          <w:lang w:val="es-ES" w:eastAsia="es-ES"/>
        </w:rPr>
      </w:pPr>
      <w:r>
        <w:rPr>
          <w:rFonts w:eastAsia="Times New Roman" w:cs="Times New Roman"/>
          <w:sz w:val="22"/>
          <w:szCs w:val="20"/>
          <w:lang w:val="es-ES" w:eastAsia="es-ES"/>
        </w:rPr>
        <w:t xml:space="preserve">                                                                                                                   Nº páginas</w:t>
      </w:r>
    </w:p>
    <w:p>
      <w:pPr>
        <w:tabs>
          <w:tab w:val="clear" w:pos="2835"/>
        </w:tabs>
        <w:rPr>
          <w:b w:val="0"/>
        </w:rPr>
      </w:pPr>
      <w:r>
        <w:t xml:space="preserve">PARTIDA 08, Ministerio de Hacienda </w:t>
      </w:r>
      <w:r>
        <w:rPr>
          <w:b w:val="0"/>
        </w:rPr>
        <w:t>…………………………………..</w:t>
      </w:r>
      <w:r>
        <w:rPr>
          <w:b w:val="0"/>
        </w:rPr>
        <w:tab/>
        <w:t>2</w:t>
      </w:r>
    </w:p>
    <w:p>
      <w:pPr>
        <w:tabs>
          <w:tab w:val="clear" w:pos="2835"/>
        </w:tabs>
      </w:pPr>
      <w:r>
        <w:t>SUBSECRETARÍA</w:t>
      </w:r>
    </w:p>
    <w:p>
      <w:pPr>
        <w:tabs>
          <w:tab w:val="clear" w:pos="2835"/>
        </w:tabs>
      </w:pPr>
      <w:r>
        <w:t>- Secretaría y Administración General.</w:t>
      </w:r>
    </w:p>
    <w:p>
      <w:pPr>
        <w:tabs>
          <w:tab w:val="clear" w:pos="2835"/>
        </w:tabs>
        <w:rPr>
          <w:b w:val="0"/>
        </w:rPr>
      </w:pPr>
      <w:r>
        <w:rPr>
          <w:b w:val="0"/>
        </w:rPr>
        <w:t>Capítulo 01, Programa 01 ………………………………………….............</w:t>
      </w:r>
      <w:r>
        <w:rPr>
          <w:b w:val="0"/>
        </w:rPr>
        <w:tab/>
        <w:t>13</w:t>
      </w:r>
    </w:p>
    <w:p>
      <w:pPr>
        <w:tabs>
          <w:tab w:val="clear" w:pos="2835"/>
        </w:tabs>
      </w:pPr>
      <w:r>
        <w:t>- Unidad Administradora de los Tribunales Tributarios y Aduaneros.</w:t>
      </w:r>
    </w:p>
    <w:p>
      <w:pPr>
        <w:tabs>
          <w:tab w:val="clear" w:pos="2835"/>
        </w:tabs>
        <w:rPr>
          <w:b w:val="0"/>
        </w:rPr>
      </w:pPr>
      <w:r>
        <w:rPr>
          <w:b w:val="0"/>
        </w:rPr>
        <w:t>Programa 06 .………………………………………………………….……..</w:t>
      </w:r>
      <w:r>
        <w:rPr>
          <w:b w:val="0"/>
        </w:rPr>
        <w:tab/>
        <w:t>21</w:t>
      </w:r>
    </w:p>
    <w:p>
      <w:pPr>
        <w:rPr>
          <w:b w:val="0"/>
        </w:rPr>
      </w:pPr>
      <w:r>
        <w:rPr>
          <w:b w:val="0"/>
        </w:rPr>
        <w:t xml:space="preserve">- </w:t>
      </w:r>
      <w:r>
        <w:t>Sistema Integrado de Comercio Exterior (SICEX)</w:t>
      </w:r>
    </w:p>
    <w:p>
      <w:pPr>
        <w:tabs>
          <w:tab w:val="clear" w:pos="2835"/>
        </w:tabs>
        <w:rPr>
          <w:b w:val="0"/>
        </w:rPr>
      </w:pPr>
      <w:r>
        <w:rPr>
          <w:b w:val="0"/>
        </w:rPr>
        <w:t>Programa 07 ………………………………………………………………….</w:t>
      </w:r>
      <w:r>
        <w:rPr>
          <w:b w:val="0"/>
        </w:rPr>
        <w:tab/>
        <w:t>23</w:t>
      </w:r>
    </w:p>
    <w:p>
      <w:pPr>
        <w:rPr>
          <w:b w:val="0"/>
        </w:rPr>
      </w:pPr>
      <w:r>
        <w:rPr>
          <w:b w:val="0"/>
        </w:rPr>
        <w:t xml:space="preserve">- </w:t>
      </w:r>
      <w:r>
        <w:t>Programa de Modernización Sector Público</w:t>
      </w:r>
    </w:p>
    <w:p>
      <w:pPr>
        <w:tabs>
          <w:tab w:val="clear" w:pos="2835"/>
        </w:tabs>
        <w:rPr>
          <w:b w:val="0"/>
        </w:rPr>
      </w:pPr>
      <w:r>
        <w:rPr>
          <w:b w:val="0"/>
        </w:rPr>
        <w:t>Programa 08 ………………………………………………………………….</w:t>
      </w:r>
      <w:r>
        <w:rPr>
          <w:b w:val="0"/>
        </w:rPr>
        <w:tab/>
        <w:t>28</w:t>
      </w:r>
    </w:p>
    <w:p>
      <w:pPr>
        <w:tabs>
          <w:tab w:val="clear" w:pos="2835"/>
        </w:tabs>
        <w:rPr>
          <w:b w:val="0"/>
        </w:rPr>
      </w:pPr>
    </w:p>
    <w:p>
      <w:pPr>
        <w:tabs>
          <w:tab w:val="clear" w:pos="2835"/>
        </w:tabs>
        <w:rPr>
          <w:b w:val="0"/>
        </w:rPr>
      </w:pPr>
      <w:r>
        <w:t>DIRECCIÓN DE PRESUPUESTO.</w:t>
      </w:r>
      <w:r>
        <w:rPr>
          <w:b w:val="0"/>
        </w:rPr>
        <w:t xml:space="preserve"> Capítulo 02, Programa 01 ..............</w:t>
      </w:r>
      <w:r>
        <w:rPr>
          <w:b w:val="0"/>
        </w:rPr>
        <w:tab/>
        <w:t>35</w:t>
      </w:r>
    </w:p>
    <w:p>
      <w:pPr>
        <w:tabs>
          <w:tab w:val="clear" w:pos="2835"/>
        </w:tabs>
        <w:rPr>
          <w:b w:val="0"/>
        </w:rPr>
      </w:pPr>
    </w:p>
    <w:p>
      <w:pPr>
        <w:tabs>
          <w:tab w:val="clear" w:pos="2835"/>
        </w:tabs>
        <w:rPr>
          <w:b w:val="0"/>
        </w:rPr>
      </w:pPr>
      <w:r>
        <w:t>SERVICIO DE IMPUESTOS INTERNOS.</w:t>
      </w:r>
      <w:r>
        <w:rPr>
          <w:b w:val="0"/>
        </w:rPr>
        <w:t xml:space="preserve"> Capítulo 03, Programa 01 ....</w:t>
      </w:r>
      <w:r>
        <w:rPr>
          <w:b w:val="0"/>
        </w:rPr>
        <w:tab/>
        <w:t>43</w:t>
      </w:r>
    </w:p>
    <w:p>
      <w:pPr>
        <w:tabs>
          <w:tab w:val="clear" w:pos="2835"/>
        </w:tabs>
      </w:pPr>
    </w:p>
    <w:p>
      <w:pPr>
        <w:tabs>
          <w:tab w:val="clear" w:pos="2835"/>
        </w:tabs>
        <w:rPr>
          <w:b w:val="0"/>
        </w:rPr>
      </w:pPr>
      <w:r>
        <w:t xml:space="preserve">SERVICIO NACIONAL DE ADUANAS. </w:t>
      </w:r>
      <w:r>
        <w:rPr>
          <w:b w:val="0"/>
        </w:rPr>
        <w:t>Capítulo 04, Programa 01 ........</w:t>
      </w:r>
      <w:r>
        <w:rPr>
          <w:b w:val="0"/>
        </w:rPr>
        <w:tab/>
        <w:t>74</w:t>
      </w:r>
    </w:p>
    <w:p>
      <w:pPr>
        <w:tabs>
          <w:tab w:val="clear" w:pos="2835"/>
        </w:tabs>
        <w:rPr>
          <w:b w:val="0"/>
        </w:rPr>
      </w:pPr>
    </w:p>
    <w:p>
      <w:pPr>
        <w:tabs>
          <w:tab w:val="clear" w:pos="2835"/>
        </w:tabs>
        <w:rPr>
          <w:b w:val="0"/>
        </w:rPr>
      </w:pPr>
      <w:r>
        <w:t>SERVICIO DE TESORERÍAS.</w:t>
      </w:r>
      <w:r>
        <w:rPr>
          <w:b w:val="0"/>
        </w:rPr>
        <w:t xml:space="preserve"> Capítulo 05, Programa 01 ......................</w:t>
      </w:r>
      <w:r>
        <w:rPr>
          <w:b w:val="0"/>
        </w:rPr>
        <w:tab/>
        <w:t>82</w:t>
      </w:r>
    </w:p>
    <w:p>
      <w:pPr>
        <w:tabs>
          <w:tab w:val="clear" w:pos="2835"/>
        </w:tabs>
        <w:rPr>
          <w:b w:val="0"/>
        </w:rPr>
      </w:pPr>
    </w:p>
    <w:p>
      <w:pPr>
        <w:tabs>
          <w:tab w:val="clear" w:pos="2835"/>
        </w:tabs>
      </w:pPr>
      <w:r>
        <w:t>DIRECCIÓN DE COMPRAS Y CONTRATACIÓN PÚBLICA.</w:t>
      </w:r>
    </w:p>
    <w:p>
      <w:pPr>
        <w:tabs>
          <w:tab w:val="clear" w:pos="2835"/>
        </w:tabs>
        <w:rPr>
          <w:b w:val="0"/>
        </w:rPr>
      </w:pPr>
      <w:r>
        <w:rPr>
          <w:b w:val="0"/>
        </w:rPr>
        <w:t>Capítulo 07, Programa 01 …………………………………………………</w:t>
      </w:r>
      <w:r>
        <w:rPr>
          <w:b w:val="0"/>
        </w:rPr>
        <w:tab/>
        <w:t>92</w:t>
      </w:r>
    </w:p>
    <w:p>
      <w:pPr>
        <w:tabs>
          <w:tab w:val="clear" w:pos="2835"/>
        </w:tabs>
        <w:rPr>
          <w:b w:val="0"/>
        </w:rPr>
      </w:pPr>
    </w:p>
    <w:p>
      <w:pPr>
        <w:tabs>
          <w:tab w:val="clear" w:pos="2835"/>
        </w:tabs>
        <w:rPr>
          <w:b w:val="0"/>
        </w:rPr>
      </w:pPr>
      <w:r>
        <w:t>SUPERINTENDENCIA DE VALORES Y SEGUROS</w:t>
      </w:r>
      <w:r>
        <w:rPr>
          <w:b w:val="0"/>
        </w:rPr>
        <w:t xml:space="preserve">. </w:t>
      </w:r>
    </w:p>
    <w:p>
      <w:pPr>
        <w:tabs>
          <w:tab w:val="clear" w:pos="2835"/>
        </w:tabs>
        <w:rPr>
          <w:b w:val="0"/>
        </w:rPr>
      </w:pPr>
      <w:r>
        <w:rPr>
          <w:b w:val="0"/>
        </w:rPr>
        <w:t>Capítulo 08, Programa 01 ………………………………………………....</w:t>
      </w:r>
      <w:r>
        <w:rPr>
          <w:b w:val="0"/>
        </w:rPr>
        <w:tab/>
        <w:t>99</w:t>
      </w:r>
    </w:p>
    <w:p>
      <w:pPr>
        <w:tabs>
          <w:tab w:val="clear" w:pos="2835"/>
        </w:tabs>
        <w:rPr>
          <w:b w:val="0"/>
        </w:rPr>
      </w:pPr>
    </w:p>
    <w:p>
      <w:pPr>
        <w:tabs>
          <w:tab w:val="clear" w:pos="2835"/>
        </w:tabs>
      </w:pPr>
      <w:r>
        <w:t xml:space="preserve">SUPERINTENDENCIA DE BANCOS E INSTITUCIONES </w:t>
      </w:r>
    </w:p>
    <w:p>
      <w:pPr>
        <w:tabs>
          <w:tab w:val="clear" w:pos="2835"/>
        </w:tabs>
        <w:rPr>
          <w:b w:val="0"/>
        </w:rPr>
      </w:pPr>
      <w:r>
        <w:t xml:space="preserve">FINANCIERAS. </w:t>
      </w:r>
      <w:r>
        <w:rPr>
          <w:b w:val="0"/>
        </w:rPr>
        <w:t>Capítulo 11, Programa 01 ...........................................</w:t>
      </w:r>
      <w:r>
        <w:rPr>
          <w:b w:val="0"/>
        </w:rPr>
        <w:tab/>
        <w:t>107</w:t>
      </w:r>
    </w:p>
    <w:p>
      <w:pPr>
        <w:tabs>
          <w:tab w:val="clear" w:pos="2835"/>
        </w:tabs>
        <w:rPr>
          <w:b w:val="0"/>
        </w:rPr>
      </w:pPr>
    </w:p>
    <w:p>
      <w:pPr>
        <w:tabs>
          <w:tab w:val="clear" w:pos="2835"/>
        </w:tabs>
      </w:pPr>
      <w:r>
        <w:t>DIRECCIÓN NACIONAL DEL SERVICIO CIVIL.</w:t>
      </w:r>
    </w:p>
    <w:p>
      <w:pPr>
        <w:tabs>
          <w:tab w:val="clear" w:pos="2835"/>
        </w:tabs>
        <w:rPr>
          <w:b w:val="0"/>
        </w:rPr>
      </w:pPr>
      <w:r>
        <w:rPr>
          <w:b w:val="0"/>
        </w:rPr>
        <w:t>Capítulo 15, Programa 01 …………………………………………………..</w:t>
      </w:r>
      <w:r>
        <w:rPr>
          <w:b w:val="0"/>
        </w:rPr>
        <w:tab/>
        <w:t>112</w:t>
      </w:r>
    </w:p>
    <w:p>
      <w:pPr>
        <w:tabs>
          <w:tab w:val="clear" w:pos="2835"/>
        </w:tabs>
        <w:rPr>
          <w:b w:val="0"/>
        </w:rPr>
      </w:pPr>
    </w:p>
    <w:p>
      <w:pPr>
        <w:tabs>
          <w:tab w:val="clear" w:pos="2835"/>
        </w:tabs>
        <w:rPr>
          <w:b w:val="0"/>
        </w:rPr>
      </w:pPr>
      <w:r>
        <w:t>UNIDAD DE ANÁLISIS FINANCIERO.</w:t>
      </w:r>
      <w:r>
        <w:rPr>
          <w:b w:val="0"/>
        </w:rPr>
        <w:t xml:space="preserve"> Capítulo 16, Programa 01 ……..</w:t>
      </w:r>
      <w:r>
        <w:rPr>
          <w:b w:val="0"/>
        </w:rPr>
        <w:tab/>
        <w:t>123</w:t>
      </w:r>
    </w:p>
    <w:p>
      <w:pPr>
        <w:tabs>
          <w:tab w:val="clear" w:pos="2835"/>
        </w:tabs>
        <w:rPr>
          <w:b w:val="0"/>
        </w:rPr>
      </w:pPr>
    </w:p>
    <w:p>
      <w:pPr>
        <w:tabs>
          <w:tab w:val="clear" w:pos="2835"/>
        </w:tabs>
      </w:pPr>
      <w:r>
        <w:t>SUPERINTENDENCIA DE CASINOS DE JUEGO.</w:t>
      </w:r>
    </w:p>
    <w:p>
      <w:pPr>
        <w:tabs>
          <w:tab w:val="clear" w:pos="2835"/>
        </w:tabs>
        <w:rPr>
          <w:b w:val="0"/>
        </w:rPr>
      </w:pPr>
      <w:r>
        <w:rPr>
          <w:b w:val="0"/>
        </w:rPr>
        <w:t>Capítulo 17, Programa 01 ……………………………………………….…..</w:t>
      </w:r>
      <w:r>
        <w:rPr>
          <w:b w:val="0"/>
        </w:rPr>
        <w:tab/>
        <w:t>131</w:t>
      </w:r>
    </w:p>
    <w:p>
      <w:pPr>
        <w:tabs>
          <w:tab w:val="clear" w:pos="2835"/>
        </w:tabs>
        <w:rPr>
          <w:b w:val="0"/>
        </w:rPr>
      </w:pPr>
    </w:p>
    <w:p>
      <w:pPr>
        <w:tabs>
          <w:tab w:val="clear" w:pos="2835"/>
        </w:tabs>
        <w:rPr>
          <w:b w:val="0"/>
        </w:rPr>
      </w:pPr>
      <w:r>
        <w:t>CONSEJO DE DEFENSA DEL ESTADO.</w:t>
      </w:r>
      <w:r>
        <w:rPr>
          <w:b w:val="0"/>
        </w:rPr>
        <w:t xml:space="preserve"> Capítulo 30, Programa 01.....</w:t>
      </w:r>
      <w:r>
        <w:rPr>
          <w:b w:val="0"/>
        </w:rPr>
        <w:tab/>
        <w:t>136</w:t>
      </w:r>
    </w:p>
    <w:p>
      <w:pPr>
        <w:tabs>
          <w:tab w:val="clear" w:pos="2835"/>
        </w:tabs>
      </w:pPr>
    </w:p>
    <w:p>
      <w:pPr>
        <w:tabs>
          <w:tab w:val="clear" w:pos="2835"/>
        </w:tabs>
      </w:pPr>
      <w:r>
        <w:t>ACUERDOS</w:t>
      </w:r>
      <w:r>
        <w:rPr>
          <w:b w:val="0"/>
        </w:rPr>
        <w:t xml:space="preserve"> …………………………………………………………………..</w:t>
      </w:r>
      <w:r>
        <w:rPr>
          <w:b w:val="0"/>
        </w:rPr>
        <w:tab/>
        <w:t>143</w:t>
      </w:r>
    </w:p>
    <w:p>
      <w:pPr>
        <w:tabs>
          <w:tab w:val="clear" w:pos="2835"/>
        </w:tabs>
      </w:pPr>
    </w:p>
    <w:p>
      <w:pPr>
        <w:tabs>
          <w:tab w:val="clear" w:pos="2835"/>
        </w:tabs>
        <w:rPr>
          <w:b w:val="0"/>
        </w:rPr>
      </w:pPr>
      <w:r>
        <w:t>ANEXO DOCUMENTOS</w:t>
      </w:r>
      <w:r>
        <w:rPr>
          <w:b w:val="0"/>
        </w:rPr>
        <w:t>........................................................................</w:t>
      </w:r>
      <w:r>
        <w:rPr>
          <w:b w:val="0"/>
        </w:rPr>
        <w:tab/>
        <w:t>145</w:t>
      </w:r>
    </w:p>
    <w:p>
      <w:pPr>
        <w:tabs>
          <w:tab w:val="clear" w:pos="2835"/>
        </w:tabs>
        <w:rPr>
          <w:b w:val="0"/>
        </w:rPr>
      </w:pPr>
      <w:r>
        <w:t>INDICE</w:t>
      </w:r>
      <w:r>
        <w:rPr>
          <w:b w:val="0"/>
        </w:rPr>
        <w:t xml:space="preserve"> ………………….........................................................................</w:t>
      </w:r>
      <w:r>
        <w:rPr>
          <w:b w:val="0"/>
        </w:rPr>
        <w:tab/>
        <w:t>147</w:t>
      </w:r>
    </w:p>
    <w:p>
      <w:pPr>
        <w:tabs>
          <w:tab w:val="clear" w:pos="2835"/>
        </w:tabs>
        <w:jc w:val="center"/>
        <w:rPr>
          <w:b w:val="0"/>
        </w:rPr>
      </w:pPr>
      <w:r>
        <w:rPr>
          <w:b w:val="0"/>
        </w:rPr>
        <w:t xml:space="preserve">- - - - - - - - - </w:t>
      </w:r>
    </w:p>
    <w:p>
      <w:pPr>
        <w:tabs>
          <w:tab w:val="clear" w:pos="2835"/>
        </w:tabs>
        <w:rPr>
          <w:b w:val="0"/>
        </w:rPr>
      </w:pPr>
    </w:p>
    <w:sectPr>
      <w:headerReference w:type="even" r:id="rId33"/>
      <w:headerReference w:type="default" r:id="rId34"/>
      <w:pgSz w:w="12242" w:h="18722" w:code="14"/>
      <w:pgMar w:top="2835" w:right="1701" w:bottom="2835" w:left="2268" w:header="1701" w:footer="720" w:gutter="0"/>
      <w:paperSrc w:first="2" w:other="2"/>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 w:id="1">
    <w:p>
      <w:pPr>
        <w:pStyle w:val="Textonotapie"/>
        <w:rPr>
          <w:sz w:val="16"/>
          <w:szCs w:val="16"/>
        </w:rPr>
      </w:pPr>
      <w:r>
        <w:rPr>
          <w:rStyle w:val="Refdenotaalpie"/>
        </w:rPr>
        <w:footnoteRef/>
      </w:r>
      <w:r>
        <w:rPr>
          <w:rFonts w:eastAsia="Arial Unicode MS" w:cs="Arial Unicode MS"/>
        </w:rPr>
        <w:t xml:space="preserve"> </w:t>
      </w:r>
      <w:r>
        <w:rPr>
          <w:rFonts w:eastAsia="Arial Unicode MS" w:cs="Arial Unicode MS"/>
          <w:sz w:val="16"/>
          <w:szCs w:val="16"/>
        </w:rPr>
        <w:t>Valor de una mercancía de exportación cuando está embarcada en la nave, antes de salir hacia su destino.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pPr>
      <w:pStyle w:val="Encabezad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5</w:t>
    </w:r>
    <w:r>
      <w:rPr>
        <w:rStyle w:val="Nmerodepgina"/>
      </w:rPr>
      <w:fldChar w:fldCharType="end"/>
    </w:r>
  </w:p>
  <w:p>
    <w:pPr>
      <w:pStyle w:val="Encabezado"/>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51898"/>
    <w:multiLevelType w:val="hybridMultilevel"/>
    <w:tmpl w:val="787A6B82"/>
    <w:lvl w:ilvl="0" w:tplc="5E36DC72">
      <w:start w:val="1"/>
      <w:numFmt w:val="bullet"/>
      <w:lvlText w:val="₋"/>
      <w:lvlJc w:val="left"/>
      <w:pPr>
        <w:ind w:left="360" w:hanging="360"/>
      </w:pPr>
      <w:rPr>
        <w:rFonts w:ascii="Calibri" w:hAnsi="Calibri" w:hint="default"/>
      </w:rPr>
    </w:lvl>
    <w:lvl w:ilvl="1" w:tplc="340A0003">
      <w:start w:val="1"/>
      <w:numFmt w:val="bullet"/>
      <w:lvlText w:val="o"/>
      <w:lvlJc w:val="left"/>
      <w:pPr>
        <w:ind w:left="1080" w:hanging="360"/>
      </w:pPr>
      <w:rPr>
        <w:rFonts w:ascii="Courier New" w:hAnsi="Courier New" w:cs="Courier New" w:hint="default"/>
      </w:rPr>
    </w:lvl>
    <w:lvl w:ilvl="2" w:tplc="340A0005">
      <w:start w:val="1"/>
      <w:numFmt w:val="bullet"/>
      <w:lvlText w:val=""/>
      <w:lvlJc w:val="left"/>
      <w:pPr>
        <w:ind w:left="1800" w:hanging="360"/>
      </w:pPr>
      <w:rPr>
        <w:rFonts w:ascii="Wingdings" w:hAnsi="Wingdings" w:hint="default"/>
      </w:rPr>
    </w:lvl>
    <w:lvl w:ilvl="3" w:tplc="340A0001">
      <w:start w:val="1"/>
      <w:numFmt w:val="bullet"/>
      <w:lvlText w:val=""/>
      <w:lvlJc w:val="left"/>
      <w:pPr>
        <w:ind w:left="2520" w:hanging="360"/>
      </w:pPr>
      <w:rPr>
        <w:rFonts w:ascii="Symbol" w:hAnsi="Symbol" w:hint="default"/>
      </w:rPr>
    </w:lvl>
    <w:lvl w:ilvl="4" w:tplc="340A0003">
      <w:start w:val="1"/>
      <w:numFmt w:val="bullet"/>
      <w:lvlText w:val="o"/>
      <w:lvlJc w:val="left"/>
      <w:pPr>
        <w:ind w:left="3240" w:hanging="360"/>
      </w:pPr>
      <w:rPr>
        <w:rFonts w:ascii="Courier New" w:hAnsi="Courier New" w:cs="Courier New" w:hint="default"/>
      </w:rPr>
    </w:lvl>
    <w:lvl w:ilvl="5" w:tplc="340A0005">
      <w:start w:val="1"/>
      <w:numFmt w:val="bullet"/>
      <w:lvlText w:val=""/>
      <w:lvlJc w:val="left"/>
      <w:pPr>
        <w:ind w:left="3960" w:hanging="360"/>
      </w:pPr>
      <w:rPr>
        <w:rFonts w:ascii="Wingdings" w:hAnsi="Wingdings" w:hint="default"/>
      </w:rPr>
    </w:lvl>
    <w:lvl w:ilvl="6" w:tplc="340A0001">
      <w:start w:val="1"/>
      <w:numFmt w:val="bullet"/>
      <w:lvlText w:val=""/>
      <w:lvlJc w:val="left"/>
      <w:pPr>
        <w:ind w:left="4680" w:hanging="360"/>
      </w:pPr>
      <w:rPr>
        <w:rFonts w:ascii="Symbol" w:hAnsi="Symbol" w:hint="default"/>
      </w:rPr>
    </w:lvl>
    <w:lvl w:ilvl="7" w:tplc="340A0003">
      <w:start w:val="1"/>
      <w:numFmt w:val="bullet"/>
      <w:lvlText w:val="o"/>
      <w:lvlJc w:val="left"/>
      <w:pPr>
        <w:ind w:left="5400" w:hanging="360"/>
      </w:pPr>
      <w:rPr>
        <w:rFonts w:ascii="Courier New" w:hAnsi="Courier New" w:cs="Courier New" w:hint="default"/>
      </w:rPr>
    </w:lvl>
    <w:lvl w:ilvl="8" w:tplc="340A0005">
      <w:start w:val="1"/>
      <w:numFmt w:val="bullet"/>
      <w:lvlText w:val=""/>
      <w:lvlJc w:val="left"/>
      <w:pPr>
        <w:ind w:left="6120" w:hanging="360"/>
      </w:pPr>
      <w:rPr>
        <w:rFonts w:ascii="Wingdings" w:hAnsi="Wingdings" w:hint="default"/>
      </w:rPr>
    </w:lvl>
  </w:abstractNum>
  <w:abstractNum w:abstractNumId="1">
    <w:nsid w:val="1BF37327"/>
    <w:multiLevelType w:val="hybridMultilevel"/>
    <w:tmpl w:val="62E2EB1E"/>
    <w:numStyleLink w:val="Estiloimportado1"/>
  </w:abstractNum>
  <w:abstractNum w:abstractNumId="2">
    <w:nsid w:val="2C3947B8"/>
    <w:multiLevelType w:val="hybridMultilevel"/>
    <w:tmpl w:val="7B6ECA6C"/>
    <w:lvl w:ilvl="0" w:tplc="D750B612">
      <w:start w:val="132"/>
      <w:numFmt w:val="bullet"/>
      <w:lvlText w:val="-"/>
      <w:lvlJc w:val="left"/>
      <w:pPr>
        <w:ind w:left="3192" w:hanging="360"/>
      </w:pPr>
      <w:rPr>
        <w:rFonts w:ascii="Arial" w:eastAsia="Arial Unicode MS" w:hAnsi="Arial" w:cs="Arial" w:hint="default"/>
      </w:rPr>
    </w:lvl>
    <w:lvl w:ilvl="1" w:tplc="340A0003" w:tentative="1">
      <w:start w:val="1"/>
      <w:numFmt w:val="bullet"/>
      <w:lvlText w:val="o"/>
      <w:lvlJc w:val="left"/>
      <w:pPr>
        <w:ind w:left="3912" w:hanging="360"/>
      </w:pPr>
      <w:rPr>
        <w:rFonts w:ascii="Courier New" w:hAnsi="Courier New" w:cs="Courier New" w:hint="default"/>
      </w:rPr>
    </w:lvl>
    <w:lvl w:ilvl="2" w:tplc="340A0005" w:tentative="1">
      <w:start w:val="1"/>
      <w:numFmt w:val="bullet"/>
      <w:lvlText w:val=""/>
      <w:lvlJc w:val="left"/>
      <w:pPr>
        <w:ind w:left="4632" w:hanging="360"/>
      </w:pPr>
      <w:rPr>
        <w:rFonts w:ascii="Wingdings" w:hAnsi="Wingdings" w:hint="default"/>
      </w:rPr>
    </w:lvl>
    <w:lvl w:ilvl="3" w:tplc="340A0001" w:tentative="1">
      <w:start w:val="1"/>
      <w:numFmt w:val="bullet"/>
      <w:lvlText w:val=""/>
      <w:lvlJc w:val="left"/>
      <w:pPr>
        <w:ind w:left="5352" w:hanging="360"/>
      </w:pPr>
      <w:rPr>
        <w:rFonts w:ascii="Symbol" w:hAnsi="Symbol" w:hint="default"/>
      </w:rPr>
    </w:lvl>
    <w:lvl w:ilvl="4" w:tplc="340A0003" w:tentative="1">
      <w:start w:val="1"/>
      <w:numFmt w:val="bullet"/>
      <w:lvlText w:val="o"/>
      <w:lvlJc w:val="left"/>
      <w:pPr>
        <w:ind w:left="6072" w:hanging="360"/>
      </w:pPr>
      <w:rPr>
        <w:rFonts w:ascii="Courier New" w:hAnsi="Courier New" w:cs="Courier New" w:hint="default"/>
      </w:rPr>
    </w:lvl>
    <w:lvl w:ilvl="5" w:tplc="340A0005" w:tentative="1">
      <w:start w:val="1"/>
      <w:numFmt w:val="bullet"/>
      <w:lvlText w:val=""/>
      <w:lvlJc w:val="left"/>
      <w:pPr>
        <w:ind w:left="6792" w:hanging="360"/>
      </w:pPr>
      <w:rPr>
        <w:rFonts w:ascii="Wingdings" w:hAnsi="Wingdings" w:hint="default"/>
      </w:rPr>
    </w:lvl>
    <w:lvl w:ilvl="6" w:tplc="340A0001" w:tentative="1">
      <w:start w:val="1"/>
      <w:numFmt w:val="bullet"/>
      <w:lvlText w:val=""/>
      <w:lvlJc w:val="left"/>
      <w:pPr>
        <w:ind w:left="7512" w:hanging="360"/>
      </w:pPr>
      <w:rPr>
        <w:rFonts w:ascii="Symbol" w:hAnsi="Symbol" w:hint="default"/>
      </w:rPr>
    </w:lvl>
    <w:lvl w:ilvl="7" w:tplc="340A0003" w:tentative="1">
      <w:start w:val="1"/>
      <w:numFmt w:val="bullet"/>
      <w:lvlText w:val="o"/>
      <w:lvlJc w:val="left"/>
      <w:pPr>
        <w:ind w:left="8232" w:hanging="360"/>
      </w:pPr>
      <w:rPr>
        <w:rFonts w:ascii="Courier New" w:hAnsi="Courier New" w:cs="Courier New" w:hint="default"/>
      </w:rPr>
    </w:lvl>
    <w:lvl w:ilvl="8" w:tplc="340A0005" w:tentative="1">
      <w:start w:val="1"/>
      <w:numFmt w:val="bullet"/>
      <w:lvlText w:val=""/>
      <w:lvlJc w:val="left"/>
      <w:pPr>
        <w:ind w:left="8952" w:hanging="360"/>
      </w:pPr>
      <w:rPr>
        <w:rFonts w:ascii="Wingdings" w:hAnsi="Wingdings" w:hint="default"/>
      </w:rPr>
    </w:lvl>
  </w:abstractNum>
  <w:abstractNum w:abstractNumId="3">
    <w:nsid w:val="51113BDC"/>
    <w:multiLevelType w:val="hybridMultilevel"/>
    <w:tmpl w:val="2C0C26C8"/>
    <w:numStyleLink w:val="Estiloimportado2"/>
  </w:abstractNum>
  <w:abstractNum w:abstractNumId="4">
    <w:nsid w:val="52862802"/>
    <w:multiLevelType w:val="hybridMultilevel"/>
    <w:tmpl w:val="2C0C26C8"/>
    <w:styleLink w:val="Estiloimportado2"/>
    <w:lvl w:ilvl="0" w:tplc="2B9A31B6">
      <w:start w:val="1"/>
      <w:numFmt w:val="decimal"/>
      <w:lvlText w:val="%1)"/>
      <w:lvlJc w:val="left"/>
      <w:pPr>
        <w:tabs>
          <w:tab w:val="left" w:pos="2835"/>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5767170">
      <w:start w:val="1"/>
      <w:numFmt w:val="decimal"/>
      <w:lvlText w:val="%2)"/>
      <w:lvlJc w:val="left"/>
      <w:pPr>
        <w:tabs>
          <w:tab w:val="left" w:pos="720"/>
          <w:tab w:val="left" w:pos="2835"/>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5566718">
      <w:start w:val="1"/>
      <w:numFmt w:val="decimal"/>
      <w:lvlText w:val="%3)"/>
      <w:lvlJc w:val="left"/>
      <w:pPr>
        <w:tabs>
          <w:tab w:val="left" w:pos="720"/>
          <w:tab w:val="left" w:pos="2835"/>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81E82FBA">
      <w:start w:val="1"/>
      <w:numFmt w:val="decimal"/>
      <w:lvlText w:val="%4)"/>
      <w:lvlJc w:val="left"/>
      <w:pPr>
        <w:tabs>
          <w:tab w:val="left" w:pos="720"/>
        </w:tabs>
        <w:ind w:left="2835" w:hanging="315"/>
      </w:pPr>
      <w:rPr>
        <w:rFonts w:hAnsi="Arial Unicode MS"/>
        <w:caps w:val="0"/>
        <w:smallCaps w:val="0"/>
        <w:strike w:val="0"/>
        <w:dstrike w:val="0"/>
        <w:outline w:val="0"/>
        <w:emboss w:val="0"/>
        <w:imprint w:val="0"/>
        <w:spacing w:val="0"/>
        <w:w w:val="100"/>
        <w:kern w:val="0"/>
        <w:position w:val="0"/>
        <w:highlight w:val="none"/>
        <w:vertAlign w:val="baseline"/>
      </w:rPr>
    </w:lvl>
    <w:lvl w:ilvl="4" w:tplc="74C04D9A">
      <w:start w:val="1"/>
      <w:numFmt w:val="decimal"/>
      <w:lvlText w:val="%5)"/>
      <w:lvlJc w:val="left"/>
      <w:pPr>
        <w:tabs>
          <w:tab w:val="left" w:pos="720"/>
          <w:tab w:val="left" w:pos="2835"/>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9FE841E">
      <w:start w:val="1"/>
      <w:numFmt w:val="decimal"/>
      <w:lvlText w:val="%6)"/>
      <w:lvlJc w:val="left"/>
      <w:pPr>
        <w:tabs>
          <w:tab w:val="left" w:pos="720"/>
          <w:tab w:val="left" w:pos="2835"/>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DCE26FB0">
      <w:start w:val="1"/>
      <w:numFmt w:val="decimal"/>
      <w:lvlText w:val="%7)"/>
      <w:lvlJc w:val="left"/>
      <w:pPr>
        <w:tabs>
          <w:tab w:val="left" w:pos="720"/>
          <w:tab w:val="left" w:pos="2835"/>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0E0624E">
      <w:start w:val="1"/>
      <w:numFmt w:val="decimal"/>
      <w:lvlText w:val="%8)"/>
      <w:lvlJc w:val="left"/>
      <w:pPr>
        <w:tabs>
          <w:tab w:val="left" w:pos="720"/>
          <w:tab w:val="left" w:pos="2835"/>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CD0D302">
      <w:start w:val="1"/>
      <w:numFmt w:val="decimal"/>
      <w:lvlText w:val="%9)"/>
      <w:lvlJc w:val="left"/>
      <w:pPr>
        <w:tabs>
          <w:tab w:val="left" w:pos="720"/>
          <w:tab w:val="left" w:pos="2835"/>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nsid w:val="548713C2"/>
    <w:multiLevelType w:val="hybridMultilevel"/>
    <w:tmpl w:val="62E2EB1E"/>
    <w:styleLink w:val="Estiloimportado1"/>
    <w:lvl w:ilvl="0" w:tplc="6E264758">
      <w:start w:val="1"/>
      <w:numFmt w:val="bullet"/>
      <w:lvlText w:val="▪"/>
      <w:lvlJc w:val="left"/>
      <w:pPr>
        <w:tabs>
          <w:tab w:val="left" w:pos="2835"/>
        </w:tabs>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55FE60DE">
      <w:start w:val="1"/>
      <w:numFmt w:val="bullet"/>
      <w:lvlText w:val="▪"/>
      <w:lvlJc w:val="left"/>
      <w:pPr>
        <w:tabs>
          <w:tab w:val="left" w:pos="720"/>
          <w:tab w:val="left" w:pos="2835"/>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F1209BA">
      <w:start w:val="1"/>
      <w:numFmt w:val="bullet"/>
      <w:lvlText w:val="▪"/>
      <w:lvlJc w:val="left"/>
      <w:pPr>
        <w:tabs>
          <w:tab w:val="left" w:pos="720"/>
          <w:tab w:val="left" w:pos="2835"/>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DEA537C">
      <w:start w:val="1"/>
      <w:numFmt w:val="bullet"/>
      <w:lvlText w:val="▪"/>
      <w:lvlJc w:val="left"/>
      <w:pPr>
        <w:tabs>
          <w:tab w:val="left" w:pos="720"/>
        </w:tabs>
        <w:ind w:left="2835" w:hanging="31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39D02B28">
      <w:start w:val="1"/>
      <w:numFmt w:val="bullet"/>
      <w:lvlText w:val="▪"/>
      <w:lvlJc w:val="left"/>
      <w:pPr>
        <w:tabs>
          <w:tab w:val="left" w:pos="720"/>
          <w:tab w:val="left" w:pos="2835"/>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7D2DD74">
      <w:start w:val="1"/>
      <w:numFmt w:val="bullet"/>
      <w:lvlText w:val="▪"/>
      <w:lvlJc w:val="left"/>
      <w:pPr>
        <w:tabs>
          <w:tab w:val="left" w:pos="720"/>
          <w:tab w:val="left" w:pos="2835"/>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C9AC69E">
      <w:start w:val="1"/>
      <w:numFmt w:val="bullet"/>
      <w:lvlText w:val="▪"/>
      <w:lvlJc w:val="left"/>
      <w:pPr>
        <w:tabs>
          <w:tab w:val="left" w:pos="720"/>
          <w:tab w:val="left" w:pos="2835"/>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265AD564">
      <w:start w:val="1"/>
      <w:numFmt w:val="bullet"/>
      <w:lvlText w:val="▪"/>
      <w:lvlJc w:val="left"/>
      <w:pPr>
        <w:tabs>
          <w:tab w:val="left" w:pos="720"/>
          <w:tab w:val="left" w:pos="2835"/>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3F49BA6">
      <w:start w:val="1"/>
      <w:numFmt w:val="bullet"/>
      <w:lvlText w:val="▪"/>
      <w:lvlJc w:val="left"/>
      <w:pPr>
        <w:tabs>
          <w:tab w:val="left" w:pos="720"/>
          <w:tab w:val="left" w:pos="2835"/>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nsid w:val="71A04873"/>
    <w:multiLevelType w:val="hybridMultilevel"/>
    <w:tmpl w:val="41F0F05A"/>
    <w:lvl w:ilvl="0" w:tplc="340A0017">
      <w:start w:val="1"/>
      <w:numFmt w:val="lowerLetter"/>
      <w:lvlText w:val="%1)"/>
      <w:lvlJc w:val="left"/>
      <w:pPr>
        <w:ind w:left="720" w:hanging="360"/>
      </w:pPr>
      <w:rPr>
        <w:rFonts w:hint="default"/>
      </w:rPr>
    </w:lvl>
    <w:lvl w:ilvl="1" w:tplc="0C0A001B">
      <w:start w:val="1"/>
      <w:numFmt w:val="lowerRoman"/>
      <w:lvlText w:val="%2."/>
      <w:lvlJc w:val="righ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6"/>
  </w:num>
  <w:num w:numId="2">
    <w:abstractNumId w:val="0"/>
  </w:num>
  <w:num w:numId="3">
    <w:abstractNumId w:val="5"/>
  </w:num>
  <w:num w:numId="4">
    <w:abstractNumId w:val="1"/>
  </w:num>
  <w:num w:numId="5">
    <w:abstractNumId w:val="4"/>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1"/>
  <w:doNotTrackMoves/>
  <w:defaultTabStop w:val="709"/>
  <w:hyphenationZone w:val="425"/>
  <w:drawingGridHorizontalSpacing w:val="241"/>
  <w:displayVertic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Arial"/>
        <w:lang w:val="es-CL" w:eastAsia="es-C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tabs>
        <w:tab w:val="left" w:pos="2835"/>
      </w:tabs>
      <w:jc w:val="both"/>
    </w:pPr>
    <w:rPr>
      <w:b/>
      <w:sz w:val="24"/>
      <w:szCs w:val="24"/>
      <w:lang w:eastAsia="en-U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Nmerodepgina">
    <w:name w:val="page number"/>
    <w:basedOn w:val="Fuentedeprrafopredeter"/>
  </w:style>
  <w:style w:type="paragraph" w:styleId="Encabezado">
    <w:name w:val="header"/>
    <w:basedOn w:val="Normal"/>
    <w:link w:val="EncabezadoCar"/>
    <w:uiPriority w:val="99"/>
    <w:pPr>
      <w:tabs>
        <w:tab w:val="clear" w:pos="2835"/>
        <w:tab w:val="center" w:pos="4419"/>
        <w:tab w:val="right" w:pos="8838"/>
      </w:tabs>
      <w:jc w:val="left"/>
    </w:pPr>
    <w:rPr>
      <w:rFonts w:ascii="Courier" w:eastAsia="Times New Roman" w:hAnsi="Courier" w:cs="Times New Roman"/>
      <w:b w:val="0"/>
      <w:szCs w:val="20"/>
      <w:lang w:val="es-ES_tradnl" w:eastAsia="es-ES"/>
    </w:rPr>
  </w:style>
  <w:style w:type="character" w:customStyle="1" w:styleId="EncabezadoCar">
    <w:name w:val="Encabezado Car"/>
    <w:link w:val="Encabezado"/>
    <w:uiPriority w:val="99"/>
    <w:rPr>
      <w:rFonts w:ascii="Courier" w:eastAsia="Times New Roman" w:hAnsi="Courier" w:cs="Times New Roman"/>
      <w:b/>
      <w:szCs w:val="20"/>
      <w:lang w:val="es-ES_tradnl" w:eastAsia="es-ES"/>
    </w:rPr>
  </w:style>
  <w:style w:type="paragraph" w:styleId="Prrafodelista">
    <w:name w:val="List Paragraph"/>
    <w:basedOn w:val="Normal"/>
    <w:uiPriority w:val="34"/>
    <w:qFormat/>
    <w:pPr>
      <w:tabs>
        <w:tab w:val="clear" w:pos="2835"/>
      </w:tabs>
      <w:spacing w:after="200" w:line="276" w:lineRule="auto"/>
      <w:ind w:left="720"/>
      <w:contextualSpacing/>
      <w:jc w:val="left"/>
    </w:pPr>
    <w:rPr>
      <w:rFonts w:ascii="Calibri" w:hAnsi="Calibri" w:cs="Times New Roman"/>
      <w:b w:val="0"/>
      <w:sz w:val="22"/>
      <w:szCs w:val="22"/>
    </w:rPr>
  </w:style>
  <w:style w:type="paragraph" w:customStyle="1" w:styleId="Style3">
    <w:name w:val="Style3"/>
    <w:basedOn w:val="Normal"/>
    <w:uiPriority w:val="99"/>
    <w:pPr>
      <w:widowControl w:val="0"/>
      <w:tabs>
        <w:tab w:val="clear" w:pos="2835"/>
      </w:tabs>
      <w:autoSpaceDE w:val="0"/>
      <w:autoSpaceDN w:val="0"/>
      <w:adjustRightInd w:val="0"/>
      <w:jc w:val="left"/>
    </w:pPr>
    <w:rPr>
      <w:rFonts w:ascii="Calibri" w:eastAsia="Times New Roman" w:hAnsi="Calibri" w:cs="Times New Roman"/>
      <w:b w:val="0"/>
      <w:lang w:eastAsia="es-CL"/>
    </w:rPr>
  </w:style>
  <w:style w:type="paragraph" w:customStyle="1" w:styleId="Style5">
    <w:name w:val="Style5"/>
    <w:basedOn w:val="Normal"/>
    <w:uiPriority w:val="99"/>
    <w:pPr>
      <w:widowControl w:val="0"/>
      <w:tabs>
        <w:tab w:val="clear" w:pos="2835"/>
      </w:tabs>
      <w:autoSpaceDE w:val="0"/>
      <w:autoSpaceDN w:val="0"/>
      <w:adjustRightInd w:val="0"/>
      <w:jc w:val="left"/>
    </w:pPr>
    <w:rPr>
      <w:rFonts w:ascii="Calibri" w:eastAsia="Times New Roman" w:hAnsi="Calibri" w:cs="Times New Roman"/>
      <w:b w:val="0"/>
      <w:lang w:eastAsia="es-CL"/>
    </w:rPr>
  </w:style>
  <w:style w:type="paragraph" w:customStyle="1" w:styleId="Style6">
    <w:name w:val="Style6"/>
    <w:basedOn w:val="Normal"/>
    <w:uiPriority w:val="99"/>
    <w:pPr>
      <w:widowControl w:val="0"/>
      <w:tabs>
        <w:tab w:val="clear" w:pos="2835"/>
      </w:tabs>
      <w:autoSpaceDE w:val="0"/>
      <w:autoSpaceDN w:val="0"/>
      <w:adjustRightInd w:val="0"/>
      <w:jc w:val="left"/>
    </w:pPr>
    <w:rPr>
      <w:rFonts w:ascii="Calibri" w:eastAsia="Times New Roman" w:hAnsi="Calibri" w:cs="Times New Roman"/>
      <w:b w:val="0"/>
      <w:lang w:eastAsia="es-CL"/>
    </w:rPr>
  </w:style>
  <w:style w:type="paragraph" w:customStyle="1" w:styleId="Style7">
    <w:name w:val="Style7"/>
    <w:basedOn w:val="Normal"/>
    <w:uiPriority w:val="99"/>
    <w:pPr>
      <w:widowControl w:val="0"/>
      <w:tabs>
        <w:tab w:val="clear" w:pos="2835"/>
      </w:tabs>
      <w:autoSpaceDE w:val="0"/>
      <w:autoSpaceDN w:val="0"/>
      <w:adjustRightInd w:val="0"/>
      <w:jc w:val="left"/>
    </w:pPr>
    <w:rPr>
      <w:rFonts w:ascii="Calibri" w:eastAsia="Times New Roman" w:hAnsi="Calibri" w:cs="Times New Roman"/>
      <w:b w:val="0"/>
      <w:lang w:eastAsia="es-CL"/>
    </w:rPr>
  </w:style>
  <w:style w:type="character" w:customStyle="1" w:styleId="FontStyle16">
    <w:name w:val="Font Style16"/>
    <w:uiPriority w:val="99"/>
    <w:rPr>
      <w:rFonts w:ascii="Calibri" w:hAnsi="Calibri" w:cs="Calibri"/>
      <w:b/>
      <w:bCs/>
      <w:color w:val="000000"/>
      <w:sz w:val="26"/>
      <w:szCs w:val="26"/>
    </w:rPr>
  </w:style>
  <w:style w:type="character" w:customStyle="1" w:styleId="FontStyle18">
    <w:name w:val="Font Style18"/>
    <w:uiPriority w:val="99"/>
    <w:rPr>
      <w:rFonts w:ascii="Calibri" w:hAnsi="Calibri" w:cs="Calibri"/>
      <w:b/>
      <w:bCs/>
      <w:color w:val="000000"/>
      <w:sz w:val="20"/>
      <w:szCs w:val="20"/>
    </w:rPr>
  </w:style>
  <w:style w:type="character" w:customStyle="1" w:styleId="FontStyle20">
    <w:name w:val="Font Style20"/>
    <w:uiPriority w:val="99"/>
    <w:rPr>
      <w:rFonts w:ascii="Calibri" w:hAnsi="Calibri" w:cs="Calibri"/>
      <w:color w:val="000000"/>
      <w:sz w:val="20"/>
      <w:szCs w:val="20"/>
    </w:rPr>
  </w:style>
  <w:style w:type="paragraph" w:customStyle="1" w:styleId="Style4">
    <w:name w:val="Style4"/>
    <w:basedOn w:val="Normal"/>
    <w:uiPriority w:val="99"/>
    <w:pPr>
      <w:widowControl w:val="0"/>
      <w:tabs>
        <w:tab w:val="clear" w:pos="2835"/>
      </w:tabs>
      <w:autoSpaceDE w:val="0"/>
      <w:autoSpaceDN w:val="0"/>
      <w:adjustRightInd w:val="0"/>
      <w:jc w:val="left"/>
    </w:pPr>
    <w:rPr>
      <w:rFonts w:ascii="Calibri" w:eastAsia="Times New Roman" w:hAnsi="Calibri" w:cs="Times New Roman"/>
      <w:b w:val="0"/>
      <w:lang w:eastAsia="es-CL"/>
    </w:rPr>
  </w:style>
  <w:style w:type="paragraph" w:customStyle="1" w:styleId="Style9">
    <w:name w:val="Style9"/>
    <w:basedOn w:val="Normal"/>
    <w:uiPriority w:val="99"/>
    <w:pPr>
      <w:widowControl w:val="0"/>
      <w:tabs>
        <w:tab w:val="clear" w:pos="2835"/>
      </w:tabs>
      <w:autoSpaceDE w:val="0"/>
      <w:autoSpaceDN w:val="0"/>
      <w:adjustRightInd w:val="0"/>
      <w:jc w:val="left"/>
    </w:pPr>
    <w:rPr>
      <w:rFonts w:ascii="Calibri" w:eastAsia="Times New Roman" w:hAnsi="Calibri" w:cs="Times New Roman"/>
      <w:b w:val="0"/>
      <w:lang w:eastAsia="es-CL"/>
    </w:rPr>
  </w:style>
  <w:style w:type="character" w:customStyle="1" w:styleId="FontStyle17">
    <w:name w:val="Font Style17"/>
    <w:uiPriority w:val="99"/>
    <w:rPr>
      <w:rFonts w:ascii="Calibri" w:hAnsi="Calibri" w:cs="Calibri"/>
      <w:color w:val="000000"/>
      <w:sz w:val="20"/>
      <w:szCs w:val="20"/>
    </w:rPr>
  </w:style>
  <w:style w:type="character" w:customStyle="1" w:styleId="FontStyle19">
    <w:name w:val="Font Style19"/>
    <w:uiPriority w:val="99"/>
    <w:rPr>
      <w:rFonts w:ascii="Arial" w:hAnsi="Arial" w:cs="Arial"/>
      <w:color w:val="000000"/>
      <w:sz w:val="16"/>
      <w:szCs w:val="16"/>
    </w:rPr>
  </w:style>
  <w:style w:type="paragraph" w:customStyle="1" w:styleId="Style2">
    <w:name w:val="Style2"/>
    <w:basedOn w:val="Normal"/>
    <w:uiPriority w:val="99"/>
    <w:pPr>
      <w:widowControl w:val="0"/>
      <w:tabs>
        <w:tab w:val="clear" w:pos="2835"/>
      </w:tabs>
      <w:autoSpaceDE w:val="0"/>
      <w:autoSpaceDN w:val="0"/>
      <w:adjustRightInd w:val="0"/>
      <w:jc w:val="left"/>
    </w:pPr>
    <w:rPr>
      <w:rFonts w:ascii="Calibri" w:eastAsia="Times New Roman" w:hAnsi="Calibri" w:cs="Times New Roman"/>
      <w:b w:val="0"/>
      <w:lang w:eastAsia="es-CL"/>
    </w:rPr>
  </w:style>
  <w:style w:type="character" w:customStyle="1" w:styleId="TextonotaalfinalCar">
    <w:name w:val="Texto nota al final Car"/>
    <w:link w:val="Textonotaalfinal"/>
    <w:uiPriority w:val="99"/>
    <w:semiHidden/>
    <w:rPr>
      <w:sz w:val="20"/>
      <w:szCs w:val="20"/>
    </w:rPr>
  </w:style>
  <w:style w:type="paragraph" w:styleId="Textonotaalfinal">
    <w:name w:val="endnote text"/>
    <w:basedOn w:val="Normal"/>
    <w:link w:val="TextonotaalfinalCar"/>
    <w:uiPriority w:val="99"/>
    <w:semiHidden/>
    <w:unhideWhenUsed/>
    <w:rPr>
      <w:sz w:val="20"/>
      <w:szCs w:val="20"/>
    </w:rPr>
  </w:style>
  <w:style w:type="table" w:styleId="Tablaconcuadrcula">
    <w:name w:val="Table Grid"/>
    <w:basedOn w:val="Tablanormal"/>
    <w:uiPriority w:val="59"/>
    <w:rPr>
      <w:rFonts w:ascii="Calibri" w:eastAsia="Times New Roman" w:hAnsi="Calibri" w:cs="Times New Roman"/>
      <w:b/>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Pr>
      <w:rFonts w:ascii="Tahoma" w:hAnsi="Tahoma" w:cs="Tahoma"/>
      <w:sz w:val="16"/>
      <w:szCs w:val="16"/>
    </w:rPr>
  </w:style>
  <w:style w:type="character" w:customStyle="1" w:styleId="TextodegloboCar">
    <w:name w:val="Texto de globo Car"/>
    <w:link w:val="Textodeglobo"/>
    <w:uiPriority w:val="99"/>
    <w:semiHidden/>
    <w:rPr>
      <w:rFonts w:ascii="Tahoma" w:hAnsi="Tahoma" w:cs="Tahoma"/>
      <w:sz w:val="16"/>
      <w:szCs w:val="16"/>
    </w:rPr>
  </w:style>
  <w:style w:type="paragraph" w:styleId="Textoindependiente3">
    <w:name w:val="Body Text 3"/>
    <w:basedOn w:val="Normal"/>
    <w:link w:val="Textoindependiente3Car"/>
    <w:rPr>
      <w:rFonts w:eastAsia="Times New Roman" w:cs="Times New Roman"/>
      <w:szCs w:val="20"/>
      <w:lang w:val="es-ES" w:eastAsia="es-ES"/>
    </w:rPr>
  </w:style>
  <w:style w:type="character" w:customStyle="1" w:styleId="Textoindependiente3Car">
    <w:name w:val="Texto independiente 3 Car"/>
    <w:link w:val="Textoindependiente3"/>
    <w:rPr>
      <w:rFonts w:eastAsia="Times New Roman" w:cs="Times New Roman"/>
      <w:szCs w:val="20"/>
      <w:lang w:val="es-ES" w:eastAsia="es-ES"/>
    </w:rPr>
  </w:style>
  <w:style w:type="paragraph" w:styleId="NormalWeb">
    <w:name w:val="Normal (Web)"/>
    <w:basedOn w:val="Normal"/>
    <w:uiPriority w:val="99"/>
    <w:semiHidden/>
    <w:unhideWhenUsed/>
    <w:pPr>
      <w:tabs>
        <w:tab w:val="clear" w:pos="2835"/>
      </w:tabs>
      <w:spacing w:before="100" w:beforeAutospacing="1" w:after="100" w:afterAutospacing="1"/>
      <w:jc w:val="left"/>
    </w:pPr>
    <w:rPr>
      <w:rFonts w:ascii="Times New Roman" w:eastAsia="Times New Roman" w:hAnsi="Times New Roman" w:cs="Times New Roman"/>
      <w:b w:val="0"/>
      <w:lang w:eastAsia="es-CL"/>
    </w:rPr>
  </w:style>
  <w:style w:type="paragraph" w:styleId="Textonotapie">
    <w:name w:val="footnote text"/>
    <w:basedOn w:val="Normal"/>
    <w:link w:val="TextonotapieCar"/>
    <w:unhideWhenUsed/>
    <w:rPr>
      <w:sz w:val="20"/>
      <w:szCs w:val="20"/>
    </w:rPr>
  </w:style>
  <w:style w:type="character" w:customStyle="1" w:styleId="TextonotapieCar">
    <w:name w:val="Texto nota pie Car"/>
    <w:link w:val="Textonotapie"/>
    <w:rPr>
      <w:b/>
      <w:lang w:eastAsia="en-US"/>
    </w:rPr>
  </w:style>
  <w:style w:type="character" w:styleId="Refdenotaalpie">
    <w:name w:val="footnote reference"/>
    <w:rPr>
      <w:vertAlign w:val="superscript"/>
      <w:lang w:val="es-ES_tradnl"/>
    </w:rPr>
  </w:style>
  <w:style w:type="numbering" w:customStyle="1" w:styleId="Sinlista1">
    <w:name w:val="Sin lista1"/>
    <w:next w:val="Sinlista"/>
    <w:uiPriority w:val="99"/>
    <w:semiHidden/>
    <w:unhideWhenUsed/>
  </w:style>
  <w:style w:type="character" w:styleId="Hipervnculo">
    <w:name w:val="Hyperlink"/>
    <w:rPr>
      <w:u w:val="single"/>
    </w:rPr>
  </w:style>
  <w:style w:type="table" w:customStyle="1" w:styleId="TableNormal">
    <w:name w:val="Table Normal"/>
    <w:pPr>
      <w:pBdr>
        <w:top w:val="nil"/>
        <w:left w:val="nil"/>
        <w:bottom w:val="nil"/>
        <w:right w:val="nil"/>
        <w:between w:val="nil"/>
        <w:bar w:val="nil"/>
      </w:pBdr>
    </w:pPr>
    <w:rPr>
      <w:rFonts w:ascii="Times New Roman" w:eastAsia="Arial Unicode MS" w:hAnsi="Times New Roman" w:cs="Times New Roman"/>
      <w:bdr w:val="nil"/>
    </w:rPr>
    <w:tblPr>
      <w:tblInd w:w="0" w:type="dxa"/>
      <w:tblCellMar>
        <w:top w:w="0" w:type="dxa"/>
        <w:left w:w="0" w:type="dxa"/>
        <w:bottom w:w="0" w:type="dxa"/>
        <w:right w:w="0" w:type="dxa"/>
      </w:tblCellMar>
    </w:tblPr>
  </w:style>
  <w:style w:type="paragraph" w:customStyle="1" w:styleId="Cabeceraypie">
    <w:name w:val="Cabecera y pie"/>
    <w:pPr>
      <w:pBdr>
        <w:top w:val="nil"/>
        <w:left w:val="nil"/>
        <w:bottom w:val="nil"/>
        <w:right w:val="nil"/>
        <w:between w:val="nil"/>
        <w:bar w:val="nil"/>
      </w:pBdr>
      <w:tabs>
        <w:tab w:val="right" w:pos="9020"/>
      </w:tabs>
    </w:pPr>
    <w:rPr>
      <w:rFonts w:ascii="Helvetica" w:eastAsia="Arial Unicode MS" w:hAnsi="Helvetica" w:cs="Arial Unicode MS"/>
      <w:color w:val="000000"/>
      <w:sz w:val="24"/>
      <w:szCs w:val="24"/>
      <w:bdr w:val="nil"/>
    </w:rPr>
  </w:style>
  <w:style w:type="paragraph" w:styleId="Sinespaciado">
    <w:name w:val="No Spacing"/>
    <w:pPr>
      <w:pBdr>
        <w:top w:val="nil"/>
        <w:left w:val="nil"/>
        <w:bottom w:val="nil"/>
        <w:right w:val="nil"/>
        <w:between w:val="nil"/>
        <w:bar w:val="nil"/>
      </w:pBdr>
      <w:tabs>
        <w:tab w:val="left" w:pos="2835"/>
      </w:tabs>
      <w:jc w:val="both"/>
    </w:pPr>
    <w:rPr>
      <w:rFonts w:eastAsia="Arial Unicode MS" w:cs="Arial Unicode MS"/>
      <w:color w:val="000000"/>
      <w:sz w:val="24"/>
      <w:szCs w:val="24"/>
      <w:u w:color="000000"/>
      <w:bdr w:val="nil"/>
      <w:lang w:val="es-ES_tradnl"/>
    </w:rPr>
  </w:style>
  <w:style w:type="character" w:customStyle="1" w:styleId="Ninguno">
    <w:name w:val="Ninguno"/>
    <w:rPr>
      <w:lang w:val="es-ES_tradnl"/>
    </w:rPr>
  </w:style>
  <w:style w:type="character" w:customStyle="1" w:styleId="NingunoA">
    <w:name w:val="Ninguno A"/>
    <w:rPr>
      <w:lang w:val="es-ES_tradnl"/>
    </w:rPr>
  </w:style>
  <w:style w:type="numbering" w:customStyle="1" w:styleId="Estiloimportado1">
    <w:name w:val="Estilo importado 1"/>
    <w:pPr>
      <w:numPr>
        <w:numId w:val="3"/>
      </w:numPr>
    </w:pPr>
  </w:style>
  <w:style w:type="numbering" w:customStyle="1" w:styleId="Estiloimportado2">
    <w:name w:val="Estilo importado 2"/>
    <w:pPr>
      <w:numPr>
        <w:numId w:val="5"/>
      </w:numPr>
    </w:pPr>
  </w:style>
  <w:style w:type="paragraph" w:styleId="Piedepgina">
    <w:name w:val="footer"/>
    <w:basedOn w:val="Normal"/>
    <w:link w:val="PiedepginaCar"/>
    <w:uiPriority w:val="99"/>
    <w:unhideWhenUsed/>
    <w:pPr>
      <w:tabs>
        <w:tab w:val="clear" w:pos="2835"/>
        <w:tab w:val="center" w:pos="4419"/>
        <w:tab w:val="right" w:pos="8838"/>
      </w:tabs>
    </w:pPr>
  </w:style>
  <w:style w:type="character" w:customStyle="1" w:styleId="PiedepginaCar">
    <w:name w:val="Pie de página Car"/>
    <w:link w:val="Piedepgina"/>
    <w:uiPriority w:val="99"/>
    <w:rPr>
      <w:b/>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5411042">
      <w:bodyDiv w:val="1"/>
      <w:marLeft w:val="0"/>
      <w:marRight w:val="0"/>
      <w:marTop w:val="0"/>
      <w:marBottom w:val="0"/>
      <w:divBdr>
        <w:top w:val="none" w:sz="0" w:space="0" w:color="auto"/>
        <w:left w:val="none" w:sz="0" w:space="0" w:color="auto"/>
        <w:bottom w:val="none" w:sz="0" w:space="0" w:color="auto"/>
        <w:right w:val="none" w:sz="0" w:space="0" w:color="auto"/>
      </w:divBdr>
    </w:div>
    <w:div w:id="1732579985">
      <w:bodyDiv w:val="1"/>
      <w:marLeft w:val="0"/>
      <w:marRight w:val="0"/>
      <w:marTop w:val="0"/>
      <w:marBottom w:val="0"/>
      <w:divBdr>
        <w:top w:val="none" w:sz="0" w:space="0" w:color="auto"/>
        <w:left w:val="none" w:sz="0" w:space="0" w:color="auto"/>
        <w:bottom w:val="none" w:sz="0" w:space="0" w:color="auto"/>
        <w:right w:val="none" w:sz="0" w:space="0" w:color="auto"/>
      </w:divBdr>
    </w:div>
    <w:div w:id="1952587190">
      <w:bodyDiv w:val="1"/>
      <w:marLeft w:val="0"/>
      <w:marRight w:val="0"/>
      <w:marTop w:val="0"/>
      <w:marBottom w:val="0"/>
      <w:divBdr>
        <w:top w:val="none" w:sz="0" w:space="0" w:color="auto"/>
        <w:left w:val="none" w:sz="0" w:space="0" w:color="auto"/>
        <w:bottom w:val="none" w:sz="0" w:space="0" w:color="auto"/>
        <w:right w:val="none" w:sz="0" w:space="0" w:color="auto"/>
      </w:divBdr>
    </w:div>
    <w:div w:id="2054310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e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CDF521-401E-4BD3-A990-CEDC82D87E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39828</Words>
  <Characters>219057</Characters>
  <Application>Microsoft Office Word</Application>
  <DocSecurity>4</DocSecurity>
  <Lines>1825</Lines>
  <Paragraphs>516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258369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Comisiones</dc:creator>
  <cp:lastModifiedBy>Comisiones</cp:lastModifiedBy>
  <cp:revision>2</cp:revision>
  <cp:lastPrinted>2016-11-03T15:18:00Z</cp:lastPrinted>
  <dcterms:created xsi:type="dcterms:W3CDTF">2016-11-10T13:16:00Z</dcterms:created>
  <dcterms:modified xsi:type="dcterms:W3CDTF">2016-11-10T13:16:00Z</dcterms:modified>
</cp:coreProperties>
</file>