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3158" w14:textId="1B50B268" w:rsidR="00641191" w:rsidRDefault="006A2BCD" w:rsidP="00641191">
      <w:pPr>
        <w:jc w:val="center"/>
        <w:rPr>
          <w:rFonts w:ascii="Arial" w:hAnsi="Arial" w:cs="Arial"/>
          <w:b/>
          <w:bCs/>
          <w:sz w:val="22"/>
          <w:szCs w:val="22"/>
          <w:u w:val="single"/>
        </w:rPr>
      </w:pPr>
      <w:r>
        <w:rPr>
          <w:rFonts w:ascii="Arial" w:hAnsi="Arial" w:cs="Arial"/>
          <w:b/>
          <w:bCs/>
          <w:sz w:val="22"/>
          <w:szCs w:val="22"/>
          <w:u w:val="single"/>
        </w:rPr>
        <w:t>AGENDA</w:t>
      </w:r>
      <w:r w:rsidR="00641191" w:rsidRPr="002C7A88">
        <w:rPr>
          <w:rFonts w:ascii="Arial" w:hAnsi="Arial" w:cs="Arial"/>
          <w:b/>
          <w:bCs/>
          <w:sz w:val="22"/>
          <w:szCs w:val="22"/>
          <w:u w:val="single"/>
        </w:rPr>
        <w:t xml:space="preserve"> SEGURIDAD PÚBLICA</w:t>
      </w:r>
    </w:p>
    <w:p w14:paraId="09F0A342" w14:textId="46142D22" w:rsidR="006A2BCD" w:rsidRPr="002C7A88" w:rsidRDefault="006A2BCD" w:rsidP="00641191">
      <w:pPr>
        <w:jc w:val="center"/>
        <w:rPr>
          <w:rFonts w:ascii="Arial" w:hAnsi="Arial" w:cs="Arial"/>
          <w:b/>
          <w:bCs/>
          <w:sz w:val="22"/>
          <w:szCs w:val="22"/>
          <w:u w:val="single"/>
        </w:rPr>
      </w:pPr>
      <w:r>
        <w:rPr>
          <w:rFonts w:ascii="Arial" w:hAnsi="Arial" w:cs="Arial"/>
          <w:b/>
          <w:bCs/>
          <w:sz w:val="22"/>
          <w:szCs w:val="22"/>
          <w:u w:val="single"/>
        </w:rPr>
        <w:t>MAYO 2022</w:t>
      </w:r>
    </w:p>
    <w:p w14:paraId="2E9DC247" w14:textId="77777777" w:rsidR="00641191" w:rsidRDefault="00641191" w:rsidP="00641191">
      <w:pPr>
        <w:rPr>
          <w:rFonts w:ascii="Arial" w:hAnsi="Arial" w:cs="Arial"/>
          <w:sz w:val="22"/>
          <w:szCs w:val="22"/>
        </w:rPr>
      </w:pPr>
    </w:p>
    <w:tbl>
      <w:tblPr>
        <w:tblStyle w:val="Tablaconcuadrcula"/>
        <w:tblW w:w="0" w:type="auto"/>
        <w:tblLook w:val="04A0" w:firstRow="1" w:lastRow="0" w:firstColumn="1" w:lastColumn="0" w:noHBand="0" w:noVBand="1"/>
      </w:tblPr>
      <w:tblGrid>
        <w:gridCol w:w="1090"/>
        <w:gridCol w:w="3255"/>
        <w:gridCol w:w="2198"/>
        <w:gridCol w:w="3913"/>
      </w:tblGrid>
      <w:tr w:rsidR="00045C24" w14:paraId="6FC0A42A" w14:textId="77777777" w:rsidTr="005056DD">
        <w:trPr>
          <w:tblHeader/>
        </w:trPr>
        <w:tc>
          <w:tcPr>
            <w:tcW w:w="0" w:type="auto"/>
            <w:shd w:val="clear" w:color="auto" w:fill="B4C6E7" w:themeFill="accent1" w:themeFillTint="66"/>
            <w:vAlign w:val="center"/>
          </w:tcPr>
          <w:p w14:paraId="7532F84E" w14:textId="77777777" w:rsidR="00641191" w:rsidRPr="0012416E" w:rsidRDefault="00641191" w:rsidP="005056DD">
            <w:pPr>
              <w:jc w:val="center"/>
              <w:rPr>
                <w:rFonts w:ascii="Arial" w:hAnsi="Arial" w:cs="Arial"/>
                <w:b/>
                <w:bCs/>
                <w:smallCaps/>
                <w:sz w:val="22"/>
                <w:szCs w:val="22"/>
              </w:rPr>
            </w:pPr>
            <w:r>
              <w:rPr>
                <w:rFonts w:ascii="Arial" w:hAnsi="Arial" w:cs="Arial"/>
                <w:b/>
                <w:bCs/>
                <w:smallCaps/>
                <w:sz w:val="22"/>
                <w:szCs w:val="22"/>
              </w:rPr>
              <w:t>Nº Boletín</w:t>
            </w:r>
          </w:p>
        </w:tc>
        <w:tc>
          <w:tcPr>
            <w:tcW w:w="0" w:type="auto"/>
            <w:shd w:val="clear" w:color="auto" w:fill="B4C6E7" w:themeFill="accent1" w:themeFillTint="66"/>
            <w:vAlign w:val="center"/>
          </w:tcPr>
          <w:p w14:paraId="3F6CB25C" w14:textId="77777777" w:rsidR="00641191" w:rsidRPr="0012416E" w:rsidRDefault="00641191" w:rsidP="005056DD">
            <w:pPr>
              <w:jc w:val="center"/>
              <w:rPr>
                <w:rFonts w:ascii="Arial" w:hAnsi="Arial" w:cs="Arial"/>
                <w:b/>
                <w:bCs/>
                <w:smallCaps/>
                <w:sz w:val="22"/>
                <w:szCs w:val="22"/>
              </w:rPr>
            </w:pPr>
            <w:r w:rsidRPr="0012416E">
              <w:rPr>
                <w:rFonts w:ascii="Arial" w:hAnsi="Arial" w:cs="Arial"/>
                <w:b/>
                <w:bCs/>
                <w:smallCaps/>
                <w:sz w:val="22"/>
                <w:szCs w:val="22"/>
              </w:rPr>
              <w:t>Proyecto de Ley</w:t>
            </w:r>
          </w:p>
        </w:tc>
        <w:tc>
          <w:tcPr>
            <w:tcW w:w="0" w:type="auto"/>
            <w:shd w:val="clear" w:color="auto" w:fill="B4C6E7" w:themeFill="accent1" w:themeFillTint="66"/>
            <w:vAlign w:val="center"/>
          </w:tcPr>
          <w:p w14:paraId="48034E29" w14:textId="77777777" w:rsidR="00641191" w:rsidRPr="0012416E" w:rsidRDefault="00641191" w:rsidP="005056DD">
            <w:pPr>
              <w:jc w:val="center"/>
              <w:rPr>
                <w:rFonts w:ascii="Arial" w:hAnsi="Arial" w:cs="Arial"/>
                <w:b/>
                <w:bCs/>
                <w:smallCaps/>
                <w:sz w:val="22"/>
                <w:szCs w:val="22"/>
              </w:rPr>
            </w:pPr>
            <w:r w:rsidRPr="0012416E">
              <w:rPr>
                <w:rFonts w:ascii="Arial" w:hAnsi="Arial" w:cs="Arial"/>
                <w:b/>
                <w:bCs/>
                <w:smallCaps/>
                <w:sz w:val="22"/>
                <w:szCs w:val="22"/>
              </w:rPr>
              <w:t>Etapa Tramitación</w:t>
            </w:r>
          </w:p>
        </w:tc>
        <w:tc>
          <w:tcPr>
            <w:tcW w:w="0" w:type="auto"/>
            <w:shd w:val="clear" w:color="auto" w:fill="B4C6E7" w:themeFill="accent1" w:themeFillTint="66"/>
            <w:vAlign w:val="center"/>
          </w:tcPr>
          <w:p w14:paraId="41DA5376" w14:textId="77777777" w:rsidR="00641191" w:rsidRPr="0012416E" w:rsidRDefault="00641191" w:rsidP="005056DD">
            <w:pPr>
              <w:jc w:val="center"/>
              <w:rPr>
                <w:rFonts w:ascii="Arial" w:hAnsi="Arial" w:cs="Arial"/>
                <w:b/>
                <w:bCs/>
                <w:smallCaps/>
                <w:sz w:val="22"/>
                <w:szCs w:val="22"/>
              </w:rPr>
            </w:pPr>
            <w:r w:rsidRPr="0012416E">
              <w:rPr>
                <w:rFonts w:ascii="Arial" w:hAnsi="Arial" w:cs="Arial"/>
                <w:b/>
                <w:bCs/>
                <w:smallCaps/>
                <w:sz w:val="22"/>
                <w:szCs w:val="22"/>
              </w:rPr>
              <w:t>Idea Matriz</w:t>
            </w:r>
          </w:p>
        </w:tc>
      </w:tr>
      <w:tr w:rsidR="002033C6" w14:paraId="1EA8C645" w14:textId="77777777" w:rsidTr="005056DD">
        <w:tc>
          <w:tcPr>
            <w:tcW w:w="0" w:type="auto"/>
          </w:tcPr>
          <w:p w14:paraId="79D19CE4" w14:textId="57EAD510" w:rsidR="002033C6" w:rsidRPr="002033C6" w:rsidRDefault="00000000" w:rsidP="005056DD">
            <w:pPr>
              <w:jc w:val="center"/>
              <w:rPr>
                <w:rFonts w:ascii="Arial" w:hAnsi="Arial" w:cs="Arial"/>
              </w:rPr>
            </w:pPr>
            <w:hyperlink r:id="rId6" w:history="1">
              <w:r w:rsidR="002033C6" w:rsidRPr="002033C6">
                <w:rPr>
                  <w:rStyle w:val="Hipervnculo"/>
                  <w:rFonts w:ascii="Arial" w:hAnsi="Arial" w:cs="Arial"/>
                  <w:sz w:val="22"/>
                  <w:szCs w:val="22"/>
                </w:rPr>
                <w:t>Boletín 13086-07</w:t>
              </w:r>
            </w:hyperlink>
          </w:p>
        </w:tc>
        <w:tc>
          <w:tcPr>
            <w:tcW w:w="0" w:type="auto"/>
          </w:tcPr>
          <w:p w14:paraId="797CD049" w14:textId="6BC7995B" w:rsidR="002033C6" w:rsidRPr="000706F9" w:rsidRDefault="002033C6" w:rsidP="005056DD">
            <w:pPr>
              <w:jc w:val="both"/>
              <w:rPr>
                <w:rFonts w:ascii="Arial" w:hAnsi="Arial" w:cs="Arial"/>
                <w:sz w:val="22"/>
                <w:szCs w:val="22"/>
              </w:rPr>
            </w:pPr>
            <w:r w:rsidRPr="002033C6">
              <w:rPr>
                <w:rFonts w:ascii="Arial" w:hAnsi="Arial" w:cs="Arial"/>
                <w:sz w:val="22"/>
                <w:szCs w:val="22"/>
              </w:rPr>
              <w:t>Proyecto de reforma constitucional que regula estado de alerta para prevenir daños a infraestructura crítica.</w:t>
            </w:r>
          </w:p>
        </w:tc>
        <w:tc>
          <w:tcPr>
            <w:tcW w:w="0" w:type="auto"/>
          </w:tcPr>
          <w:p w14:paraId="444F6B4B" w14:textId="3BCEFDF1" w:rsidR="002033C6" w:rsidRDefault="002033C6" w:rsidP="005056DD">
            <w:pPr>
              <w:jc w:val="both"/>
              <w:rPr>
                <w:rFonts w:ascii="Arial" w:hAnsi="Arial" w:cs="Arial"/>
                <w:sz w:val="22"/>
                <w:szCs w:val="22"/>
              </w:rPr>
            </w:pPr>
            <w:r>
              <w:rPr>
                <w:rFonts w:ascii="Arial" w:hAnsi="Arial" w:cs="Arial"/>
                <w:sz w:val="22"/>
                <w:szCs w:val="22"/>
              </w:rPr>
              <w:t>Comisión Mixta x rechazo idea legislar</w:t>
            </w:r>
            <w:r w:rsidR="003F74B9">
              <w:rPr>
                <w:rFonts w:ascii="Arial" w:hAnsi="Arial" w:cs="Arial"/>
                <w:sz w:val="22"/>
                <w:szCs w:val="22"/>
              </w:rPr>
              <w:t>. Aún pendiente.</w:t>
            </w:r>
          </w:p>
        </w:tc>
        <w:tc>
          <w:tcPr>
            <w:tcW w:w="0" w:type="auto"/>
          </w:tcPr>
          <w:p w14:paraId="35D3EFF1" w14:textId="27E1B80D" w:rsidR="002033C6" w:rsidRPr="007C2E87" w:rsidRDefault="002033C6" w:rsidP="005056DD">
            <w:pPr>
              <w:spacing w:line="276" w:lineRule="auto"/>
              <w:jc w:val="both"/>
              <w:rPr>
                <w:rFonts w:ascii="Arial" w:eastAsia="Times New Roman" w:hAnsi="Arial" w:cs="Arial"/>
                <w:color w:val="333333"/>
                <w:sz w:val="22"/>
                <w:szCs w:val="22"/>
                <w:lang w:eastAsia="es-ES_tradnl"/>
              </w:rPr>
            </w:pPr>
            <w:r w:rsidRPr="002033C6">
              <w:rPr>
                <w:rFonts w:ascii="Arial" w:eastAsia="Times New Roman" w:hAnsi="Arial" w:cs="Arial"/>
                <w:color w:val="333333"/>
                <w:sz w:val="22"/>
                <w:szCs w:val="22"/>
                <w:lang w:eastAsia="es-ES_tradnl"/>
              </w:rPr>
              <w:t>Permitir que el Presidente de la República pueda decretar que las Fuerzas Armadas resguarden la infraestructura crítica del país, cuando exista un peligro grave que la afecte, sin que esta medida pueda, en caso alguno, implicar una suspensión, restricción o privación de los derechos y garantías que establece la Carta Fundamental.</w:t>
            </w:r>
          </w:p>
        </w:tc>
      </w:tr>
      <w:tr w:rsidR="00045C24" w14:paraId="72A6C71F" w14:textId="77777777" w:rsidTr="005056DD">
        <w:tc>
          <w:tcPr>
            <w:tcW w:w="0" w:type="auto"/>
          </w:tcPr>
          <w:p w14:paraId="2B096C19" w14:textId="77777777" w:rsidR="00641191" w:rsidRDefault="00000000" w:rsidP="005056DD">
            <w:pPr>
              <w:jc w:val="center"/>
              <w:rPr>
                <w:rFonts w:ascii="Arial" w:hAnsi="Arial" w:cs="Arial"/>
                <w:sz w:val="22"/>
                <w:szCs w:val="22"/>
              </w:rPr>
            </w:pPr>
            <w:hyperlink r:id="rId7" w:history="1">
              <w:r w:rsidR="00641191" w:rsidRPr="000706F9">
                <w:rPr>
                  <w:rStyle w:val="Hipervnculo"/>
                  <w:rFonts w:ascii="Arial" w:hAnsi="Arial" w:cs="Arial"/>
                  <w:sz w:val="22"/>
                  <w:szCs w:val="22"/>
                </w:rPr>
                <w:t>Bo</w:t>
              </w:r>
              <w:r w:rsidR="00641191" w:rsidRPr="000706F9">
                <w:rPr>
                  <w:rStyle w:val="Hipervnculo"/>
                  <w:rFonts w:ascii="Arial" w:hAnsi="Arial" w:cs="Arial"/>
                  <w:sz w:val="22"/>
                  <w:szCs w:val="22"/>
                </w:rPr>
                <w:t>l</w:t>
              </w:r>
              <w:r w:rsidR="00641191" w:rsidRPr="000706F9">
                <w:rPr>
                  <w:rStyle w:val="Hipervnculo"/>
                  <w:rFonts w:ascii="Arial" w:hAnsi="Arial" w:cs="Arial"/>
                  <w:sz w:val="22"/>
                  <w:szCs w:val="22"/>
                </w:rPr>
                <w:t>etín 1219</w:t>
              </w:r>
              <w:r w:rsidR="00641191" w:rsidRPr="000706F9">
                <w:rPr>
                  <w:rStyle w:val="Hipervnculo"/>
                  <w:rFonts w:ascii="Arial" w:hAnsi="Arial" w:cs="Arial"/>
                  <w:sz w:val="22"/>
                  <w:szCs w:val="22"/>
                </w:rPr>
                <w:t>2</w:t>
              </w:r>
              <w:r w:rsidR="00641191" w:rsidRPr="000706F9">
                <w:rPr>
                  <w:rStyle w:val="Hipervnculo"/>
                  <w:rFonts w:ascii="Arial" w:hAnsi="Arial" w:cs="Arial"/>
                  <w:sz w:val="22"/>
                  <w:szCs w:val="22"/>
                </w:rPr>
                <w:t>-25</w:t>
              </w:r>
            </w:hyperlink>
          </w:p>
        </w:tc>
        <w:tc>
          <w:tcPr>
            <w:tcW w:w="0" w:type="auto"/>
          </w:tcPr>
          <w:p w14:paraId="2384C065" w14:textId="77777777" w:rsidR="00641191" w:rsidRDefault="00641191" w:rsidP="005056DD">
            <w:pPr>
              <w:jc w:val="both"/>
              <w:rPr>
                <w:rFonts w:ascii="Arial" w:hAnsi="Arial" w:cs="Arial"/>
                <w:sz w:val="22"/>
                <w:szCs w:val="22"/>
              </w:rPr>
            </w:pPr>
            <w:r w:rsidRPr="000706F9">
              <w:rPr>
                <w:rFonts w:ascii="Arial" w:hAnsi="Arial" w:cs="Arial"/>
                <w:sz w:val="22"/>
                <w:szCs w:val="22"/>
              </w:rPr>
              <w:t>Establece normas sobre delitos informáticos, deroga la ley N° 19.223 y modifica otros cuerpos legales con el objeto de adecuarlos al convenio de Budapest.</w:t>
            </w:r>
          </w:p>
        </w:tc>
        <w:tc>
          <w:tcPr>
            <w:tcW w:w="0" w:type="auto"/>
          </w:tcPr>
          <w:p w14:paraId="3B08A021" w14:textId="1906899D" w:rsidR="00641191" w:rsidRDefault="003F74B9" w:rsidP="005056DD">
            <w:pPr>
              <w:jc w:val="both"/>
              <w:rPr>
                <w:rFonts w:ascii="Arial" w:hAnsi="Arial" w:cs="Arial"/>
                <w:sz w:val="22"/>
                <w:szCs w:val="22"/>
              </w:rPr>
            </w:pPr>
            <w:r>
              <w:rPr>
                <w:rFonts w:ascii="Arial" w:hAnsi="Arial" w:cs="Arial"/>
                <w:sz w:val="22"/>
                <w:szCs w:val="22"/>
              </w:rPr>
              <w:t xml:space="preserve">Ley publicada </w:t>
            </w:r>
            <w:proofErr w:type="spellStart"/>
            <w:r>
              <w:rPr>
                <w:rFonts w:ascii="Arial" w:hAnsi="Arial" w:cs="Arial"/>
                <w:sz w:val="22"/>
                <w:szCs w:val="22"/>
              </w:rPr>
              <w:t>Nº</w:t>
            </w:r>
            <w:proofErr w:type="spellEnd"/>
            <w:r>
              <w:rPr>
                <w:rFonts w:ascii="Arial" w:hAnsi="Arial" w:cs="Arial"/>
                <w:sz w:val="22"/>
                <w:szCs w:val="22"/>
              </w:rPr>
              <w:t xml:space="preserve"> </w:t>
            </w:r>
            <w:hyperlink r:id="rId8" w:history="1">
              <w:r w:rsidRPr="003F74B9">
                <w:rPr>
                  <w:rStyle w:val="Hipervnculo"/>
                  <w:rFonts w:ascii="Arial" w:hAnsi="Arial" w:cs="Arial"/>
                  <w:sz w:val="22"/>
                  <w:szCs w:val="22"/>
                </w:rPr>
                <w:t>21.459</w:t>
              </w:r>
            </w:hyperlink>
            <w:r>
              <w:rPr>
                <w:rFonts w:ascii="Arial" w:hAnsi="Arial" w:cs="Arial"/>
                <w:sz w:val="22"/>
                <w:szCs w:val="22"/>
              </w:rPr>
              <w:t xml:space="preserve"> del 20 junio 2022</w:t>
            </w:r>
          </w:p>
        </w:tc>
        <w:tc>
          <w:tcPr>
            <w:tcW w:w="0" w:type="auto"/>
          </w:tcPr>
          <w:p w14:paraId="54F3ECA7" w14:textId="77777777" w:rsidR="00641191" w:rsidRDefault="00641191" w:rsidP="005056DD">
            <w:pPr>
              <w:spacing w:line="276" w:lineRule="auto"/>
              <w:jc w:val="both"/>
              <w:rPr>
                <w:rFonts w:ascii="Arial" w:eastAsia="Times New Roman" w:hAnsi="Arial" w:cs="Arial"/>
                <w:color w:val="333333"/>
                <w:sz w:val="22"/>
                <w:szCs w:val="22"/>
                <w:lang w:eastAsia="es-ES_tradnl"/>
              </w:rPr>
            </w:pPr>
            <w:r w:rsidRPr="007C2E87">
              <w:rPr>
                <w:rFonts w:ascii="Arial" w:eastAsia="Times New Roman" w:hAnsi="Arial" w:cs="Arial"/>
                <w:color w:val="333333"/>
                <w:sz w:val="22"/>
                <w:szCs w:val="22"/>
                <w:lang w:eastAsia="es-ES_tradnl"/>
              </w:rPr>
              <w:t>La iniciativa de ley en informe, tiene por objeto actualizar la legislación chilena en materia de delitos informáticos y ciberseguridad y adecuarla tanto a las exigencias del Convenio sobre la Ciberdelincuencia del Consejo de Europa, conocido como “Convenio de Budapest”, del cual Chile es parte, respecto a la evolución de las tecnologías de la información y la comunicación, a fin de dar un tratamiento más comprensivo del contexto en que se cometen estos ilícitos y subsanar la carencia de medios suficientes para su investigación</w:t>
            </w:r>
          </w:p>
          <w:p w14:paraId="2CCA9444" w14:textId="77777777" w:rsidR="00641191" w:rsidRDefault="00641191" w:rsidP="005056DD">
            <w:pPr>
              <w:jc w:val="both"/>
              <w:rPr>
                <w:rFonts w:ascii="Arial" w:hAnsi="Arial" w:cs="Arial"/>
                <w:sz w:val="22"/>
                <w:szCs w:val="22"/>
              </w:rPr>
            </w:pPr>
          </w:p>
        </w:tc>
      </w:tr>
      <w:tr w:rsidR="00045C24" w14:paraId="36242874" w14:textId="77777777" w:rsidTr="005056DD">
        <w:tc>
          <w:tcPr>
            <w:tcW w:w="0" w:type="auto"/>
          </w:tcPr>
          <w:p w14:paraId="0331E8FA" w14:textId="77777777" w:rsidR="00641191" w:rsidRDefault="00000000" w:rsidP="005056DD">
            <w:pPr>
              <w:jc w:val="center"/>
              <w:rPr>
                <w:rFonts w:ascii="Arial" w:hAnsi="Arial" w:cs="Arial"/>
                <w:sz w:val="22"/>
                <w:szCs w:val="22"/>
              </w:rPr>
            </w:pPr>
            <w:hyperlink r:id="rId9" w:history="1">
              <w:r w:rsidR="00641191" w:rsidRPr="00D92C46">
                <w:rPr>
                  <w:rStyle w:val="Hipervnculo"/>
                  <w:rFonts w:ascii="Arial" w:hAnsi="Arial" w:cs="Arial"/>
                  <w:sz w:val="22"/>
                  <w:szCs w:val="22"/>
                </w:rPr>
                <w:t>Boletín 12392-25</w:t>
              </w:r>
            </w:hyperlink>
          </w:p>
        </w:tc>
        <w:tc>
          <w:tcPr>
            <w:tcW w:w="0" w:type="auto"/>
          </w:tcPr>
          <w:p w14:paraId="2CC363E9" w14:textId="77777777" w:rsidR="00641191" w:rsidRDefault="00641191" w:rsidP="005056DD">
            <w:pPr>
              <w:jc w:val="both"/>
              <w:rPr>
                <w:rFonts w:ascii="Arial" w:hAnsi="Arial" w:cs="Arial"/>
                <w:sz w:val="22"/>
                <w:szCs w:val="22"/>
              </w:rPr>
            </w:pPr>
            <w:r w:rsidRPr="00D92C46">
              <w:rPr>
                <w:rFonts w:ascii="Arial" w:hAnsi="Arial" w:cs="Arial"/>
                <w:sz w:val="22"/>
                <w:szCs w:val="22"/>
              </w:rPr>
              <w:t>Regula el proceso unificado de búsqueda de personas desaparecidas y crea el sistema interconectado para estos efectos</w:t>
            </w:r>
          </w:p>
        </w:tc>
        <w:tc>
          <w:tcPr>
            <w:tcW w:w="0" w:type="auto"/>
          </w:tcPr>
          <w:p w14:paraId="5EDCB81D" w14:textId="177AECE9" w:rsidR="00641191" w:rsidRDefault="00641191" w:rsidP="005056DD">
            <w:pPr>
              <w:jc w:val="both"/>
              <w:rPr>
                <w:rFonts w:ascii="Arial" w:hAnsi="Arial" w:cs="Arial"/>
                <w:sz w:val="22"/>
                <w:szCs w:val="22"/>
              </w:rPr>
            </w:pPr>
            <w:r>
              <w:rPr>
                <w:rFonts w:ascii="Arial" w:hAnsi="Arial" w:cs="Arial"/>
                <w:sz w:val="22"/>
                <w:szCs w:val="22"/>
              </w:rPr>
              <w:t>Segundo trámite constitucional en el Senado (general).</w:t>
            </w:r>
            <w:r w:rsidR="00984BF7">
              <w:rPr>
                <w:rFonts w:ascii="Arial" w:hAnsi="Arial" w:cs="Arial"/>
                <w:sz w:val="22"/>
                <w:szCs w:val="22"/>
              </w:rPr>
              <w:t xml:space="preserve"> </w:t>
            </w:r>
            <w:r w:rsidR="008724E2">
              <w:rPr>
                <w:rFonts w:ascii="Arial" w:hAnsi="Arial" w:cs="Arial"/>
                <w:sz w:val="22"/>
                <w:szCs w:val="22"/>
              </w:rPr>
              <w:t>Boletín de indicaciones disponible, pero aún sin despachar.</w:t>
            </w:r>
          </w:p>
        </w:tc>
        <w:tc>
          <w:tcPr>
            <w:tcW w:w="0" w:type="auto"/>
          </w:tcPr>
          <w:p w14:paraId="5490128A" w14:textId="77777777" w:rsidR="00641191" w:rsidRDefault="00641191" w:rsidP="005056DD">
            <w:pPr>
              <w:jc w:val="both"/>
              <w:rPr>
                <w:rFonts w:ascii="Arial" w:hAnsi="Arial" w:cs="Arial"/>
                <w:sz w:val="22"/>
                <w:szCs w:val="22"/>
              </w:rPr>
            </w:pPr>
            <w:r w:rsidRPr="00D92C46">
              <w:rPr>
                <w:rFonts w:ascii="Arial" w:hAnsi="Arial" w:cs="Arial"/>
                <w:sz w:val="22"/>
                <w:szCs w:val="22"/>
              </w:rPr>
              <w:t xml:space="preserve">Suplir las falencias actuales respecto de la escasa regulación en los procedimientos, desconexión institucional, deficiencias en las diligencias de investigación y diferencias de criterio respecto de la institución policial que asume la investigación, como asimismo, la existencia de plazos respecto de la necesidad de esperar un número de horas, de 24 a 48 horas, para hacer la denuncia, entre otras, mediante el establecimiento de un marco legal integral de búsqueda de personas extraviadas y desaparecidas, en que se define su concepto, se consagra su categorización y clasificación de riesgos y comprende al efecto un sistema computacional unificado, al que  accedan las policías y otras autoridades, con información atinente a personas extraviadas o desaparecidas, personas </w:t>
            </w:r>
            <w:r w:rsidRPr="00D92C46">
              <w:rPr>
                <w:rFonts w:ascii="Arial" w:hAnsi="Arial" w:cs="Arial"/>
                <w:sz w:val="22"/>
                <w:szCs w:val="22"/>
              </w:rPr>
              <w:lastRenderedPageBreak/>
              <w:t>encontradas y cadáveres o restos humanos no identificados, para así facilitar la determinación de coincidencias entre las denuncias por extravío o desaparición y su hallazgo por un lado y el inicio de la investigación fiscal por el otro, todo ello, con el propósito de la obtención de una respuesta oportuna y eficaz.</w:t>
            </w:r>
          </w:p>
        </w:tc>
      </w:tr>
      <w:tr w:rsidR="00045C24" w14:paraId="42A427C5" w14:textId="77777777" w:rsidTr="005056DD">
        <w:tc>
          <w:tcPr>
            <w:tcW w:w="0" w:type="auto"/>
          </w:tcPr>
          <w:p w14:paraId="2430A855" w14:textId="77777777" w:rsidR="00641191" w:rsidRDefault="00000000" w:rsidP="005056DD">
            <w:pPr>
              <w:jc w:val="center"/>
              <w:rPr>
                <w:rFonts w:ascii="Arial" w:hAnsi="Arial" w:cs="Arial"/>
                <w:sz w:val="22"/>
                <w:szCs w:val="22"/>
              </w:rPr>
            </w:pPr>
            <w:hyperlink r:id="rId10" w:history="1">
              <w:r w:rsidR="00641191" w:rsidRPr="00263223">
                <w:rPr>
                  <w:rStyle w:val="Hipervnculo"/>
                  <w:rFonts w:ascii="Arial" w:hAnsi="Arial" w:cs="Arial"/>
                  <w:sz w:val="22"/>
                  <w:szCs w:val="22"/>
                </w:rPr>
                <w:t>Boletín 13588-07</w:t>
              </w:r>
            </w:hyperlink>
          </w:p>
        </w:tc>
        <w:tc>
          <w:tcPr>
            <w:tcW w:w="0" w:type="auto"/>
          </w:tcPr>
          <w:p w14:paraId="79B69593" w14:textId="77777777" w:rsidR="00641191" w:rsidRDefault="00641191" w:rsidP="005056DD">
            <w:pPr>
              <w:jc w:val="both"/>
              <w:rPr>
                <w:rFonts w:ascii="Arial" w:hAnsi="Arial" w:cs="Arial"/>
                <w:sz w:val="22"/>
                <w:szCs w:val="22"/>
              </w:rPr>
            </w:pPr>
            <w:r w:rsidRPr="00263223">
              <w:rPr>
                <w:rFonts w:ascii="Arial" w:hAnsi="Arial" w:cs="Arial"/>
                <w:sz w:val="22"/>
                <w:szCs w:val="22"/>
              </w:rPr>
              <w:t>Modifica diversos cuerpos legales con el objeto de mejorar la persecución del narcotráfico y crimen organizado, regular el destino de los bienes incautados en esos delitos y fortalecer las instituciones de rehabilitación y reinserción social</w:t>
            </w:r>
          </w:p>
        </w:tc>
        <w:tc>
          <w:tcPr>
            <w:tcW w:w="0" w:type="auto"/>
          </w:tcPr>
          <w:p w14:paraId="6C951A4A" w14:textId="418B8EB4" w:rsidR="00641191" w:rsidRDefault="00641191" w:rsidP="005056DD">
            <w:pPr>
              <w:jc w:val="both"/>
              <w:rPr>
                <w:rFonts w:ascii="Arial" w:hAnsi="Arial" w:cs="Arial"/>
                <w:sz w:val="22"/>
                <w:szCs w:val="22"/>
              </w:rPr>
            </w:pPr>
            <w:r>
              <w:rPr>
                <w:rFonts w:ascii="Arial" w:hAnsi="Arial" w:cs="Arial"/>
                <w:sz w:val="22"/>
                <w:szCs w:val="22"/>
              </w:rPr>
              <w:t>Votación indicaciones en la Comisión Seguridad Pública Senado.</w:t>
            </w:r>
            <w:r w:rsidR="009F08AD">
              <w:rPr>
                <w:rFonts w:ascii="Arial" w:hAnsi="Arial" w:cs="Arial"/>
                <w:sz w:val="22"/>
                <w:szCs w:val="22"/>
              </w:rPr>
              <w:t xml:space="preserve"> </w:t>
            </w:r>
            <w:r w:rsidR="00502D57">
              <w:rPr>
                <w:rFonts w:ascii="Arial" w:hAnsi="Arial" w:cs="Arial"/>
                <w:sz w:val="22"/>
                <w:szCs w:val="22"/>
              </w:rPr>
              <w:t>Plazo indicaciones hasta el 1 julio.</w:t>
            </w:r>
          </w:p>
          <w:p w14:paraId="2F1E8CAF" w14:textId="57016C71" w:rsidR="00641191" w:rsidRDefault="00641191" w:rsidP="005056DD">
            <w:pPr>
              <w:jc w:val="both"/>
              <w:rPr>
                <w:rFonts w:ascii="Arial" w:hAnsi="Arial" w:cs="Arial"/>
                <w:sz w:val="22"/>
                <w:szCs w:val="22"/>
              </w:rPr>
            </w:pPr>
          </w:p>
        </w:tc>
        <w:tc>
          <w:tcPr>
            <w:tcW w:w="0" w:type="auto"/>
          </w:tcPr>
          <w:p w14:paraId="4207DC88" w14:textId="77777777" w:rsidR="00641191" w:rsidRDefault="00641191" w:rsidP="005056DD">
            <w:pPr>
              <w:jc w:val="both"/>
              <w:rPr>
                <w:rFonts w:ascii="Arial" w:hAnsi="Arial" w:cs="Arial"/>
                <w:sz w:val="22"/>
                <w:szCs w:val="22"/>
              </w:rPr>
            </w:pPr>
            <w:r w:rsidRPr="00263223">
              <w:rPr>
                <w:rFonts w:ascii="Arial" w:hAnsi="Arial" w:cs="Arial"/>
                <w:sz w:val="22"/>
                <w:szCs w:val="22"/>
              </w:rPr>
              <w:t>Perfeccionar la persecución del narcotráfico y el crimen organizado, regular el destino de los bienes incautados en esos delitos y fortalecer las instituciones de rehabilitación y reinserción social.</w:t>
            </w:r>
          </w:p>
        </w:tc>
      </w:tr>
      <w:tr w:rsidR="00045C24" w14:paraId="42C462AD" w14:textId="77777777" w:rsidTr="005056DD">
        <w:tc>
          <w:tcPr>
            <w:tcW w:w="0" w:type="auto"/>
          </w:tcPr>
          <w:p w14:paraId="2E968CA8" w14:textId="77777777" w:rsidR="00641191" w:rsidRDefault="00000000" w:rsidP="005056DD">
            <w:pPr>
              <w:jc w:val="center"/>
              <w:rPr>
                <w:rFonts w:ascii="Arial" w:hAnsi="Arial" w:cs="Arial"/>
                <w:sz w:val="22"/>
                <w:szCs w:val="22"/>
              </w:rPr>
            </w:pPr>
            <w:hyperlink r:id="rId11" w:history="1">
              <w:r w:rsidR="00641191" w:rsidRPr="00172B54">
                <w:rPr>
                  <w:rStyle w:val="Hipervnculo"/>
                  <w:rFonts w:ascii="Arial" w:hAnsi="Arial" w:cs="Arial"/>
                  <w:sz w:val="22"/>
                  <w:szCs w:val="22"/>
                </w:rPr>
                <w:t>Boletín 13</w:t>
              </w:r>
              <w:r w:rsidR="00641191" w:rsidRPr="00172B54">
                <w:rPr>
                  <w:rStyle w:val="Hipervnculo"/>
                  <w:rFonts w:ascii="Arial" w:hAnsi="Arial" w:cs="Arial"/>
                  <w:sz w:val="22"/>
                  <w:szCs w:val="22"/>
                </w:rPr>
                <w:t>7</w:t>
              </w:r>
              <w:r w:rsidR="00641191" w:rsidRPr="00172B54">
                <w:rPr>
                  <w:rStyle w:val="Hipervnculo"/>
                  <w:rFonts w:ascii="Arial" w:hAnsi="Arial" w:cs="Arial"/>
                  <w:sz w:val="22"/>
                  <w:szCs w:val="22"/>
                </w:rPr>
                <w:t>40-07</w:t>
              </w:r>
            </w:hyperlink>
          </w:p>
        </w:tc>
        <w:tc>
          <w:tcPr>
            <w:tcW w:w="0" w:type="auto"/>
          </w:tcPr>
          <w:p w14:paraId="609EC592" w14:textId="77777777" w:rsidR="00641191" w:rsidRDefault="00641191" w:rsidP="005056DD">
            <w:pPr>
              <w:jc w:val="both"/>
              <w:rPr>
                <w:rFonts w:ascii="Arial" w:hAnsi="Arial" w:cs="Arial"/>
                <w:sz w:val="22"/>
                <w:szCs w:val="22"/>
              </w:rPr>
            </w:pPr>
            <w:r>
              <w:rPr>
                <w:rFonts w:ascii="Arial" w:hAnsi="Arial" w:cs="Arial"/>
                <w:sz w:val="22"/>
                <w:szCs w:val="22"/>
              </w:rPr>
              <w:t>S</w:t>
            </w:r>
            <w:r w:rsidRPr="00E26422">
              <w:rPr>
                <w:rFonts w:ascii="Arial" w:hAnsi="Arial" w:cs="Arial"/>
                <w:sz w:val="22"/>
                <w:szCs w:val="22"/>
              </w:rPr>
              <w:t>anciona penalmente a quienes ingresen elementos prohibidos a los establecimientos penitenciarios</w:t>
            </w:r>
          </w:p>
        </w:tc>
        <w:tc>
          <w:tcPr>
            <w:tcW w:w="0" w:type="auto"/>
          </w:tcPr>
          <w:p w14:paraId="460E6940" w14:textId="3FCD0494" w:rsidR="00641191" w:rsidRDefault="00641191" w:rsidP="005056DD">
            <w:pPr>
              <w:jc w:val="both"/>
              <w:rPr>
                <w:rFonts w:ascii="Arial" w:hAnsi="Arial" w:cs="Arial"/>
                <w:sz w:val="22"/>
                <w:szCs w:val="22"/>
              </w:rPr>
            </w:pPr>
            <w:r>
              <w:rPr>
                <w:rFonts w:ascii="Arial" w:hAnsi="Arial" w:cs="Arial"/>
                <w:sz w:val="22"/>
                <w:szCs w:val="22"/>
              </w:rPr>
              <w:t>Tercer trámite constitucional</w:t>
            </w:r>
            <w:r w:rsidR="009F08AD">
              <w:rPr>
                <w:rFonts w:ascii="Arial" w:hAnsi="Arial" w:cs="Arial"/>
                <w:sz w:val="22"/>
                <w:szCs w:val="22"/>
              </w:rPr>
              <w:t xml:space="preserve"> senado. No tiene urgencia</w:t>
            </w:r>
          </w:p>
        </w:tc>
        <w:tc>
          <w:tcPr>
            <w:tcW w:w="0" w:type="auto"/>
          </w:tcPr>
          <w:p w14:paraId="31E895B7" w14:textId="77777777" w:rsidR="00641191" w:rsidRDefault="00641191" w:rsidP="005056DD">
            <w:pPr>
              <w:jc w:val="both"/>
              <w:rPr>
                <w:rFonts w:ascii="Arial" w:hAnsi="Arial" w:cs="Arial"/>
                <w:sz w:val="22"/>
                <w:szCs w:val="22"/>
              </w:rPr>
            </w:pPr>
            <w:r w:rsidRPr="00E26422">
              <w:rPr>
                <w:rFonts w:ascii="Arial" w:hAnsi="Arial" w:cs="Arial"/>
                <w:sz w:val="22"/>
                <w:szCs w:val="22"/>
              </w:rPr>
              <w:t>Sancionar penalmente a las personas que provean o faciliten el ingreso de determinados elementos en los recintos penitenciarios, para los reclusos que están cumpliendo penas privativas de libertad en estos establecimientos.</w:t>
            </w:r>
          </w:p>
        </w:tc>
      </w:tr>
      <w:tr w:rsidR="00045C24" w14:paraId="6F7A1804" w14:textId="77777777" w:rsidTr="005056DD">
        <w:tc>
          <w:tcPr>
            <w:tcW w:w="0" w:type="auto"/>
          </w:tcPr>
          <w:p w14:paraId="030A4E7C" w14:textId="77777777" w:rsidR="00641191" w:rsidRDefault="00000000" w:rsidP="005056DD">
            <w:pPr>
              <w:jc w:val="center"/>
              <w:rPr>
                <w:rFonts w:ascii="Arial" w:hAnsi="Arial" w:cs="Arial"/>
                <w:sz w:val="22"/>
                <w:szCs w:val="22"/>
              </w:rPr>
            </w:pPr>
            <w:hyperlink r:id="rId12" w:history="1">
              <w:r w:rsidR="00641191" w:rsidRPr="002160F2">
                <w:rPr>
                  <w:rStyle w:val="Hipervnculo"/>
                  <w:rFonts w:ascii="Arial" w:hAnsi="Arial" w:cs="Arial"/>
                  <w:sz w:val="22"/>
                  <w:szCs w:val="22"/>
                </w:rPr>
                <w:t>Boletín 140</w:t>
              </w:r>
              <w:r w:rsidR="00641191" w:rsidRPr="002160F2">
                <w:rPr>
                  <w:rStyle w:val="Hipervnculo"/>
                  <w:rFonts w:ascii="Arial" w:hAnsi="Arial" w:cs="Arial"/>
                  <w:sz w:val="22"/>
                  <w:szCs w:val="22"/>
                </w:rPr>
                <w:t>1</w:t>
              </w:r>
              <w:r w:rsidR="00641191" w:rsidRPr="002160F2">
                <w:rPr>
                  <w:rStyle w:val="Hipervnculo"/>
                  <w:rFonts w:ascii="Arial" w:hAnsi="Arial" w:cs="Arial"/>
                  <w:sz w:val="22"/>
                  <w:szCs w:val="22"/>
                </w:rPr>
                <w:t>5-25</w:t>
              </w:r>
            </w:hyperlink>
          </w:p>
        </w:tc>
        <w:tc>
          <w:tcPr>
            <w:tcW w:w="0" w:type="auto"/>
          </w:tcPr>
          <w:p w14:paraId="3D719109" w14:textId="77777777" w:rsidR="00641191" w:rsidRDefault="00641191" w:rsidP="005056DD">
            <w:pPr>
              <w:jc w:val="both"/>
              <w:rPr>
                <w:rFonts w:ascii="Arial" w:hAnsi="Arial" w:cs="Arial"/>
                <w:sz w:val="22"/>
                <w:szCs w:val="22"/>
              </w:rPr>
            </w:pPr>
            <w:r w:rsidRPr="002160F2">
              <w:rPr>
                <w:rFonts w:ascii="Arial" w:hAnsi="Arial" w:cs="Arial"/>
                <w:sz w:val="22"/>
                <w:szCs w:val="22"/>
              </w:rPr>
              <w:t>Modifica el Código Penal para castigar con penas privativas de libertad el delito de usurpación, ampliar el período de flagrancia y facilitar la detención de los ocupantes, en la forma que se indica.</w:t>
            </w:r>
          </w:p>
        </w:tc>
        <w:tc>
          <w:tcPr>
            <w:tcW w:w="0" w:type="auto"/>
          </w:tcPr>
          <w:p w14:paraId="36068FE0" w14:textId="77777777" w:rsidR="00641191" w:rsidRDefault="00641191" w:rsidP="005056DD">
            <w:pPr>
              <w:jc w:val="both"/>
              <w:rPr>
                <w:rFonts w:ascii="Arial" w:hAnsi="Arial" w:cs="Arial"/>
                <w:sz w:val="22"/>
                <w:szCs w:val="22"/>
              </w:rPr>
            </w:pPr>
            <w:r>
              <w:rPr>
                <w:rFonts w:ascii="Arial" w:hAnsi="Arial" w:cs="Arial"/>
                <w:sz w:val="22"/>
                <w:szCs w:val="22"/>
              </w:rPr>
              <w:t xml:space="preserve">Primer </w:t>
            </w:r>
            <w:r w:rsidRPr="00544E51">
              <w:rPr>
                <w:rFonts w:ascii="Arial" w:hAnsi="Arial" w:cs="Arial"/>
                <w:sz w:val="22"/>
                <w:szCs w:val="22"/>
              </w:rPr>
              <w:t>trámite constitucional en el Senado (general).</w:t>
            </w:r>
          </w:p>
          <w:p w14:paraId="48D5E3A2" w14:textId="7A9CD6B6" w:rsidR="00F81866" w:rsidRDefault="00502D57" w:rsidP="005056DD">
            <w:pPr>
              <w:jc w:val="both"/>
              <w:rPr>
                <w:rFonts w:ascii="Arial" w:hAnsi="Arial" w:cs="Arial"/>
                <w:sz w:val="22"/>
                <w:szCs w:val="22"/>
              </w:rPr>
            </w:pPr>
            <w:r>
              <w:rPr>
                <w:rFonts w:ascii="Arial" w:hAnsi="Arial" w:cs="Arial"/>
                <w:sz w:val="22"/>
                <w:szCs w:val="22"/>
              </w:rPr>
              <w:t>Boletín de indicaciones disponible, pero aún sin despachar.</w:t>
            </w:r>
          </w:p>
        </w:tc>
        <w:tc>
          <w:tcPr>
            <w:tcW w:w="0" w:type="auto"/>
          </w:tcPr>
          <w:p w14:paraId="508A94C5" w14:textId="77777777" w:rsidR="00641191" w:rsidRDefault="00641191" w:rsidP="005056DD">
            <w:pPr>
              <w:jc w:val="both"/>
              <w:rPr>
                <w:rFonts w:ascii="Arial" w:hAnsi="Arial" w:cs="Arial"/>
                <w:sz w:val="22"/>
                <w:szCs w:val="22"/>
              </w:rPr>
            </w:pPr>
            <w:r w:rsidRPr="002160F2">
              <w:rPr>
                <w:rFonts w:ascii="Arial" w:hAnsi="Arial" w:cs="Arial"/>
                <w:sz w:val="22"/>
                <w:szCs w:val="22"/>
              </w:rPr>
              <w:t>Por una parte, diferenciar las distintas hipótesis de usurpación y ocupación de inmuebles, para, de esta manera, modificar la limitada sanción dispuesta en la ley a su respecto; por otra, garantizar la aplicación de la norma y disuadir la comisión de esta clase de hechos mediante una sanción eficaz, confiriéndole carácter delictivo a la respectiva conducta, para lo cual se elimina el límite a la flagrancia y se establece una nueva vía sancionatoria para la modalidad no violenta, a fin de facilitar la detención de los ocupantes ilegítimos.</w:t>
            </w:r>
          </w:p>
        </w:tc>
      </w:tr>
      <w:tr w:rsidR="00045C24" w14:paraId="38275EEE" w14:textId="77777777" w:rsidTr="005056DD">
        <w:tc>
          <w:tcPr>
            <w:tcW w:w="0" w:type="auto"/>
          </w:tcPr>
          <w:p w14:paraId="39F8321D" w14:textId="77777777" w:rsidR="00641191" w:rsidRDefault="00000000" w:rsidP="005056DD">
            <w:pPr>
              <w:jc w:val="center"/>
              <w:rPr>
                <w:rFonts w:ascii="Arial" w:hAnsi="Arial" w:cs="Arial"/>
                <w:sz w:val="22"/>
                <w:szCs w:val="22"/>
              </w:rPr>
            </w:pPr>
            <w:hyperlink r:id="rId13" w:history="1">
              <w:r w:rsidR="00641191" w:rsidRPr="0012416E">
                <w:rPr>
                  <w:rStyle w:val="Hipervnculo"/>
                  <w:rFonts w:ascii="Arial" w:hAnsi="Arial" w:cs="Arial"/>
                  <w:sz w:val="22"/>
                  <w:szCs w:val="22"/>
                </w:rPr>
                <w:t>Boletín 13</w:t>
              </w:r>
              <w:r w:rsidR="00641191" w:rsidRPr="0012416E">
                <w:rPr>
                  <w:rStyle w:val="Hipervnculo"/>
                  <w:rFonts w:ascii="Arial" w:hAnsi="Arial" w:cs="Arial"/>
                  <w:sz w:val="22"/>
                  <w:szCs w:val="22"/>
                </w:rPr>
                <w:t>1</w:t>
              </w:r>
              <w:r w:rsidR="00641191" w:rsidRPr="0012416E">
                <w:rPr>
                  <w:rStyle w:val="Hipervnculo"/>
                  <w:rFonts w:ascii="Arial" w:hAnsi="Arial" w:cs="Arial"/>
                  <w:sz w:val="22"/>
                  <w:szCs w:val="22"/>
                </w:rPr>
                <w:t>24-07</w:t>
              </w:r>
            </w:hyperlink>
          </w:p>
        </w:tc>
        <w:tc>
          <w:tcPr>
            <w:tcW w:w="0" w:type="auto"/>
          </w:tcPr>
          <w:p w14:paraId="01A7424E" w14:textId="77777777" w:rsidR="00641191" w:rsidRDefault="00641191" w:rsidP="005056DD">
            <w:pPr>
              <w:jc w:val="both"/>
              <w:rPr>
                <w:rFonts w:ascii="Arial" w:hAnsi="Arial" w:cs="Arial"/>
                <w:sz w:val="22"/>
                <w:szCs w:val="22"/>
              </w:rPr>
            </w:pPr>
            <w:r>
              <w:rPr>
                <w:rFonts w:ascii="Arial" w:hAnsi="Arial" w:cs="Arial"/>
                <w:sz w:val="22"/>
                <w:szCs w:val="22"/>
              </w:rPr>
              <w:t>M</w:t>
            </w:r>
            <w:r w:rsidRPr="0012416E">
              <w:rPr>
                <w:rFonts w:ascii="Arial" w:hAnsi="Arial" w:cs="Arial"/>
                <w:sz w:val="22"/>
                <w:szCs w:val="22"/>
              </w:rPr>
              <w:t>odifica el Código Penal y otros cuerpos legales para fortalecer la protección de las Fuerzas de Orden y Seguridad y de Gendarmería de Chile.</w:t>
            </w:r>
          </w:p>
        </w:tc>
        <w:tc>
          <w:tcPr>
            <w:tcW w:w="0" w:type="auto"/>
          </w:tcPr>
          <w:p w14:paraId="08A74D8E" w14:textId="7F430799" w:rsidR="00641191" w:rsidRDefault="00641191" w:rsidP="005056DD">
            <w:pPr>
              <w:jc w:val="both"/>
              <w:rPr>
                <w:rFonts w:ascii="Arial" w:hAnsi="Arial" w:cs="Arial"/>
                <w:sz w:val="22"/>
                <w:szCs w:val="22"/>
              </w:rPr>
            </w:pPr>
            <w:r>
              <w:rPr>
                <w:rFonts w:ascii="Arial" w:hAnsi="Arial" w:cs="Arial"/>
                <w:sz w:val="22"/>
                <w:szCs w:val="22"/>
              </w:rPr>
              <w:t>Primer trámite constitucional en el Senado (general).</w:t>
            </w:r>
            <w:r w:rsidR="009F08AD">
              <w:rPr>
                <w:rFonts w:ascii="Arial" w:hAnsi="Arial" w:cs="Arial"/>
                <w:sz w:val="22"/>
                <w:szCs w:val="22"/>
              </w:rPr>
              <w:t xml:space="preserve"> No tiene urgencia.</w:t>
            </w:r>
          </w:p>
          <w:p w14:paraId="46000E6A" w14:textId="4D67DC60" w:rsidR="00641191" w:rsidRDefault="00641191" w:rsidP="005056DD">
            <w:pPr>
              <w:jc w:val="both"/>
              <w:rPr>
                <w:rFonts w:ascii="Arial" w:hAnsi="Arial" w:cs="Arial"/>
                <w:sz w:val="22"/>
                <w:szCs w:val="22"/>
              </w:rPr>
            </w:pPr>
          </w:p>
        </w:tc>
        <w:tc>
          <w:tcPr>
            <w:tcW w:w="0" w:type="auto"/>
          </w:tcPr>
          <w:p w14:paraId="0B35D0D0" w14:textId="77777777" w:rsidR="00641191" w:rsidRDefault="00641191" w:rsidP="005056DD">
            <w:pPr>
              <w:jc w:val="both"/>
              <w:rPr>
                <w:rFonts w:ascii="Arial" w:hAnsi="Arial" w:cs="Arial"/>
                <w:sz w:val="22"/>
                <w:szCs w:val="22"/>
              </w:rPr>
            </w:pPr>
            <w:r>
              <w:rPr>
                <w:rFonts w:ascii="Arial" w:hAnsi="Arial" w:cs="Arial"/>
                <w:sz w:val="22"/>
                <w:szCs w:val="22"/>
              </w:rPr>
              <w:t>Modifica varios delitos del Código Penal para hacerlos aplicables específicamente a las FOS. Además, modifica el Código Procesal Penal para evitar el archivo de estas causas y modifica el DL Nº 321 sobre libertad condicional para reforzar sus requisitos en estos casos. Modifica el Código Justicia Militar para trasladar esos delitos al Código Penal.</w:t>
            </w:r>
          </w:p>
          <w:p w14:paraId="2A9884B2" w14:textId="77777777" w:rsidR="00641191" w:rsidRDefault="00641191" w:rsidP="005056DD">
            <w:pPr>
              <w:jc w:val="both"/>
              <w:rPr>
                <w:rFonts w:ascii="Arial" w:hAnsi="Arial" w:cs="Arial"/>
                <w:sz w:val="22"/>
                <w:szCs w:val="22"/>
              </w:rPr>
            </w:pPr>
            <w:r>
              <w:rPr>
                <w:rFonts w:ascii="Arial" w:hAnsi="Arial" w:cs="Arial"/>
                <w:sz w:val="22"/>
                <w:szCs w:val="22"/>
              </w:rPr>
              <w:t>Regula la legítima defensa de las FOS y GENCHI.</w:t>
            </w:r>
          </w:p>
        </w:tc>
      </w:tr>
      <w:tr w:rsidR="00045C24" w14:paraId="4E08DDF3" w14:textId="77777777" w:rsidTr="005056DD">
        <w:tc>
          <w:tcPr>
            <w:tcW w:w="0" w:type="auto"/>
          </w:tcPr>
          <w:p w14:paraId="5971A820" w14:textId="77777777" w:rsidR="00641191" w:rsidRDefault="00000000" w:rsidP="005056DD">
            <w:pPr>
              <w:jc w:val="center"/>
              <w:rPr>
                <w:rFonts w:ascii="Arial" w:hAnsi="Arial" w:cs="Arial"/>
                <w:sz w:val="22"/>
                <w:szCs w:val="22"/>
              </w:rPr>
            </w:pPr>
            <w:hyperlink r:id="rId14" w:history="1">
              <w:r w:rsidR="00641191" w:rsidRPr="00263223">
                <w:rPr>
                  <w:rStyle w:val="Hipervnculo"/>
                  <w:rFonts w:ascii="Arial" w:hAnsi="Arial" w:cs="Arial"/>
                  <w:sz w:val="22"/>
                  <w:szCs w:val="22"/>
                </w:rPr>
                <w:t>Boletín 146</w:t>
              </w:r>
              <w:r w:rsidR="00641191" w:rsidRPr="00263223">
                <w:rPr>
                  <w:rStyle w:val="Hipervnculo"/>
                  <w:rFonts w:ascii="Arial" w:hAnsi="Arial" w:cs="Arial"/>
                  <w:sz w:val="22"/>
                  <w:szCs w:val="22"/>
                </w:rPr>
                <w:t>1</w:t>
              </w:r>
              <w:r w:rsidR="00641191" w:rsidRPr="00263223">
                <w:rPr>
                  <w:rStyle w:val="Hipervnculo"/>
                  <w:rFonts w:ascii="Arial" w:hAnsi="Arial" w:cs="Arial"/>
                  <w:sz w:val="22"/>
                  <w:szCs w:val="22"/>
                </w:rPr>
                <w:t>4-07</w:t>
              </w:r>
            </w:hyperlink>
          </w:p>
        </w:tc>
        <w:tc>
          <w:tcPr>
            <w:tcW w:w="0" w:type="auto"/>
          </w:tcPr>
          <w:p w14:paraId="784BC164" w14:textId="77777777" w:rsidR="00641191" w:rsidRDefault="00641191" w:rsidP="005056DD">
            <w:pPr>
              <w:jc w:val="both"/>
              <w:rPr>
                <w:rFonts w:ascii="Arial" w:hAnsi="Arial" w:cs="Arial"/>
                <w:sz w:val="22"/>
                <w:szCs w:val="22"/>
              </w:rPr>
            </w:pPr>
            <w:r w:rsidRPr="00263223">
              <w:rPr>
                <w:rFonts w:ascii="Arial" w:hAnsi="Arial" w:cs="Arial"/>
                <w:sz w:val="22"/>
                <w:szCs w:val="22"/>
              </w:rPr>
              <w:t>Crea el Ministerio de Seguridad Pública</w:t>
            </w:r>
          </w:p>
        </w:tc>
        <w:tc>
          <w:tcPr>
            <w:tcW w:w="0" w:type="auto"/>
          </w:tcPr>
          <w:p w14:paraId="0D471D81" w14:textId="3DC03790" w:rsidR="00641191" w:rsidRDefault="00641191" w:rsidP="005056DD">
            <w:pPr>
              <w:jc w:val="both"/>
              <w:rPr>
                <w:rFonts w:ascii="Arial" w:hAnsi="Arial" w:cs="Arial"/>
                <w:sz w:val="22"/>
                <w:szCs w:val="22"/>
              </w:rPr>
            </w:pPr>
            <w:r>
              <w:rPr>
                <w:rFonts w:ascii="Arial" w:hAnsi="Arial" w:cs="Arial"/>
                <w:sz w:val="22"/>
                <w:szCs w:val="22"/>
              </w:rPr>
              <w:t xml:space="preserve">Plazo de indicaciones abierto hasta el </w:t>
            </w:r>
            <w:r w:rsidR="00502D57">
              <w:rPr>
                <w:rFonts w:ascii="Arial" w:hAnsi="Arial" w:cs="Arial"/>
                <w:sz w:val="22"/>
                <w:szCs w:val="22"/>
              </w:rPr>
              <w:t>15</w:t>
            </w:r>
            <w:r w:rsidR="009F08AD">
              <w:rPr>
                <w:rFonts w:ascii="Arial" w:hAnsi="Arial" w:cs="Arial"/>
                <w:sz w:val="22"/>
                <w:szCs w:val="22"/>
              </w:rPr>
              <w:t xml:space="preserve"> julio </w:t>
            </w:r>
            <w:r>
              <w:rPr>
                <w:rFonts w:ascii="Arial" w:hAnsi="Arial" w:cs="Arial"/>
                <w:sz w:val="22"/>
                <w:szCs w:val="22"/>
              </w:rPr>
              <w:t>a las 12pm.</w:t>
            </w:r>
          </w:p>
          <w:p w14:paraId="7C43A138" w14:textId="42388A6A" w:rsidR="00641191" w:rsidRDefault="00641191" w:rsidP="005056DD">
            <w:pPr>
              <w:jc w:val="both"/>
              <w:rPr>
                <w:rFonts w:ascii="Arial" w:hAnsi="Arial" w:cs="Arial"/>
                <w:sz w:val="22"/>
                <w:szCs w:val="22"/>
              </w:rPr>
            </w:pPr>
          </w:p>
        </w:tc>
        <w:tc>
          <w:tcPr>
            <w:tcW w:w="0" w:type="auto"/>
          </w:tcPr>
          <w:p w14:paraId="498CECDC" w14:textId="77777777" w:rsidR="00641191" w:rsidRPr="002160F2" w:rsidRDefault="00641191" w:rsidP="005056DD">
            <w:pPr>
              <w:jc w:val="both"/>
              <w:rPr>
                <w:rFonts w:ascii="Arial" w:hAnsi="Arial" w:cs="Arial"/>
                <w:sz w:val="22"/>
                <w:szCs w:val="22"/>
              </w:rPr>
            </w:pPr>
            <w:r w:rsidRPr="002160F2">
              <w:rPr>
                <w:rFonts w:ascii="Arial" w:hAnsi="Arial" w:cs="Arial"/>
                <w:sz w:val="22"/>
                <w:szCs w:val="22"/>
              </w:rPr>
              <w:t xml:space="preserve">El proyecto de ley propone la creación del Ministerio de Seguridad Pública, como colaborador directo e inmediato del Presidente de la República en todo aquello que diga relación con la </w:t>
            </w:r>
            <w:r w:rsidRPr="002160F2">
              <w:rPr>
                <w:rFonts w:ascii="Arial" w:hAnsi="Arial" w:cs="Arial"/>
                <w:sz w:val="22"/>
                <w:szCs w:val="22"/>
              </w:rPr>
              <w:lastRenderedPageBreak/>
              <w:t>seguridad multidimensional, y especialmente con el resguardo de la seguridad pública.</w:t>
            </w:r>
          </w:p>
          <w:p w14:paraId="3E679627" w14:textId="77777777" w:rsidR="00641191" w:rsidRPr="002160F2" w:rsidRDefault="00641191" w:rsidP="005056DD">
            <w:pPr>
              <w:jc w:val="both"/>
              <w:rPr>
                <w:rFonts w:ascii="Arial" w:hAnsi="Arial" w:cs="Arial"/>
                <w:sz w:val="22"/>
                <w:szCs w:val="22"/>
              </w:rPr>
            </w:pPr>
            <w:r w:rsidRPr="002160F2">
              <w:rPr>
                <w:rFonts w:ascii="Arial" w:hAnsi="Arial" w:cs="Arial"/>
                <w:sz w:val="22"/>
                <w:szCs w:val="22"/>
              </w:rPr>
              <w:t>Entre las funciones que se le han otorgado al ministerio que se propone, destacan:</w:t>
            </w:r>
          </w:p>
          <w:p w14:paraId="26F83507" w14:textId="77777777" w:rsidR="00641191" w:rsidRPr="002160F2" w:rsidRDefault="00641191" w:rsidP="005056DD">
            <w:pPr>
              <w:jc w:val="both"/>
              <w:rPr>
                <w:rFonts w:ascii="Arial" w:hAnsi="Arial" w:cs="Arial"/>
                <w:sz w:val="22"/>
                <w:szCs w:val="22"/>
              </w:rPr>
            </w:pPr>
            <w:r w:rsidRPr="002160F2">
              <w:rPr>
                <w:rFonts w:ascii="Arial" w:hAnsi="Arial" w:cs="Arial"/>
                <w:sz w:val="22"/>
                <w:szCs w:val="22"/>
              </w:rPr>
              <w:t>-</w:t>
            </w:r>
            <w:r w:rsidRPr="002160F2">
              <w:rPr>
                <w:rFonts w:ascii="Arial" w:hAnsi="Arial" w:cs="Arial"/>
                <w:sz w:val="22"/>
                <w:szCs w:val="22"/>
              </w:rPr>
              <w:tab/>
              <w:t>El diseño y evaluación de políticas y planes con un enfoque multidimensional sobre seguridad pública;</w:t>
            </w:r>
          </w:p>
          <w:p w14:paraId="1B1725BC" w14:textId="77777777" w:rsidR="00641191" w:rsidRPr="002160F2" w:rsidRDefault="00641191" w:rsidP="005056DD">
            <w:pPr>
              <w:jc w:val="both"/>
              <w:rPr>
                <w:rFonts w:ascii="Arial" w:hAnsi="Arial" w:cs="Arial"/>
                <w:sz w:val="22"/>
                <w:szCs w:val="22"/>
              </w:rPr>
            </w:pPr>
            <w:r w:rsidRPr="002160F2">
              <w:rPr>
                <w:rFonts w:ascii="Arial" w:hAnsi="Arial" w:cs="Arial"/>
                <w:sz w:val="22"/>
                <w:szCs w:val="22"/>
              </w:rPr>
              <w:t>-</w:t>
            </w:r>
            <w:r w:rsidRPr="002160F2">
              <w:rPr>
                <w:rFonts w:ascii="Arial" w:hAnsi="Arial" w:cs="Arial"/>
                <w:sz w:val="22"/>
                <w:szCs w:val="22"/>
              </w:rPr>
              <w:tab/>
              <w:t>La coordinación sectorial e intersectorial para el logro de los objetivos de seguridad pública;</w:t>
            </w:r>
          </w:p>
          <w:p w14:paraId="620F6F1E" w14:textId="77777777" w:rsidR="00641191" w:rsidRPr="002160F2" w:rsidRDefault="00641191" w:rsidP="005056DD">
            <w:pPr>
              <w:jc w:val="both"/>
              <w:rPr>
                <w:rFonts w:ascii="Arial" w:hAnsi="Arial" w:cs="Arial"/>
                <w:sz w:val="22"/>
                <w:szCs w:val="22"/>
              </w:rPr>
            </w:pPr>
            <w:r w:rsidRPr="002160F2">
              <w:rPr>
                <w:rFonts w:ascii="Arial" w:hAnsi="Arial" w:cs="Arial"/>
                <w:sz w:val="22"/>
                <w:szCs w:val="22"/>
              </w:rPr>
              <w:t>-</w:t>
            </w:r>
            <w:r w:rsidRPr="002160F2">
              <w:rPr>
                <w:rFonts w:ascii="Arial" w:hAnsi="Arial" w:cs="Arial"/>
                <w:sz w:val="22"/>
                <w:szCs w:val="22"/>
              </w:rPr>
              <w:tab/>
              <w:t>El diseño y evaluación de las políticas y planes de prevención del delito, así como para el control y la persecución contra la delincuencia organizada;</w:t>
            </w:r>
          </w:p>
          <w:p w14:paraId="0526B93A" w14:textId="77777777" w:rsidR="00641191" w:rsidRPr="002160F2" w:rsidRDefault="00641191" w:rsidP="005056DD">
            <w:pPr>
              <w:jc w:val="both"/>
              <w:rPr>
                <w:rFonts w:ascii="Arial" w:hAnsi="Arial" w:cs="Arial"/>
                <w:sz w:val="22"/>
                <w:szCs w:val="22"/>
              </w:rPr>
            </w:pPr>
            <w:r w:rsidRPr="002160F2">
              <w:rPr>
                <w:rFonts w:ascii="Arial" w:hAnsi="Arial" w:cs="Arial"/>
                <w:sz w:val="22"/>
                <w:szCs w:val="22"/>
              </w:rPr>
              <w:t>-</w:t>
            </w:r>
            <w:r w:rsidRPr="002160F2">
              <w:rPr>
                <w:rFonts w:ascii="Arial" w:hAnsi="Arial" w:cs="Arial"/>
                <w:sz w:val="22"/>
                <w:szCs w:val="22"/>
              </w:rPr>
              <w:tab/>
              <w:t>La coordinación y la evaluación de la ejecución de planes y programas de reinserción social de los infractores de ley, en coordinación con el Ministerio de Justicia y Derechos Humanos, para el logro de los objetivos en materia de orden público y de seguridad pública;</w:t>
            </w:r>
          </w:p>
          <w:p w14:paraId="399CAC0E" w14:textId="77777777" w:rsidR="00641191" w:rsidRPr="002160F2" w:rsidRDefault="00641191" w:rsidP="005056DD">
            <w:pPr>
              <w:jc w:val="both"/>
              <w:rPr>
                <w:rFonts w:ascii="Arial" w:hAnsi="Arial" w:cs="Arial"/>
                <w:sz w:val="22"/>
                <w:szCs w:val="22"/>
              </w:rPr>
            </w:pPr>
            <w:r w:rsidRPr="002160F2">
              <w:rPr>
                <w:rFonts w:ascii="Arial" w:hAnsi="Arial" w:cs="Arial"/>
                <w:sz w:val="22"/>
                <w:szCs w:val="22"/>
              </w:rPr>
              <w:t>-</w:t>
            </w:r>
            <w:r w:rsidRPr="002160F2">
              <w:rPr>
                <w:rFonts w:ascii="Arial" w:hAnsi="Arial" w:cs="Arial"/>
                <w:sz w:val="22"/>
                <w:szCs w:val="22"/>
              </w:rPr>
              <w:tab/>
              <w:t>El diseño y evaluación de las políticas de ciberseguridad, en lo relativo a la prevención, detección y neutralización de amenazas en el ciberespacio, que pretendan dañar sistemas informáticos o acceder ilegítimamente a ellos;</w:t>
            </w:r>
          </w:p>
          <w:p w14:paraId="4A816196" w14:textId="77777777" w:rsidR="00641191" w:rsidRPr="002160F2" w:rsidRDefault="00641191" w:rsidP="005056DD">
            <w:pPr>
              <w:jc w:val="both"/>
              <w:rPr>
                <w:rFonts w:ascii="Arial" w:hAnsi="Arial" w:cs="Arial"/>
                <w:sz w:val="22"/>
                <w:szCs w:val="22"/>
              </w:rPr>
            </w:pPr>
            <w:r w:rsidRPr="002160F2">
              <w:rPr>
                <w:rFonts w:ascii="Arial" w:hAnsi="Arial" w:cs="Arial"/>
                <w:sz w:val="22"/>
                <w:szCs w:val="22"/>
              </w:rPr>
              <w:t>-</w:t>
            </w:r>
            <w:r w:rsidRPr="002160F2">
              <w:rPr>
                <w:rFonts w:ascii="Arial" w:hAnsi="Arial" w:cs="Arial"/>
                <w:sz w:val="22"/>
                <w:szCs w:val="22"/>
              </w:rPr>
              <w:tab/>
              <w:t>En materia de seguridad privada, además de ser el responsable de las funciones actualmente vigentes, la evaluación permanente a los obligados del cumplimiento de ciertas medidas;</w:t>
            </w:r>
          </w:p>
          <w:p w14:paraId="6089A2CA" w14:textId="77777777" w:rsidR="00641191" w:rsidRPr="002160F2" w:rsidRDefault="00641191" w:rsidP="005056DD">
            <w:pPr>
              <w:jc w:val="both"/>
              <w:rPr>
                <w:rFonts w:ascii="Arial" w:hAnsi="Arial" w:cs="Arial"/>
                <w:sz w:val="22"/>
                <w:szCs w:val="22"/>
              </w:rPr>
            </w:pPr>
            <w:r w:rsidRPr="002160F2">
              <w:rPr>
                <w:rFonts w:ascii="Arial" w:hAnsi="Arial" w:cs="Arial"/>
                <w:sz w:val="22"/>
                <w:szCs w:val="22"/>
              </w:rPr>
              <w:t>-</w:t>
            </w:r>
            <w:r w:rsidRPr="002160F2">
              <w:rPr>
                <w:rFonts w:ascii="Arial" w:hAnsi="Arial" w:cs="Arial"/>
                <w:sz w:val="22"/>
                <w:szCs w:val="22"/>
              </w:rPr>
              <w:tab/>
              <w:t>El diseño y evaluación de políticas de resguardo fronterizo.</w:t>
            </w:r>
          </w:p>
          <w:p w14:paraId="1B36FD6C" w14:textId="77777777" w:rsidR="00641191" w:rsidRPr="002160F2" w:rsidRDefault="00641191" w:rsidP="005056DD">
            <w:pPr>
              <w:jc w:val="both"/>
              <w:rPr>
                <w:rFonts w:ascii="Arial" w:hAnsi="Arial" w:cs="Arial"/>
                <w:sz w:val="22"/>
                <w:szCs w:val="22"/>
              </w:rPr>
            </w:pPr>
            <w:r w:rsidRPr="002160F2">
              <w:rPr>
                <w:rFonts w:ascii="Arial" w:hAnsi="Arial" w:cs="Arial"/>
                <w:sz w:val="22"/>
                <w:szCs w:val="22"/>
              </w:rPr>
              <w:t>Para el cumplimiento de tales funciones, en el proyecto de ley se reconocen como atribuciones, entre otras, las siguientes:</w:t>
            </w:r>
          </w:p>
          <w:p w14:paraId="27A4CA23" w14:textId="77777777" w:rsidR="00641191" w:rsidRPr="002160F2" w:rsidRDefault="00641191" w:rsidP="005056DD">
            <w:pPr>
              <w:jc w:val="both"/>
              <w:rPr>
                <w:rFonts w:ascii="Arial" w:hAnsi="Arial" w:cs="Arial"/>
                <w:sz w:val="22"/>
                <w:szCs w:val="22"/>
              </w:rPr>
            </w:pPr>
            <w:r w:rsidRPr="002160F2">
              <w:rPr>
                <w:rFonts w:ascii="Arial" w:hAnsi="Arial" w:cs="Arial"/>
                <w:sz w:val="22"/>
                <w:szCs w:val="22"/>
              </w:rPr>
              <w:t>1.</w:t>
            </w:r>
            <w:r w:rsidRPr="002160F2">
              <w:rPr>
                <w:rFonts w:ascii="Arial" w:hAnsi="Arial" w:cs="Arial"/>
                <w:sz w:val="22"/>
                <w:szCs w:val="22"/>
              </w:rPr>
              <w:tab/>
              <w:t>Elaboración de análisis estratégicos para la elaboración, actualización, proposición y evaluación de políticas, planes y programas destinados a garantizar la seguridad pública.</w:t>
            </w:r>
          </w:p>
          <w:p w14:paraId="77EB7980" w14:textId="77777777" w:rsidR="00641191" w:rsidRPr="002160F2" w:rsidRDefault="00641191" w:rsidP="005056DD">
            <w:pPr>
              <w:jc w:val="both"/>
              <w:rPr>
                <w:rFonts w:ascii="Arial" w:hAnsi="Arial" w:cs="Arial"/>
                <w:sz w:val="22"/>
                <w:szCs w:val="22"/>
              </w:rPr>
            </w:pPr>
            <w:r w:rsidRPr="002160F2">
              <w:rPr>
                <w:rFonts w:ascii="Arial" w:hAnsi="Arial" w:cs="Arial"/>
                <w:sz w:val="22"/>
                <w:szCs w:val="22"/>
              </w:rPr>
              <w:t>2.</w:t>
            </w:r>
            <w:r w:rsidRPr="002160F2">
              <w:rPr>
                <w:rFonts w:ascii="Arial" w:hAnsi="Arial" w:cs="Arial"/>
                <w:sz w:val="22"/>
                <w:szCs w:val="22"/>
              </w:rPr>
              <w:tab/>
              <w:t xml:space="preserve">Desarrollar y administrar sistemas de procesamiento y análisis de datos. </w:t>
            </w:r>
          </w:p>
          <w:p w14:paraId="1FA12D12" w14:textId="77777777" w:rsidR="00641191" w:rsidRPr="002160F2" w:rsidRDefault="00641191" w:rsidP="005056DD">
            <w:pPr>
              <w:jc w:val="both"/>
              <w:rPr>
                <w:rFonts w:ascii="Arial" w:hAnsi="Arial" w:cs="Arial"/>
                <w:sz w:val="22"/>
                <w:szCs w:val="22"/>
              </w:rPr>
            </w:pPr>
            <w:r w:rsidRPr="002160F2">
              <w:rPr>
                <w:rFonts w:ascii="Arial" w:hAnsi="Arial" w:cs="Arial"/>
                <w:sz w:val="22"/>
                <w:szCs w:val="22"/>
              </w:rPr>
              <w:t>3.</w:t>
            </w:r>
            <w:r w:rsidRPr="002160F2">
              <w:rPr>
                <w:rFonts w:ascii="Arial" w:hAnsi="Arial" w:cs="Arial"/>
                <w:sz w:val="22"/>
                <w:szCs w:val="22"/>
              </w:rPr>
              <w:tab/>
              <w:t xml:space="preserve">Coordinar, evaluar y controlar la ejecución de planes y programas tendientes a reinsertar a los </w:t>
            </w:r>
            <w:r w:rsidRPr="002160F2">
              <w:rPr>
                <w:rFonts w:ascii="Arial" w:hAnsi="Arial" w:cs="Arial"/>
                <w:sz w:val="22"/>
                <w:szCs w:val="22"/>
              </w:rPr>
              <w:lastRenderedPageBreak/>
              <w:t>infractores de ley, en coordinación con el Ministerio de Justicia y Derechos Humanos.</w:t>
            </w:r>
          </w:p>
          <w:p w14:paraId="054AD1E7" w14:textId="77777777" w:rsidR="00641191" w:rsidRPr="002160F2" w:rsidRDefault="00641191" w:rsidP="005056DD">
            <w:pPr>
              <w:jc w:val="both"/>
              <w:rPr>
                <w:rFonts w:ascii="Arial" w:hAnsi="Arial" w:cs="Arial"/>
                <w:sz w:val="22"/>
                <w:szCs w:val="22"/>
              </w:rPr>
            </w:pPr>
            <w:r w:rsidRPr="002160F2">
              <w:rPr>
                <w:rFonts w:ascii="Arial" w:hAnsi="Arial" w:cs="Arial"/>
                <w:sz w:val="22"/>
                <w:szCs w:val="22"/>
              </w:rPr>
              <w:t>4.</w:t>
            </w:r>
            <w:r w:rsidRPr="002160F2">
              <w:rPr>
                <w:rFonts w:ascii="Arial" w:hAnsi="Arial" w:cs="Arial"/>
                <w:sz w:val="22"/>
                <w:szCs w:val="22"/>
              </w:rPr>
              <w:tab/>
              <w:t>Supervigilar y controlar la acción de las Fuerzas de Orden y Seguridad Pública en la mantención del orden público.</w:t>
            </w:r>
          </w:p>
          <w:p w14:paraId="22632D89" w14:textId="77777777" w:rsidR="00641191" w:rsidRPr="002160F2" w:rsidRDefault="00641191" w:rsidP="005056DD">
            <w:pPr>
              <w:jc w:val="both"/>
              <w:rPr>
                <w:rFonts w:ascii="Arial" w:hAnsi="Arial" w:cs="Arial"/>
                <w:sz w:val="22"/>
                <w:szCs w:val="22"/>
              </w:rPr>
            </w:pPr>
            <w:r w:rsidRPr="002160F2">
              <w:rPr>
                <w:rFonts w:ascii="Arial" w:hAnsi="Arial" w:cs="Arial"/>
                <w:sz w:val="22"/>
                <w:szCs w:val="22"/>
              </w:rPr>
              <w:t>5.</w:t>
            </w:r>
            <w:r w:rsidRPr="002160F2">
              <w:rPr>
                <w:rFonts w:ascii="Arial" w:hAnsi="Arial" w:cs="Arial"/>
                <w:sz w:val="22"/>
                <w:szCs w:val="22"/>
              </w:rPr>
              <w:tab/>
              <w:t>Ejercer labores de coordinación con las autoridades regionales, provinciales y comunales para la mantención de la seguridad pública, así como también respecto las acciones y programas que los demás Ministerios y los servicios públicos desarrollen en relación con la Estrategia Nacional de Seguridad Pública.</w:t>
            </w:r>
          </w:p>
          <w:p w14:paraId="51D6B776" w14:textId="77777777" w:rsidR="00641191" w:rsidRPr="002160F2" w:rsidRDefault="00641191" w:rsidP="005056DD">
            <w:pPr>
              <w:jc w:val="both"/>
              <w:rPr>
                <w:rFonts w:ascii="Arial" w:hAnsi="Arial" w:cs="Arial"/>
                <w:sz w:val="22"/>
                <w:szCs w:val="22"/>
              </w:rPr>
            </w:pPr>
            <w:r w:rsidRPr="002160F2">
              <w:rPr>
                <w:rFonts w:ascii="Arial" w:hAnsi="Arial" w:cs="Arial"/>
                <w:sz w:val="22"/>
                <w:szCs w:val="22"/>
              </w:rPr>
              <w:t>6.</w:t>
            </w:r>
            <w:r w:rsidRPr="002160F2">
              <w:rPr>
                <w:rFonts w:ascii="Arial" w:hAnsi="Arial" w:cs="Arial"/>
                <w:sz w:val="22"/>
                <w:szCs w:val="22"/>
              </w:rPr>
              <w:tab/>
              <w:t>Disponer la prevención y protección frente a daños a la infraestructura crítica.</w:t>
            </w:r>
          </w:p>
          <w:p w14:paraId="354909C7" w14:textId="77777777" w:rsidR="00641191" w:rsidRDefault="00641191" w:rsidP="005056DD">
            <w:pPr>
              <w:jc w:val="both"/>
              <w:rPr>
                <w:rFonts w:ascii="Arial" w:hAnsi="Arial" w:cs="Arial"/>
                <w:sz w:val="22"/>
                <w:szCs w:val="22"/>
              </w:rPr>
            </w:pPr>
            <w:r w:rsidRPr="002160F2">
              <w:rPr>
                <w:rFonts w:ascii="Arial" w:hAnsi="Arial" w:cs="Arial"/>
                <w:sz w:val="22"/>
                <w:szCs w:val="22"/>
              </w:rPr>
              <w:t>7.</w:t>
            </w:r>
            <w:r w:rsidRPr="002160F2">
              <w:rPr>
                <w:rFonts w:ascii="Arial" w:hAnsi="Arial" w:cs="Arial"/>
                <w:sz w:val="22"/>
                <w:szCs w:val="22"/>
              </w:rPr>
              <w:tab/>
              <w:t>Celebrar acuerdos con instituciones públicas o privadas que digan relación con la elaboración, ejecución y evaluación de las políticas y planes de las materias de competencia del ministerio.</w:t>
            </w:r>
          </w:p>
        </w:tc>
      </w:tr>
      <w:tr w:rsidR="00045C24" w14:paraId="5A3FD93D" w14:textId="77777777" w:rsidTr="005056DD">
        <w:tc>
          <w:tcPr>
            <w:tcW w:w="0" w:type="auto"/>
          </w:tcPr>
          <w:p w14:paraId="45379821" w14:textId="77777777" w:rsidR="00641191" w:rsidRDefault="00000000" w:rsidP="005056DD">
            <w:pPr>
              <w:jc w:val="center"/>
              <w:rPr>
                <w:rFonts w:ascii="Arial" w:hAnsi="Arial" w:cs="Arial"/>
                <w:sz w:val="22"/>
                <w:szCs w:val="22"/>
              </w:rPr>
            </w:pPr>
            <w:hyperlink r:id="rId15" w:history="1">
              <w:r w:rsidR="00641191" w:rsidRPr="00997C2A">
                <w:rPr>
                  <w:rStyle w:val="Hipervnculo"/>
                  <w:rFonts w:ascii="Arial" w:hAnsi="Arial" w:cs="Arial"/>
                  <w:sz w:val="22"/>
                  <w:szCs w:val="22"/>
                </w:rPr>
                <w:t>Boletín 13</w:t>
              </w:r>
              <w:r w:rsidR="00641191" w:rsidRPr="00997C2A">
                <w:rPr>
                  <w:rStyle w:val="Hipervnculo"/>
                  <w:rFonts w:ascii="Arial" w:hAnsi="Arial" w:cs="Arial"/>
                  <w:sz w:val="22"/>
                  <w:szCs w:val="22"/>
                </w:rPr>
                <w:t>8</w:t>
              </w:r>
              <w:r w:rsidR="00641191" w:rsidRPr="00997C2A">
                <w:rPr>
                  <w:rStyle w:val="Hipervnculo"/>
                  <w:rFonts w:ascii="Arial" w:hAnsi="Arial" w:cs="Arial"/>
                  <w:sz w:val="22"/>
                  <w:szCs w:val="22"/>
                </w:rPr>
                <w:t>89-07</w:t>
              </w:r>
            </w:hyperlink>
          </w:p>
        </w:tc>
        <w:tc>
          <w:tcPr>
            <w:tcW w:w="0" w:type="auto"/>
          </w:tcPr>
          <w:p w14:paraId="00D41690" w14:textId="77777777" w:rsidR="00641191" w:rsidRDefault="00641191" w:rsidP="005056DD">
            <w:pPr>
              <w:jc w:val="both"/>
              <w:rPr>
                <w:rFonts w:ascii="Arial" w:hAnsi="Arial" w:cs="Arial"/>
                <w:sz w:val="22"/>
                <w:szCs w:val="22"/>
              </w:rPr>
            </w:pPr>
            <w:r w:rsidRPr="00997C2A">
              <w:rPr>
                <w:rFonts w:ascii="Arial" w:hAnsi="Arial" w:cs="Arial"/>
                <w:sz w:val="22"/>
                <w:szCs w:val="22"/>
              </w:rPr>
              <w:t>Modifica artículo 476 del Código Penal, para incluir el delito de incendio en lugares destinados al culto religioso.</w:t>
            </w:r>
          </w:p>
        </w:tc>
        <w:tc>
          <w:tcPr>
            <w:tcW w:w="0" w:type="auto"/>
          </w:tcPr>
          <w:p w14:paraId="63724D5B" w14:textId="34A37673" w:rsidR="00A5625F" w:rsidRDefault="00A5625F" w:rsidP="00A5625F">
            <w:pPr>
              <w:jc w:val="both"/>
              <w:rPr>
                <w:rFonts w:ascii="Arial" w:hAnsi="Arial" w:cs="Arial"/>
                <w:sz w:val="22"/>
                <w:szCs w:val="22"/>
              </w:rPr>
            </w:pPr>
            <w:r>
              <w:rPr>
                <w:rFonts w:ascii="Arial" w:hAnsi="Arial" w:cs="Arial"/>
                <w:sz w:val="22"/>
                <w:szCs w:val="22"/>
              </w:rPr>
              <w:t>Segundo</w:t>
            </w:r>
            <w:r w:rsidR="00641191">
              <w:rPr>
                <w:rFonts w:ascii="Arial" w:hAnsi="Arial" w:cs="Arial"/>
                <w:sz w:val="22"/>
                <w:szCs w:val="22"/>
              </w:rPr>
              <w:t xml:space="preserve"> tramite constitucional </w:t>
            </w:r>
            <w:r>
              <w:rPr>
                <w:rFonts w:ascii="Arial" w:hAnsi="Arial" w:cs="Arial"/>
                <w:sz w:val="22"/>
                <w:szCs w:val="22"/>
              </w:rPr>
              <w:t>Cámara Diputados. Comisión Constitución.</w:t>
            </w:r>
            <w:r w:rsidR="009F08AD">
              <w:rPr>
                <w:rFonts w:ascii="Arial" w:hAnsi="Arial" w:cs="Arial"/>
                <w:sz w:val="22"/>
                <w:szCs w:val="22"/>
              </w:rPr>
              <w:t xml:space="preserve"> No tiene urgencia.</w:t>
            </w:r>
          </w:p>
          <w:p w14:paraId="330E7AFF" w14:textId="0378DA4F" w:rsidR="00641191" w:rsidRDefault="00641191" w:rsidP="005056DD">
            <w:pPr>
              <w:jc w:val="both"/>
              <w:rPr>
                <w:rFonts w:ascii="Arial" w:hAnsi="Arial" w:cs="Arial"/>
                <w:sz w:val="22"/>
                <w:szCs w:val="22"/>
              </w:rPr>
            </w:pPr>
          </w:p>
        </w:tc>
        <w:tc>
          <w:tcPr>
            <w:tcW w:w="0" w:type="auto"/>
          </w:tcPr>
          <w:p w14:paraId="4D914CE5" w14:textId="77777777" w:rsidR="00641191" w:rsidRDefault="00641191" w:rsidP="005056DD">
            <w:pPr>
              <w:jc w:val="both"/>
              <w:rPr>
                <w:rFonts w:ascii="Arial" w:hAnsi="Arial" w:cs="Arial"/>
                <w:sz w:val="22"/>
                <w:szCs w:val="22"/>
              </w:rPr>
            </w:pPr>
            <w:r>
              <w:rPr>
                <w:rFonts w:ascii="Arial" w:hAnsi="Arial" w:cs="Arial"/>
                <w:sz w:val="22"/>
                <w:szCs w:val="22"/>
              </w:rPr>
              <w:t>Modifica el art. 476, el mismo de la ley Juan Barrios, para incluir lugares destinados al culto religioso.</w:t>
            </w:r>
          </w:p>
        </w:tc>
      </w:tr>
      <w:tr w:rsidR="00045C24" w14:paraId="491299D3" w14:textId="77777777" w:rsidTr="005056DD">
        <w:tc>
          <w:tcPr>
            <w:tcW w:w="0" w:type="auto"/>
          </w:tcPr>
          <w:p w14:paraId="5E7DD026" w14:textId="77777777" w:rsidR="00641191" w:rsidRPr="002160F2" w:rsidRDefault="00000000" w:rsidP="005056DD">
            <w:pPr>
              <w:jc w:val="center"/>
              <w:rPr>
                <w:rFonts w:ascii="Arial" w:hAnsi="Arial" w:cs="Arial"/>
                <w:sz w:val="22"/>
                <w:szCs w:val="22"/>
              </w:rPr>
            </w:pPr>
            <w:hyperlink r:id="rId16" w:history="1">
              <w:r w:rsidR="00641191" w:rsidRPr="002160F2">
                <w:rPr>
                  <w:rStyle w:val="Hipervnculo"/>
                  <w:rFonts w:ascii="Arial" w:hAnsi="Arial" w:cs="Arial"/>
                  <w:sz w:val="22"/>
                  <w:szCs w:val="22"/>
                </w:rPr>
                <w:t>Boletín 14008-07</w:t>
              </w:r>
            </w:hyperlink>
          </w:p>
        </w:tc>
        <w:tc>
          <w:tcPr>
            <w:tcW w:w="0" w:type="auto"/>
          </w:tcPr>
          <w:p w14:paraId="1BA73D97" w14:textId="77777777" w:rsidR="00641191" w:rsidRDefault="00641191" w:rsidP="005056DD">
            <w:pPr>
              <w:jc w:val="both"/>
              <w:rPr>
                <w:rFonts w:ascii="Arial" w:hAnsi="Arial" w:cs="Arial"/>
                <w:sz w:val="22"/>
                <w:szCs w:val="22"/>
              </w:rPr>
            </w:pPr>
            <w:r w:rsidRPr="002160F2">
              <w:rPr>
                <w:rFonts w:ascii="Arial" w:hAnsi="Arial" w:cs="Arial"/>
                <w:sz w:val="22"/>
                <w:szCs w:val="22"/>
              </w:rPr>
              <w:t>Modifica el Código Penal y el Código Procesal Penal, para tipificar el delito de sustracción de madera y otros relacionados, y habilitar el uso de técnicas especiales de investigación para su persecución</w:t>
            </w:r>
          </w:p>
        </w:tc>
        <w:tc>
          <w:tcPr>
            <w:tcW w:w="0" w:type="auto"/>
          </w:tcPr>
          <w:p w14:paraId="79F28007" w14:textId="3522003F" w:rsidR="00641191" w:rsidRDefault="00641191" w:rsidP="005056DD">
            <w:pPr>
              <w:jc w:val="both"/>
              <w:rPr>
                <w:rFonts w:ascii="Arial" w:hAnsi="Arial" w:cs="Arial"/>
                <w:sz w:val="22"/>
                <w:szCs w:val="22"/>
              </w:rPr>
            </w:pPr>
            <w:r>
              <w:rPr>
                <w:rFonts w:ascii="Arial" w:hAnsi="Arial" w:cs="Arial"/>
                <w:sz w:val="22"/>
                <w:szCs w:val="22"/>
              </w:rPr>
              <w:t>Segundo tramite constitucional (general)</w:t>
            </w:r>
            <w:r w:rsidR="00F60892">
              <w:rPr>
                <w:rFonts w:ascii="Arial" w:hAnsi="Arial" w:cs="Arial"/>
                <w:sz w:val="22"/>
                <w:szCs w:val="22"/>
              </w:rPr>
              <w:t>. Tabla comisión seguridad senado.</w:t>
            </w:r>
          </w:p>
        </w:tc>
        <w:tc>
          <w:tcPr>
            <w:tcW w:w="0" w:type="auto"/>
          </w:tcPr>
          <w:p w14:paraId="672672E5" w14:textId="77777777" w:rsidR="00641191" w:rsidRDefault="00641191" w:rsidP="005056DD">
            <w:pPr>
              <w:jc w:val="both"/>
              <w:rPr>
                <w:rFonts w:ascii="Arial" w:hAnsi="Arial" w:cs="Arial"/>
                <w:sz w:val="22"/>
                <w:szCs w:val="22"/>
              </w:rPr>
            </w:pPr>
            <w:r w:rsidRPr="002160F2">
              <w:rPr>
                <w:rFonts w:ascii="Arial" w:hAnsi="Arial" w:cs="Arial"/>
                <w:sz w:val="22"/>
                <w:szCs w:val="22"/>
              </w:rPr>
              <w:t>Modificar el Código Penal y el Código Procesal Penal, para tipificar el delito de substracción de madera y otros relacionados, y habilitar el uso de técnicas especiales de investigación para su persecución.</w:t>
            </w:r>
          </w:p>
        </w:tc>
      </w:tr>
    </w:tbl>
    <w:p w14:paraId="69A41D4D" w14:textId="77777777" w:rsidR="00641191" w:rsidRDefault="00641191" w:rsidP="00641191">
      <w:pPr>
        <w:rPr>
          <w:rFonts w:ascii="Arial" w:hAnsi="Arial" w:cs="Arial"/>
          <w:sz w:val="22"/>
          <w:szCs w:val="22"/>
        </w:rPr>
      </w:pPr>
    </w:p>
    <w:p w14:paraId="5804F128" w14:textId="77777777" w:rsidR="00641191" w:rsidRDefault="00641191" w:rsidP="00641191">
      <w:pPr>
        <w:jc w:val="center"/>
        <w:rPr>
          <w:rFonts w:ascii="Arial" w:hAnsi="Arial" w:cs="Arial"/>
          <w:sz w:val="22"/>
          <w:szCs w:val="22"/>
        </w:rPr>
      </w:pPr>
    </w:p>
    <w:p w14:paraId="50A471BC" w14:textId="77777777" w:rsidR="00641191" w:rsidRPr="00707874" w:rsidRDefault="00641191" w:rsidP="00641191">
      <w:pPr>
        <w:rPr>
          <w:rFonts w:ascii="Arial" w:hAnsi="Arial" w:cs="Arial"/>
          <w:sz w:val="22"/>
          <w:szCs w:val="22"/>
        </w:rPr>
      </w:pPr>
    </w:p>
    <w:p w14:paraId="4FAC09D8" w14:textId="77777777" w:rsidR="00FF0B6B" w:rsidRDefault="00FF0B6B"/>
    <w:sectPr w:rsidR="00FF0B6B" w:rsidSect="00D92C46">
      <w:footerReference w:type="even"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9E75" w14:textId="77777777" w:rsidR="000666A2" w:rsidRDefault="000666A2">
      <w:r>
        <w:separator/>
      </w:r>
    </w:p>
  </w:endnote>
  <w:endnote w:type="continuationSeparator" w:id="0">
    <w:p w14:paraId="0604FC95" w14:textId="77777777" w:rsidR="000666A2" w:rsidRDefault="0006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69868200"/>
      <w:docPartObj>
        <w:docPartGallery w:val="Page Numbers (Bottom of Page)"/>
        <w:docPartUnique/>
      </w:docPartObj>
    </w:sdtPr>
    <w:sdtContent>
      <w:p w14:paraId="2AA3A65C" w14:textId="77777777" w:rsidR="00B70332" w:rsidRDefault="00641191" w:rsidP="0062739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331E712" w14:textId="77777777" w:rsidR="00B70332" w:rsidRDefault="00000000" w:rsidP="00B7033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44243608"/>
      <w:docPartObj>
        <w:docPartGallery w:val="Page Numbers (Bottom of Page)"/>
        <w:docPartUnique/>
      </w:docPartObj>
    </w:sdtPr>
    <w:sdtContent>
      <w:p w14:paraId="51BE3059" w14:textId="77777777" w:rsidR="00B70332" w:rsidRDefault="00641191" w:rsidP="0062739A">
        <w:pPr>
          <w:pStyle w:val="Piedepgina"/>
          <w:framePr w:wrap="none" w:vAnchor="text" w:hAnchor="margin" w:xAlign="right" w:y="1"/>
          <w:rPr>
            <w:rStyle w:val="Nmerodepgina"/>
          </w:rPr>
        </w:pPr>
        <w:r w:rsidRPr="00B70332">
          <w:rPr>
            <w:rStyle w:val="Nmerodepgina"/>
            <w:rFonts w:ascii="Arial" w:hAnsi="Arial" w:cs="Arial"/>
            <w:b/>
            <w:bCs/>
            <w:sz w:val="20"/>
            <w:szCs w:val="20"/>
          </w:rPr>
          <w:fldChar w:fldCharType="begin"/>
        </w:r>
        <w:r w:rsidRPr="00B70332">
          <w:rPr>
            <w:rStyle w:val="Nmerodepgina"/>
            <w:rFonts w:ascii="Arial" w:hAnsi="Arial" w:cs="Arial"/>
            <w:b/>
            <w:bCs/>
            <w:sz w:val="20"/>
            <w:szCs w:val="20"/>
          </w:rPr>
          <w:instrText xml:space="preserve"> PAGE </w:instrText>
        </w:r>
        <w:r w:rsidRPr="00B70332">
          <w:rPr>
            <w:rStyle w:val="Nmerodepgina"/>
            <w:rFonts w:ascii="Arial" w:hAnsi="Arial" w:cs="Arial"/>
            <w:b/>
            <w:bCs/>
            <w:sz w:val="20"/>
            <w:szCs w:val="20"/>
          </w:rPr>
          <w:fldChar w:fldCharType="separate"/>
        </w:r>
        <w:r w:rsidRPr="00B70332">
          <w:rPr>
            <w:rStyle w:val="Nmerodepgina"/>
            <w:rFonts w:ascii="Arial" w:hAnsi="Arial" w:cs="Arial"/>
            <w:b/>
            <w:bCs/>
            <w:noProof/>
            <w:sz w:val="20"/>
            <w:szCs w:val="20"/>
          </w:rPr>
          <w:t>1</w:t>
        </w:r>
        <w:r w:rsidRPr="00B70332">
          <w:rPr>
            <w:rStyle w:val="Nmerodepgina"/>
            <w:rFonts w:ascii="Arial" w:hAnsi="Arial" w:cs="Arial"/>
            <w:b/>
            <w:bCs/>
            <w:sz w:val="20"/>
            <w:szCs w:val="20"/>
          </w:rPr>
          <w:fldChar w:fldCharType="end"/>
        </w:r>
      </w:p>
    </w:sdtContent>
  </w:sdt>
  <w:p w14:paraId="0851AE56" w14:textId="77777777" w:rsidR="00B70332" w:rsidRDefault="00000000" w:rsidP="00B7033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807C" w14:textId="77777777" w:rsidR="000666A2" w:rsidRDefault="000666A2">
      <w:r>
        <w:separator/>
      </w:r>
    </w:p>
  </w:footnote>
  <w:footnote w:type="continuationSeparator" w:id="0">
    <w:p w14:paraId="48FA21A9" w14:textId="77777777" w:rsidR="000666A2" w:rsidRDefault="00066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91"/>
    <w:rsid w:val="00045C24"/>
    <w:rsid w:val="000666A2"/>
    <w:rsid w:val="002033C6"/>
    <w:rsid w:val="00212673"/>
    <w:rsid w:val="003F74B9"/>
    <w:rsid w:val="004D2C13"/>
    <w:rsid w:val="00502D57"/>
    <w:rsid w:val="00571501"/>
    <w:rsid w:val="00635466"/>
    <w:rsid w:val="00641191"/>
    <w:rsid w:val="006523BA"/>
    <w:rsid w:val="006A2BCD"/>
    <w:rsid w:val="006C588E"/>
    <w:rsid w:val="00716C0D"/>
    <w:rsid w:val="00754CEF"/>
    <w:rsid w:val="008724E2"/>
    <w:rsid w:val="008A3F22"/>
    <w:rsid w:val="00984BF7"/>
    <w:rsid w:val="009F08AD"/>
    <w:rsid w:val="00A5625F"/>
    <w:rsid w:val="00B93CEA"/>
    <w:rsid w:val="00F60892"/>
    <w:rsid w:val="00F81866"/>
    <w:rsid w:val="00FF0B6B"/>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A8C75C"/>
  <w15:chartTrackingRefBased/>
  <w15:docId w15:val="{2C1BE6B1-E19B-4347-BC98-2B75F118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1191"/>
    <w:rPr>
      <w:color w:val="0563C1" w:themeColor="hyperlink"/>
      <w:u w:val="single"/>
    </w:rPr>
  </w:style>
  <w:style w:type="paragraph" w:styleId="Piedepgina">
    <w:name w:val="footer"/>
    <w:basedOn w:val="Normal"/>
    <w:link w:val="PiedepginaCar"/>
    <w:uiPriority w:val="99"/>
    <w:unhideWhenUsed/>
    <w:rsid w:val="00641191"/>
    <w:pPr>
      <w:tabs>
        <w:tab w:val="center" w:pos="4252"/>
        <w:tab w:val="right" w:pos="8504"/>
      </w:tabs>
    </w:pPr>
  </w:style>
  <w:style w:type="character" w:customStyle="1" w:styleId="PiedepginaCar">
    <w:name w:val="Pie de página Car"/>
    <w:basedOn w:val="Fuentedeprrafopredeter"/>
    <w:link w:val="Piedepgina"/>
    <w:uiPriority w:val="99"/>
    <w:rsid w:val="00641191"/>
  </w:style>
  <w:style w:type="character" w:styleId="Nmerodepgina">
    <w:name w:val="page number"/>
    <w:basedOn w:val="Fuentedeprrafopredeter"/>
    <w:uiPriority w:val="99"/>
    <w:semiHidden/>
    <w:unhideWhenUsed/>
    <w:rsid w:val="00641191"/>
  </w:style>
  <w:style w:type="character" w:styleId="Hipervnculovisitado">
    <w:name w:val="FollowedHyperlink"/>
    <w:basedOn w:val="Fuentedeprrafopredeter"/>
    <w:uiPriority w:val="99"/>
    <w:semiHidden/>
    <w:unhideWhenUsed/>
    <w:rsid w:val="004D2C13"/>
    <w:rPr>
      <w:color w:val="954F72" w:themeColor="followedHyperlink"/>
      <w:u w:val="single"/>
    </w:rPr>
  </w:style>
  <w:style w:type="character" w:styleId="Textoennegrita">
    <w:name w:val="Strong"/>
    <w:basedOn w:val="Fuentedeprrafopredeter"/>
    <w:uiPriority w:val="22"/>
    <w:qFormat/>
    <w:rsid w:val="00716C0D"/>
    <w:rPr>
      <w:b/>
      <w:bCs/>
    </w:rPr>
  </w:style>
  <w:style w:type="character" w:styleId="Mencinsinresolver">
    <w:name w:val="Unresolved Mention"/>
    <w:basedOn w:val="Fuentedeprrafopredeter"/>
    <w:uiPriority w:val="99"/>
    <w:semiHidden/>
    <w:unhideWhenUsed/>
    <w:rsid w:val="00203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39316">
      <w:bodyDiv w:val="1"/>
      <w:marLeft w:val="0"/>
      <w:marRight w:val="0"/>
      <w:marTop w:val="0"/>
      <w:marBottom w:val="0"/>
      <w:divBdr>
        <w:top w:val="none" w:sz="0" w:space="0" w:color="auto"/>
        <w:left w:val="none" w:sz="0" w:space="0" w:color="auto"/>
        <w:bottom w:val="none" w:sz="0" w:space="0" w:color="auto"/>
        <w:right w:val="none" w:sz="0" w:space="0" w:color="auto"/>
      </w:divBdr>
    </w:div>
    <w:div w:id="5640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o.cl/appsenado/templates/tramitacion/index.php?boletin_ini=12192-25" TargetMode="External"/><Relationship Id="rId13" Type="http://schemas.openxmlformats.org/officeDocument/2006/relationships/hyperlink" Target="http://www.senado.cl/appsenado/templates/tramitacion/index.php?boletin_ini=13124-07"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senado.cl/appsenado/templates/tramitacion/index.php?boletin_ini=12192-25" TargetMode="External"/><Relationship Id="rId12" Type="http://schemas.openxmlformats.org/officeDocument/2006/relationships/hyperlink" Target="http://www.senado.cl/appsenado/templates/tramitacion/index.php?boletin_ini=14015-25"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senado.cl/appsenado/templates/tramitacion/index.php?boletin_ini=14008-0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nado.cl/appsenado/templates/tramitacion/index.php?boletin_ini=13086-07" TargetMode="External"/><Relationship Id="rId11" Type="http://schemas.openxmlformats.org/officeDocument/2006/relationships/hyperlink" Target="http://www.senado.cl/appsenado/templates/tramitacion/index.php?boletin_ini=13740-07" TargetMode="External"/><Relationship Id="rId5" Type="http://schemas.openxmlformats.org/officeDocument/2006/relationships/endnotes" Target="endnotes.xml"/><Relationship Id="rId15" Type="http://schemas.openxmlformats.org/officeDocument/2006/relationships/hyperlink" Target="http://www.senado.cl/appsenado/templates/tramitacion/index.php?boletin_ini=13889-07" TargetMode="External"/><Relationship Id="rId10" Type="http://schemas.openxmlformats.org/officeDocument/2006/relationships/hyperlink" Target="http://www.senado.cl/appsenado/templates/tramitacion/index.php?boletin_ini=13588-07"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nado.cl/appsenado/templates/tramitacion/index.php?boletin_ini=12392-25" TargetMode="External"/><Relationship Id="rId14" Type="http://schemas.openxmlformats.org/officeDocument/2006/relationships/hyperlink" Target="http://www.senado.cl/appsenado/templates/tramitacion/index.php?boletin_ini=14614-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1530</Words>
  <Characters>8421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Miguel Catepillán Friederichs</dc:creator>
  <cp:keywords/>
  <dc:description/>
  <cp:lastModifiedBy>José Miguel Catepillán Friederichs</cp:lastModifiedBy>
  <cp:revision>14</cp:revision>
  <dcterms:created xsi:type="dcterms:W3CDTF">2022-03-29T18:05:00Z</dcterms:created>
  <dcterms:modified xsi:type="dcterms:W3CDTF">2022-06-29T15:49:00Z</dcterms:modified>
</cp:coreProperties>
</file>