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14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47"/>
        <w:gridCol w:w="4536"/>
        <w:gridCol w:w="4820"/>
      </w:tblGrid>
      <w:tr w:rsidR="006B7AD1" w:rsidRPr="000D26BD" w14:paraId="78E4AF17" w14:textId="77777777" w:rsidTr="006B7AD1">
        <w:trPr>
          <w:trHeight w:val="430"/>
        </w:trPr>
        <w:tc>
          <w:tcPr>
            <w:tcW w:w="5547" w:type="dxa"/>
            <w:tcBorders>
              <w:top w:val="single" w:sz="12" w:space="0" w:color="000000"/>
              <w:left w:val="single" w:sz="12" w:space="0" w:color="000000"/>
              <w:bottom w:val="single" w:sz="12" w:space="0" w:color="000000"/>
              <w:right w:val="single" w:sz="12" w:space="0" w:color="000000"/>
            </w:tcBorders>
            <w:shd w:val="clear" w:color="auto" w:fill="9CC2E5"/>
            <w:tcMar>
              <w:top w:w="80" w:type="dxa"/>
              <w:left w:w="80" w:type="dxa"/>
              <w:bottom w:w="80" w:type="dxa"/>
              <w:right w:w="80" w:type="dxa"/>
            </w:tcMar>
            <w:vAlign w:val="center"/>
          </w:tcPr>
          <w:p w14:paraId="5DC2B83B" w14:textId="77777777" w:rsidR="006B7AD1" w:rsidRPr="000D26BD" w:rsidRDefault="006B7AD1" w:rsidP="0042086C">
            <w:pPr>
              <w:pStyle w:val="Cuerpo"/>
              <w:jc w:val="center"/>
              <w:rPr>
                <w:sz w:val="20"/>
                <w:szCs w:val="20"/>
              </w:rPr>
            </w:pPr>
            <w:bookmarkStart w:id="0" w:name="_GoBack"/>
            <w:bookmarkEnd w:id="0"/>
            <w:r w:rsidRPr="000D26BD">
              <w:rPr>
                <w:b/>
                <w:bCs/>
                <w:sz w:val="20"/>
                <w:szCs w:val="20"/>
                <w:lang w:val="es-ES_tradnl"/>
              </w:rPr>
              <w:t>PLANTEAMIENTO SENADORES QUINTEROS, GIRARDI Y GOIC</w:t>
            </w:r>
          </w:p>
        </w:tc>
        <w:tc>
          <w:tcPr>
            <w:tcW w:w="4536" w:type="dxa"/>
            <w:tcBorders>
              <w:top w:val="single" w:sz="12" w:space="0" w:color="000000"/>
              <w:left w:val="single" w:sz="12" w:space="0" w:color="000000"/>
              <w:bottom w:val="single" w:sz="12" w:space="0" w:color="000000"/>
              <w:right w:val="single" w:sz="12" w:space="0" w:color="000000"/>
            </w:tcBorders>
            <w:shd w:val="clear" w:color="auto" w:fill="9CC2E5"/>
            <w:tcMar>
              <w:top w:w="80" w:type="dxa"/>
              <w:left w:w="80" w:type="dxa"/>
              <w:bottom w:w="80" w:type="dxa"/>
              <w:right w:w="80" w:type="dxa"/>
            </w:tcMar>
            <w:vAlign w:val="center"/>
          </w:tcPr>
          <w:p w14:paraId="54EA3238" w14:textId="49D57A30" w:rsidR="006B7AD1" w:rsidRPr="000D26BD" w:rsidRDefault="006B7AD1" w:rsidP="0042086C">
            <w:pPr>
              <w:pStyle w:val="Prrafodelista"/>
              <w:spacing w:after="0" w:line="240" w:lineRule="auto"/>
              <w:ind w:left="176"/>
              <w:jc w:val="center"/>
              <w:rPr>
                <w:sz w:val="20"/>
                <w:szCs w:val="20"/>
              </w:rPr>
            </w:pPr>
            <w:r w:rsidRPr="000D26BD">
              <w:rPr>
                <w:b/>
                <w:bCs/>
                <w:sz w:val="20"/>
                <w:szCs w:val="20"/>
              </w:rPr>
              <w:t>ANALISIS DE ACUERDO A INDICACIONES PRESENTADAS POR EL MINSAL</w:t>
            </w:r>
          </w:p>
        </w:tc>
        <w:tc>
          <w:tcPr>
            <w:tcW w:w="4820" w:type="dxa"/>
            <w:tcBorders>
              <w:top w:val="single" w:sz="12" w:space="0" w:color="000000"/>
              <w:left w:val="single" w:sz="12" w:space="0" w:color="000000"/>
              <w:bottom w:val="single" w:sz="12" w:space="0" w:color="000000"/>
              <w:right w:val="single" w:sz="12" w:space="0" w:color="000000"/>
            </w:tcBorders>
            <w:shd w:val="clear" w:color="auto" w:fill="9CC2E5"/>
            <w:tcMar>
              <w:top w:w="80" w:type="dxa"/>
              <w:left w:w="80" w:type="dxa"/>
              <w:bottom w:w="80" w:type="dxa"/>
              <w:right w:w="80" w:type="dxa"/>
            </w:tcMar>
            <w:vAlign w:val="center"/>
          </w:tcPr>
          <w:p w14:paraId="37956230" w14:textId="77777777" w:rsidR="006B7AD1" w:rsidRPr="000D26BD" w:rsidRDefault="006B7AD1" w:rsidP="0042086C">
            <w:pPr>
              <w:pStyle w:val="Prrafodelista"/>
              <w:spacing w:after="0" w:line="240" w:lineRule="auto"/>
              <w:ind w:left="176"/>
              <w:jc w:val="center"/>
              <w:rPr>
                <w:sz w:val="20"/>
                <w:szCs w:val="20"/>
              </w:rPr>
            </w:pPr>
            <w:r w:rsidRPr="000D26BD">
              <w:rPr>
                <w:b/>
                <w:bCs/>
                <w:sz w:val="20"/>
                <w:szCs w:val="20"/>
              </w:rPr>
              <w:t>ARTICULOS REFERIDOS</w:t>
            </w:r>
          </w:p>
        </w:tc>
      </w:tr>
      <w:tr w:rsidR="006B7AD1" w:rsidRPr="0000425E" w14:paraId="0D921293" w14:textId="77777777" w:rsidTr="006B7AD1">
        <w:trPr>
          <w:trHeight w:val="42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781DF585" w14:textId="77777777" w:rsidR="006B7AD1" w:rsidRPr="000D26BD" w:rsidRDefault="006B7AD1" w:rsidP="0042086C">
            <w:pPr>
              <w:pStyle w:val="Cuerpo"/>
              <w:spacing w:after="0" w:line="240" w:lineRule="auto"/>
              <w:jc w:val="center"/>
              <w:rPr>
                <w:sz w:val="20"/>
                <w:szCs w:val="20"/>
              </w:rPr>
            </w:pPr>
            <w:r w:rsidRPr="000D26BD">
              <w:rPr>
                <w:b/>
                <w:bCs/>
                <w:sz w:val="20"/>
                <w:szCs w:val="20"/>
                <w:lang w:val="es-ES_tradnl"/>
              </w:rPr>
              <w:t xml:space="preserve">Subir las exigencias de la garantía e indicadores legales de las </w:t>
            </w:r>
            <w:proofErr w:type="spellStart"/>
            <w:r w:rsidRPr="000D26BD">
              <w:rPr>
                <w:b/>
                <w:bCs/>
                <w:sz w:val="20"/>
                <w:szCs w:val="20"/>
                <w:lang w:val="es-ES_tradnl"/>
              </w:rPr>
              <w:t>isapres</w:t>
            </w:r>
            <w:proofErr w:type="spellEnd"/>
            <w:r w:rsidRPr="000D26BD">
              <w:rPr>
                <w:b/>
                <w:bCs/>
                <w:sz w:val="20"/>
                <w:szCs w:val="20"/>
                <w:lang w:val="es-ES_tradnl"/>
              </w:rPr>
              <w:t>.</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1158D87F" w14:textId="77777777" w:rsidR="006B7AD1" w:rsidRPr="000D26BD" w:rsidRDefault="006B7AD1" w:rsidP="0042086C">
            <w:pPr>
              <w:jc w:val="both"/>
              <w:rPr>
                <w:rFonts w:ascii="Calibri" w:hAnsi="Calibri"/>
                <w:sz w:val="20"/>
                <w:szCs w:val="20"/>
              </w:rPr>
            </w:pPr>
            <w:r w:rsidRPr="000D26BD">
              <w:rPr>
                <w:rFonts w:ascii="Calibri" w:hAnsi="Calibri"/>
                <w:b/>
                <w:bCs/>
                <w:sz w:val="20"/>
                <w:szCs w:val="20"/>
              </w:rPr>
              <w:t>SE ACOGE</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53C4A670" w14:textId="4DC7486E" w:rsidR="006B7AD1" w:rsidRPr="000D26BD" w:rsidRDefault="006B7AD1" w:rsidP="00EE6D43">
            <w:pPr>
              <w:jc w:val="center"/>
              <w:rPr>
                <w:rFonts w:ascii="Calibri" w:hAnsi="Calibri"/>
                <w:b/>
                <w:sz w:val="20"/>
                <w:szCs w:val="20"/>
                <w:lang w:val="es-CL"/>
              </w:rPr>
            </w:pPr>
            <w:r w:rsidRPr="000D26BD">
              <w:rPr>
                <w:rFonts w:ascii="Calibri" w:hAnsi="Calibri"/>
                <w:b/>
                <w:sz w:val="20"/>
                <w:szCs w:val="20"/>
                <w:lang w:val="es-CL"/>
              </w:rPr>
              <w:t>Modificación al Artículo 171, inciso final.</w:t>
            </w:r>
          </w:p>
          <w:p w14:paraId="18764DC4" w14:textId="0FB1B354" w:rsidR="006B7AD1" w:rsidRPr="000D26BD" w:rsidRDefault="006B7AD1" w:rsidP="0042086C">
            <w:pPr>
              <w:jc w:val="center"/>
              <w:rPr>
                <w:rFonts w:ascii="Calibri" w:hAnsi="Calibri"/>
                <w:sz w:val="20"/>
                <w:szCs w:val="20"/>
                <w:lang w:val="es-CL"/>
              </w:rPr>
            </w:pPr>
          </w:p>
        </w:tc>
      </w:tr>
      <w:tr w:rsidR="006B7AD1" w:rsidRPr="0000425E" w14:paraId="5128987B" w14:textId="77777777" w:rsidTr="006B7AD1">
        <w:trPr>
          <w:trHeight w:val="43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37DF57FC" w14:textId="66D9CCA1" w:rsidR="006B7AD1" w:rsidRPr="000D26BD" w:rsidRDefault="006B7AD1" w:rsidP="0042086C">
            <w:pPr>
              <w:pStyle w:val="Cuerpo"/>
              <w:spacing w:after="0" w:line="240" w:lineRule="auto"/>
              <w:jc w:val="center"/>
              <w:rPr>
                <w:sz w:val="20"/>
                <w:szCs w:val="20"/>
              </w:rPr>
            </w:pPr>
            <w:r w:rsidRPr="000D26BD">
              <w:rPr>
                <w:b/>
                <w:bCs/>
                <w:sz w:val="20"/>
                <w:szCs w:val="20"/>
                <w:lang w:val="es-ES_tradnl"/>
              </w:rPr>
              <w:t xml:space="preserve">Se debe contemplar un sistema de stop </w:t>
            </w:r>
            <w:proofErr w:type="spellStart"/>
            <w:r w:rsidRPr="000D26BD">
              <w:rPr>
                <w:b/>
                <w:bCs/>
                <w:sz w:val="20"/>
                <w:szCs w:val="20"/>
                <w:lang w:val="es-ES_tradnl"/>
              </w:rPr>
              <w:t>loss</w:t>
            </w:r>
            <w:proofErr w:type="spellEnd"/>
            <w:r w:rsidRPr="000D26BD">
              <w:rPr>
                <w:b/>
                <w:bCs/>
                <w:sz w:val="20"/>
                <w:szCs w:val="20"/>
                <w:lang w:val="es-ES_tradnl"/>
              </w:rPr>
              <w:t>, que abarque todas las prestaciones de salud.</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2AFE38A8" w14:textId="77777777" w:rsidR="006B7AD1" w:rsidRPr="000D26BD" w:rsidRDefault="006B7AD1" w:rsidP="0042086C">
            <w:pPr>
              <w:rPr>
                <w:rFonts w:ascii="Calibri" w:hAnsi="Calibri"/>
                <w:sz w:val="20"/>
                <w:szCs w:val="20"/>
              </w:rPr>
            </w:pPr>
            <w:r w:rsidRPr="000D26BD">
              <w:rPr>
                <w:rFonts w:ascii="Calibri" w:hAnsi="Calibri"/>
                <w:b/>
                <w:bCs/>
                <w:sz w:val="20"/>
                <w:szCs w:val="20"/>
              </w:rPr>
              <w:t>SE ACOGE</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763A0252" w14:textId="77777777" w:rsidR="006B7AD1" w:rsidRPr="000D26BD" w:rsidRDefault="006B7AD1" w:rsidP="00B45A28">
            <w:pPr>
              <w:jc w:val="center"/>
              <w:rPr>
                <w:rFonts w:ascii="Calibri" w:hAnsi="Calibri"/>
                <w:b/>
                <w:sz w:val="20"/>
                <w:szCs w:val="20"/>
                <w:lang w:val="es-CL"/>
              </w:rPr>
            </w:pPr>
            <w:r w:rsidRPr="000D26BD">
              <w:rPr>
                <w:rFonts w:ascii="Calibri" w:hAnsi="Calibri"/>
                <w:b/>
                <w:sz w:val="20"/>
                <w:szCs w:val="20"/>
                <w:lang w:val="es-CL"/>
              </w:rPr>
              <w:t>Modificación al Artículo 170, letra A.</w:t>
            </w:r>
          </w:p>
          <w:p w14:paraId="75D03FB2" w14:textId="77777777" w:rsidR="006B7AD1" w:rsidRPr="000D26BD" w:rsidRDefault="006B7AD1" w:rsidP="0042086C">
            <w:pPr>
              <w:jc w:val="center"/>
              <w:rPr>
                <w:rFonts w:ascii="Calibri" w:hAnsi="Calibri"/>
                <w:sz w:val="20"/>
                <w:szCs w:val="20"/>
                <w:lang w:val="es-CL"/>
              </w:rPr>
            </w:pPr>
          </w:p>
        </w:tc>
      </w:tr>
      <w:tr w:rsidR="006B7AD1" w:rsidRPr="000D26BD" w14:paraId="37255A8C" w14:textId="77777777" w:rsidTr="006B7AD1">
        <w:trPr>
          <w:trHeight w:val="662"/>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1D6E9A9A" w14:textId="77777777" w:rsidR="006B7AD1" w:rsidRPr="000D26BD" w:rsidRDefault="006B7AD1" w:rsidP="0042086C">
            <w:pPr>
              <w:pStyle w:val="Cuerpo"/>
              <w:spacing w:after="0"/>
              <w:jc w:val="center"/>
              <w:rPr>
                <w:sz w:val="20"/>
                <w:szCs w:val="20"/>
              </w:rPr>
            </w:pPr>
            <w:r w:rsidRPr="000D26BD">
              <w:rPr>
                <w:b/>
                <w:bCs/>
                <w:sz w:val="20"/>
                <w:szCs w:val="20"/>
                <w:lang w:val="es-ES_tradnl"/>
              </w:rPr>
              <w:t xml:space="preserve">La </w:t>
            </w:r>
            <w:proofErr w:type="spellStart"/>
            <w:r w:rsidRPr="000D26BD">
              <w:rPr>
                <w:b/>
                <w:bCs/>
                <w:sz w:val="20"/>
                <w:szCs w:val="20"/>
                <w:lang w:val="es-ES_tradnl"/>
              </w:rPr>
              <w:t>isapres</w:t>
            </w:r>
            <w:proofErr w:type="spellEnd"/>
            <w:r w:rsidRPr="000D26BD">
              <w:rPr>
                <w:b/>
                <w:bCs/>
                <w:sz w:val="20"/>
                <w:szCs w:val="20"/>
                <w:lang w:val="es-ES_tradnl"/>
              </w:rPr>
              <w:t xml:space="preserve"> solo podrá comercializar un plan de salud, que tendrá un precio único, sin considerar la edad, sexo, condición de salud u otra variable, salvo la red de prestadores (máximo 3).</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7E137178" w14:textId="77777777" w:rsidR="006B7AD1" w:rsidRPr="0000425E" w:rsidRDefault="006B7AD1" w:rsidP="00CE4A98">
            <w:pPr>
              <w:ind w:hanging="613"/>
              <w:jc w:val="both"/>
              <w:rPr>
                <w:rFonts w:ascii="Calibri" w:hAnsi="Calibri"/>
                <w:b/>
                <w:bCs/>
                <w:sz w:val="20"/>
                <w:szCs w:val="20"/>
                <w:lang w:val="es-CL"/>
              </w:rPr>
            </w:pPr>
            <w:r w:rsidRPr="0000425E">
              <w:rPr>
                <w:rFonts w:ascii="Calibri" w:hAnsi="Calibri"/>
                <w:b/>
                <w:bCs/>
                <w:sz w:val="20"/>
                <w:szCs w:val="20"/>
                <w:lang w:val="es-CL"/>
              </w:rPr>
              <w:t>SE ACOGE PARCIALMENTE</w:t>
            </w:r>
          </w:p>
          <w:p w14:paraId="0AD9E4A4" w14:textId="77777777" w:rsidR="006B7AD1" w:rsidRPr="0000425E" w:rsidRDefault="006B7AD1" w:rsidP="00CE4A98">
            <w:pPr>
              <w:ind w:hanging="613"/>
              <w:jc w:val="both"/>
              <w:rPr>
                <w:b/>
                <w:bCs/>
                <w:sz w:val="20"/>
                <w:szCs w:val="20"/>
                <w:lang w:val="es-CL"/>
              </w:rPr>
            </w:pPr>
            <w:r w:rsidRPr="0000425E">
              <w:rPr>
                <w:b/>
                <w:bCs/>
                <w:sz w:val="20"/>
                <w:szCs w:val="20"/>
                <w:lang w:val="es-CL"/>
              </w:rPr>
              <w:t>Un plan, un precio (salvo la red).</w:t>
            </w:r>
          </w:p>
          <w:p w14:paraId="31E08AF4" w14:textId="324E8F3D" w:rsidR="006B7AD1" w:rsidRPr="0000425E" w:rsidRDefault="006B7AD1" w:rsidP="00CE4A98">
            <w:pPr>
              <w:ind w:hanging="613"/>
              <w:jc w:val="both"/>
              <w:rPr>
                <w:rFonts w:eastAsia="Trebuchet MS Bold" w:cs="Trebuchet MS Bold"/>
                <w:sz w:val="20"/>
                <w:szCs w:val="20"/>
                <w:lang w:val="es-CL"/>
              </w:rPr>
            </w:pPr>
            <w:r w:rsidRPr="0000425E">
              <w:rPr>
                <w:b/>
                <w:bCs/>
                <w:i/>
                <w:iCs/>
                <w:sz w:val="20"/>
                <w:szCs w:val="20"/>
                <w:lang w:val="es-CL"/>
              </w:rPr>
              <w:t>Dos tramos de edad / descuento.</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71328225" w14:textId="4D41EAA0" w:rsidR="006B7AD1" w:rsidRPr="000D26BD" w:rsidRDefault="006B7AD1" w:rsidP="00EE6D43">
            <w:pPr>
              <w:jc w:val="center"/>
              <w:rPr>
                <w:rFonts w:ascii="Calibri" w:hAnsi="Calibri"/>
                <w:b/>
                <w:sz w:val="20"/>
                <w:szCs w:val="20"/>
                <w:lang w:val="es-CL"/>
              </w:rPr>
            </w:pPr>
            <w:r w:rsidRPr="000D26BD">
              <w:rPr>
                <w:rFonts w:ascii="Calibri" w:hAnsi="Calibri"/>
                <w:b/>
                <w:sz w:val="20"/>
                <w:szCs w:val="20"/>
                <w:lang w:val="es-CL"/>
              </w:rPr>
              <w:t>Modificación al Artículo 170, letra R.</w:t>
            </w:r>
          </w:p>
          <w:p w14:paraId="1243BF46" w14:textId="3DAC67D0" w:rsidR="006B7AD1" w:rsidRPr="000D26BD" w:rsidRDefault="006B7AD1" w:rsidP="00EE6D43">
            <w:pPr>
              <w:jc w:val="center"/>
              <w:rPr>
                <w:rFonts w:ascii="Calibri" w:hAnsi="Calibri"/>
                <w:b/>
                <w:sz w:val="20"/>
                <w:szCs w:val="20"/>
                <w:lang w:val="es-CL"/>
              </w:rPr>
            </w:pPr>
            <w:r w:rsidRPr="000D26BD">
              <w:rPr>
                <w:rFonts w:ascii="Calibri" w:hAnsi="Calibri"/>
                <w:b/>
                <w:sz w:val="20"/>
                <w:szCs w:val="20"/>
                <w:lang w:val="es-CL"/>
              </w:rPr>
              <w:t>Modificación al Artículo 188 bis.</w:t>
            </w:r>
          </w:p>
          <w:p w14:paraId="0E3F8D88" w14:textId="77777777" w:rsidR="006B7AD1" w:rsidRPr="000D26BD" w:rsidRDefault="006B7AD1" w:rsidP="0042086C">
            <w:pPr>
              <w:jc w:val="center"/>
              <w:rPr>
                <w:rFonts w:ascii="Calibri" w:hAnsi="Calibri"/>
                <w:sz w:val="20"/>
                <w:szCs w:val="20"/>
                <w:lang w:val="es-CL"/>
              </w:rPr>
            </w:pPr>
          </w:p>
        </w:tc>
      </w:tr>
      <w:tr w:rsidR="006B7AD1" w:rsidRPr="0000425E" w14:paraId="3AE22DED" w14:textId="77777777" w:rsidTr="006B7AD1">
        <w:trPr>
          <w:trHeight w:val="143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F0F72EB" w14:textId="0F00DF73" w:rsidR="006B7AD1" w:rsidRPr="000D26BD" w:rsidRDefault="006B7AD1" w:rsidP="0042086C">
            <w:pPr>
              <w:pStyle w:val="Cuerpo"/>
              <w:spacing w:after="0" w:line="240" w:lineRule="auto"/>
              <w:jc w:val="center"/>
              <w:rPr>
                <w:sz w:val="20"/>
                <w:szCs w:val="20"/>
              </w:rPr>
            </w:pPr>
            <w:r w:rsidRPr="000D26BD">
              <w:rPr>
                <w:b/>
                <w:bCs/>
                <w:sz w:val="20"/>
                <w:szCs w:val="20"/>
                <w:lang w:val="es-ES_tradnl"/>
              </w:rPr>
              <w:t>Las coberturas financieras deben ser uniformes, y corresponder al menos al 80%, sin perjuicio de determinadas y especificas coberturas especiales</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6D38124A" w14:textId="1DBD6166" w:rsidR="006B7AD1" w:rsidRPr="000D26BD" w:rsidRDefault="006B7AD1" w:rsidP="00CE4A98">
            <w:pPr>
              <w:ind w:left="-471"/>
              <w:rPr>
                <w:rFonts w:ascii="Calibri" w:hAnsi="Calibri"/>
                <w:b/>
                <w:bCs/>
                <w:sz w:val="20"/>
                <w:szCs w:val="20"/>
              </w:rPr>
            </w:pPr>
            <w:r w:rsidRPr="000D26BD">
              <w:rPr>
                <w:rFonts w:ascii="Calibri" w:hAnsi="Calibri"/>
                <w:b/>
                <w:bCs/>
                <w:sz w:val="20"/>
                <w:szCs w:val="20"/>
              </w:rPr>
              <w:t>SE ACOGE</w:t>
            </w:r>
          </w:p>
          <w:p w14:paraId="1B228750" w14:textId="5BB7FC3D" w:rsidR="006B7AD1" w:rsidRPr="000D26BD" w:rsidRDefault="006B7AD1" w:rsidP="00CE4A98">
            <w:pPr>
              <w:pStyle w:val="Prrafodelista"/>
              <w:numPr>
                <w:ilvl w:val="0"/>
                <w:numId w:val="28"/>
              </w:numPr>
              <w:spacing w:after="0" w:line="240" w:lineRule="auto"/>
              <w:ind w:left="-471"/>
              <w:rPr>
                <w:rFonts w:eastAsia="Trebuchet MS Bold" w:cs="Trebuchet MS Bold"/>
                <w:b/>
                <w:bCs/>
                <w:sz w:val="20"/>
                <w:szCs w:val="20"/>
              </w:rPr>
            </w:pPr>
            <w:r w:rsidRPr="000D26BD">
              <w:rPr>
                <w:b/>
                <w:bCs/>
                <w:sz w:val="20"/>
                <w:szCs w:val="20"/>
              </w:rPr>
              <w:t>Copago hospitalario:  20%</w:t>
            </w:r>
          </w:p>
          <w:p w14:paraId="16ADC73B" w14:textId="0761609D" w:rsidR="006B7AD1" w:rsidRPr="000D26BD" w:rsidRDefault="006B7AD1" w:rsidP="00CE4A98">
            <w:pPr>
              <w:pStyle w:val="Prrafodelista"/>
              <w:numPr>
                <w:ilvl w:val="0"/>
                <w:numId w:val="28"/>
              </w:numPr>
              <w:spacing w:after="0" w:line="240" w:lineRule="auto"/>
              <w:ind w:left="-471"/>
              <w:rPr>
                <w:rFonts w:eastAsia="Trebuchet MS Bold" w:cs="Trebuchet MS Bold"/>
                <w:b/>
                <w:bCs/>
                <w:sz w:val="20"/>
                <w:szCs w:val="20"/>
              </w:rPr>
            </w:pPr>
            <w:r w:rsidRPr="000D26BD">
              <w:rPr>
                <w:b/>
                <w:bCs/>
                <w:sz w:val="20"/>
                <w:szCs w:val="20"/>
              </w:rPr>
              <w:t xml:space="preserve">Copago ambulatorio: </w:t>
            </w:r>
            <w:r>
              <w:rPr>
                <w:b/>
                <w:bCs/>
                <w:sz w:val="20"/>
                <w:szCs w:val="20"/>
              </w:rPr>
              <w:t>50%</w:t>
            </w:r>
            <w:r w:rsidRPr="000D26BD">
              <w:rPr>
                <w:b/>
                <w:bCs/>
                <w:sz w:val="20"/>
                <w:szCs w:val="20"/>
              </w:rPr>
              <w:t>.</w:t>
            </w:r>
          </w:p>
          <w:p w14:paraId="3890352B" w14:textId="66D635C8" w:rsidR="006B7AD1" w:rsidRPr="000D26BD" w:rsidRDefault="006B7AD1" w:rsidP="00CE4A98">
            <w:pPr>
              <w:pStyle w:val="Prrafodelista"/>
              <w:numPr>
                <w:ilvl w:val="0"/>
                <w:numId w:val="28"/>
              </w:numPr>
              <w:spacing w:after="0" w:line="240" w:lineRule="auto"/>
              <w:ind w:left="-471"/>
              <w:rPr>
                <w:rFonts w:eastAsia="Trebuchet MS Bold" w:cs="Trebuchet MS Bold"/>
                <w:sz w:val="20"/>
                <w:szCs w:val="20"/>
              </w:rPr>
            </w:pPr>
            <w:r w:rsidRPr="000D26BD">
              <w:rPr>
                <w:b/>
                <w:bCs/>
                <w:sz w:val="20"/>
                <w:szCs w:val="20"/>
              </w:rPr>
              <w:t xml:space="preserve">Tope de copagos acumulados establecidos por mecanismo de seguro catastrófico (ex CAEC) // Es parte del Stop </w:t>
            </w:r>
            <w:proofErr w:type="spellStart"/>
            <w:r w:rsidRPr="000D26BD">
              <w:rPr>
                <w:b/>
                <w:bCs/>
                <w:sz w:val="20"/>
                <w:szCs w:val="20"/>
              </w:rPr>
              <w:t>Loss</w:t>
            </w:r>
            <w:proofErr w:type="spellEnd"/>
            <w:r w:rsidRPr="000D26BD">
              <w:rPr>
                <w:b/>
                <w:bCs/>
                <w:sz w:val="20"/>
                <w:szCs w:val="20"/>
              </w:rPr>
              <w:t>.</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1511BDE1" w14:textId="66A1E0C4" w:rsidR="006B7AD1" w:rsidRPr="000D26BD" w:rsidRDefault="006B7AD1" w:rsidP="00B45A28">
            <w:pPr>
              <w:jc w:val="center"/>
              <w:rPr>
                <w:rFonts w:ascii="Calibri" w:hAnsi="Calibri"/>
                <w:b/>
                <w:sz w:val="20"/>
                <w:szCs w:val="20"/>
                <w:lang w:val="es-CL"/>
              </w:rPr>
            </w:pPr>
            <w:r w:rsidRPr="000D26BD">
              <w:rPr>
                <w:rFonts w:ascii="Calibri" w:hAnsi="Calibri"/>
                <w:b/>
                <w:sz w:val="20"/>
                <w:szCs w:val="20"/>
                <w:lang w:val="es-CL"/>
              </w:rPr>
              <w:t>Modificación al Artículo 170, letra A.</w:t>
            </w:r>
          </w:p>
          <w:p w14:paraId="0F5494EE" w14:textId="77777777" w:rsidR="006B7AD1" w:rsidRPr="000D26BD" w:rsidRDefault="006B7AD1" w:rsidP="0042086C">
            <w:pPr>
              <w:jc w:val="center"/>
              <w:rPr>
                <w:rFonts w:ascii="Calibri" w:hAnsi="Calibri"/>
                <w:sz w:val="20"/>
                <w:szCs w:val="20"/>
                <w:lang w:val="es-CL"/>
              </w:rPr>
            </w:pPr>
          </w:p>
        </w:tc>
      </w:tr>
      <w:tr w:rsidR="006B7AD1" w:rsidRPr="0000425E" w14:paraId="370883AE" w14:textId="77777777" w:rsidTr="006B7AD1">
        <w:trPr>
          <w:trHeight w:val="878"/>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1208B12C" w14:textId="77777777" w:rsidR="006B7AD1" w:rsidRPr="000D26BD" w:rsidRDefault="006B7AD1" w:rsidP="0042086C">
            <w:pPr>
              <w:pStyle w:val="Cuerpo"/>
              <w:spacing w:after="0"/>
              <w:jc w:val="center"/>
              <w:rPr>
                <w:sz w:val="20"/>
                <w:szCs w:val="20"/>
              </w:rPr>
            </w:pPr>
            <w:r w:rsidRPr="000D26BD">
              <w:rPr>
                <w:b/>
                <w:bCs/>
                <w:sz w:val="20"/>
                <w:szCs w:val="20"/>
                <w:lang w:val="es-ES_tradnl"/>
              </w:rPr>
              <w:t>La cobertura financiera podrá ser utilizado en cualquier establecimiento de salud que cumpla con los requisitos para otorgar la prestación, en la medida que exista indisponibilidad para el otorgamiento de la prestación de salud.</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7B7CB025" w14:textId="38C0562B" w:rsidR="006B7AD1" w:rsidRPr="000D26BD" w:rsidRDefault="006B7AD1" w:rsidP="0042086C">
            <w:pPr>
              <w:rPr>
                <w:rFonts w:ascii="Calibri" w:hAnsi="Calibri"/>
                <w:b/>
                <w:bCs/>
                <w:sz w:val="20"/>
                <w:szCs w:val="20"/>
                <w:lang w:val="es-CL"/>
              </w:rPr>
            </w:pPr>
            <w:r w:rsidRPr="000D26BD">
              <w:rPr>
                <w:rFonts w:ascii="Calibri" w:hAnsi="Calibri"/>
                <w:b/>
                <w:bCs/>
                <w:sz w:val="20"/>
                <w:szCs w:val="20"/>
                <w:lang w:val="es-CL"/>
              </w:rPr>
              <w:t>SE ACOGE.</w:t>
            </w:r>
          </w:p>
          <w:p w14:paraId="09202EAE" w14:textId="1AD13475" w:rsidR="006B7AD1" w:rsidRPr="006F3AFD" w:rsidRDefault="006B7AD1" w:rsidP="006F3AFD">
            <w:pPr>
              <w:rPr>
                <w:b/>
                <w:bCs/>
                <w:sz w:val="20"/>
                <w:szCs w:val="20"/>
                <w:lang w:val="es-CL"/>
              </w:rPr>
            </w:pPr>
            <w:r w:rsidRPr="006F3AFD">
              <w:rPr>
                <w:b/>
                <w:bCs/>
                <w:sz w:val="20"/>
                <w:szCs w:val="20"/>
                <w:lang w:val="es-CL"/>
              </w:rPr>
              <w:t>Corresponde al 80% de la cobertura en red.</w:t>
            </w:r>
          </w:p>
          <w:p w14:paraId="32AB714C" w14:textId="781B3CC5" w:rsidR="006B7AD1" w:rsidRPr="006F3AFD" w:rsidRDefault="006B7AD1" w:rsidP="006F3AFD">
            <w:pPr>
              <w:rPr>
                <w:rFonts w:eastAsia="Trebuchet MS Bold" w:cs="Trebuchet MS Bold"/>
                <w:sz w:val="20"/>
                <w:szCs w:val="20"/>
                <w:lang w:val="es-CL"/>
              </w:rPr>
            </w:pPr>
            <w:r w:rsidRPr="006F3AFD">
              <w:rPr>
                <w:b/>
                <w:bCs/>
                <w:sz w:val="20"/>
                <w:szCs w:val="20"/>
                <w:lang w:val="es-CL"/>
              </w:rPr>
              <w:t>Atención fuera de la red con 80% de la cobertura propia de la red.</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68759A9C" w14:textId="77777777" w:rsidR="006B7AD1" w:rsidRPr="000D26BD" w:rsidRDefault="006B7AD1" w:rsidP="0028490A">
            <w:pPr>
              <w:jc w:val="center"/>
              <w:rPr>
                <w:rFonts w:ascii="Calibri" w:hAnsi="Calibri"/>
                <w:b/>
                <w:sz w:val="20"/>
                <w:szCs w:val="20"/>
                <w:lang w:val="es-CL"/>
              </w:rPr>
            </w:pPr>
            <w:r w:rsidRPr="000D26BD">
              <w:rPr>
                <w:rFonts w:ascii="Calibri" w:hAnsi="Calibri"/>
                <w:b/>
                <w:sz w:val="20"/>
                <w:szCs w:val="20"/>
                <w:lang w:val="es-CL"/>
              </w:rPr>
              <w:t>Modificación al Artículo 188, agregando un “188 quinquies”.</w:t>
            </w:r>
          </w:p>
          <w:p w14:paraId="3D1C8492" w14:textId="02B932F5" w:rsidR="006B7AD1" w:rsidRPr="000D26BD" w:rsidRDefault="006B7AD1" w:rsidP="0028490A">
            <w:pPr>
              <w:jc w:val="center"/>
              <w:rPr>
                <w:rFonts w:ascii="Calibri" w:hAnsi="Calibri"/>
                <w:b/>
                <w:sz w:val="20"/>
                <w:szCs w:val="20"/>
                <w:lang w:val="es-CL"/>
              </w:rPr>
            </w:pPr>
            <w:r w:rsidRPr="000D26BD">
              <w:rPr>
                <w:rFonts w:ascii="Calibri" w:hAnsi="Calibri"/>
                <w:b/>
                <w:sz w:val="20"/>
                <w:szCs w:val="20"/>
                <w:lang w:val="es-CL"/>
              </w:rPr>
              <w:t xml:space="preserve"> </w:t>
            </w:r>
          </w:p>
          <w:p w14:paraId="76265144" w14:textId="77777777" w:rsidR="006B7AD1" w:rsidRPr="000D26BD" w:rsidRDefault="006B7AD1" w:rsidP="0042086C">
            <w:pPr>
              <w:jc w:val="center"/>
              <w:rPr>
                <w:rFonts w:ascii="Calibri" w:hAnsi="Calibri"/>
                <w:sz w:val="20"/>
                <w:szCs w:val="20"/>
                <w:lang w:val="es-CL"/>
              </w:rPr>
            </w:pPr>
          </w:p>
        </w:tc>
      </w:tr>
      <w:tr w:rsidR="006B7AD1" w:rsidRPr="0000425E" w14:paraId="52953329" w14:textId="77777777" w:rsidTr="006B7AD1">
        <w:trPr>
          <w:trHeight w:val="103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5CB08C4A" w14:textId="77777777" w:rsidR="006B7AD1" w:rsidRPr="000D26BD" w:rsidRDefault="006B7AD1" w:rsidP="0042086C">
            <w:pPr>
              <w:pStyle w:val="Cuerpo"/>
              <w:spacing w:after="0" w:line="240" w:lineRule="auto"/>
              <w:jc w:val="center"/>
              <w:rPr>
                <w:sz w:val="20"/>
                <w:szCs w:val="20"/>
              </w:rPr>
            </w:pPr>
            <w:r w:rsidRPr="000D26BD">
              <w:rPr>
                <w:b/>
                <w:bCs/>
                <w:sz w:val="20"/>
                <w:szCs w:val="20"/>
                <w:lang w:val="es-ES_tradnl"/>
              </w:rPr>
              <w:t>Aumentar las facultades de fiscalización de la Superintendencia de Salud, tanto con isapres como con prestadores, de tal manera que pueda fiscalizar y sancionar todos los actos o contratos que afectan la eficiencia del sistema, en especial, en lo que se refiere a las vinculaciones entre ambos actores.</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46AA8E59" w14:textId="77777777" w:rsidR="006B7AD1" w:rsidRPr="0000425E" w:rsidRDefault="006B7AD1" w:rsidP="006F3AFD">
            <w:pPr>
              <w:rPr>
                <w:rFonts w:ascii="Calibri" w:hAnsi="Calibri"/>
                <w:b/>
                <w:bCs/>
                <w:sz w:val="20"/>
                <w:szCs w:val="20"/>
                <w:lang w:val="es-CL"/>
              </w:rPr>
            </w:pPr>
            <w:r w:rsidRPr="0000425E">
              <w:rPr>
                <w:rFonts w:ascii="Calibri" w:hAnsi="Calibri"/>
                <w:b/>
                <w:bCs/>
                <w:sz w:val="20"/>
                <w:szCs w:val="20"/>
                <w:lang w:val="es-CL"/>
              </w:rPr>
              <w:t>SE ACOGE.</w:t>
            </w:r>
          </w:p>
          <w:p w14:paraId="65CCEAA3" w14:textId="0B93F855" w:rsidR="006B7AD1" w:rsidRPr="0000425E" w:rsidRDefault="006B7AD1" w:rsidP="006F3AFD">
            <w:pPr>
              <w:rPr>
                <w:rFonts w:ascii="Calibri" w:hAnsi="Calibri"/>
                <w:b/>
                <w:bCs/>
                <w:sz w:val="20"/>
                <w:szCs w:val="20"/>
                <w:lang w:val="es-CL"/>
              </w:rPr>
            </w:pPr>
            <w:r w:rsidRPr="006F3AFD">
              <w:rPr>
                <w:b/>
                <w:bCs/>
                <w:sz w:val="20"/>
                <w:szCs w:val="20"/>
                <w:lang w:val="es-CL"/>
              </w:rPr>
              <w:t>Mayores atribuciones Superintendencia y remisiones a circulares.</w:t>
            </w:r>
          </w:p>
          <w:p w14:paraId="01525ECA" w14:textId="45A9B6A8" w:rsidR="006B7AD1" w:rsidRPr="006F3AFD" w:rsidRDefault="006B7AD1" w:rsidP="006F3AFD">
            <w:pPr>
              <w:rPr>
                <w:rFonts w:eastAsia="Trebuchet MS Bold" w:cs="Trebuchet MS Bold"/>
                <w:sz w:val="20"/>
                <w:szCs w:val="20"/>
                <w:lang w:val="es-CL"/>
              </w:rPr>
            </w:pPr>
            <w:proofErr w:type="gramStart"/>
            <w:r w:rsidRPr="006F3AFD">
              <w:rPr>
                <w:b/>
                <w:bCs/>
                <w:sz w:val="20"/>
                <w:szCs w:val="20"/>
                <w:lang w:val="es-CL"/>
              </w:rPr>
              <w:t>Se  aumentan</w:t>
            </w:r>
            <w:proofErr w:type="gramEnd"/>
            <w:r w:rsidRPr="006F3AFD">
              <w:rPr>
                <w:b/>
                <w:bCs/>
                <w:sz w:val="20"/>
                <w:szCs w:val="20"/>
                <w:lang w:val="es-CL"/>
              </w:rPr>
              <w:t xml:space="preserve"> las atribuciones respecto de los prestadores.</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CF499B9" w14:textId="77777777" w:rsidR="006B7AD1" w:rsidRPr="000D26BD" w:rsidRDefault="006B7AD1" w:rsidP="0042086C">
            <w:pPr>
              <w:jc w:val="center"/>
              <w:rPr>
                <w:rFonts w:ascii="Calibri" w:hAnsi="Calibri"/>
                <w:b/>
                <w:sz w:val="20"/>
                <w:szCs w:val="20"/>
                <w:lang w:val="es-CL"/>
              </w:rPr>
            </w:pPr>
            <w:r w:rsidRPr="000D26BD">
              <w:rPr>
                <w:rFonts w:ascii="Calibri" w:hAnsi="Calibri"/>
                <w:b/>
                <w:sz w:val="20"/>
                <w:szCs w:val="20"/>
                <w:lang w:val="es-CL"/>
              </w:rPr>
              <w:t>Modificación al Artículo 110.</w:t>
            </w:r>
          </w:p>
          <w:p w14:paraId="7E9F2B18" w14:textId="77777777" w:rsidR="006B7AD1" w:rsidRPr="000D26BD" w:rsidRDefault="006B7AD1" w:rsidP="0042086C">
            <w:pPr>
              <w:jc w:val="center"/>
              <w:rPr>
                <w:rFonts w:ascii="Calibri" w:hAnsi="Calibri"/>
                <w:b/>
                <w:sz w:val="20"/>
                <w:szCs w:val="20"/>
                <w:lang w:val="es-CL"/>
              </w:rPr>
            </w:pPr>
            <w:r w:rsidRPr="000D26BD">
              <w:rPr>
                <w:rFonts w:ascii="Calibri" w:hAnsi="Calibri"/>
                <w:b/>
                <w:sz w:val="20"/>
                <w:szCs w:val="20"/>
                <w:lang w:val="es-CL"/>
              </w:rPr>
              <w:t>Modificación al Artículo 115.</w:t>
            </w:r>
          </w:p>
          <w:p w14:paraId="05A7F808" w14:textId="42D1B228" w:rsidR="006B7AD1" w:rsidRPr="000D26BD" w:rsidRDefault="006B7AD1" w:rsidP="0042086C">
            <w:pPr>
              <w:jc w:val="center"/>
              <w:rPr>
                <w:rFonts w:ascii="Calibri" w:hAnsi="Calibri"/>
                <w:b/>
                <w:sz w:val="20"/>
                <w:szCs w:val="20"/>
                <w:lang w:val="es-CL"/>
              </w:rPr>
            </w:pPr>
            <w:r w:rsidRPr="000D26BD">
              <w:rPr>
                <w:rFonts w:ascii="Calibri" w:hAnsi="Calibri"/>
                <w:b/>
                <w:sz w:val="20"/>
                <w:szCs w:val="20"/>
                <w:lang w:val="es-CL"/>
              </w:rPr>
              <w:t>Modificación al Artículo 188.</w:t>
            </w:r>
          </w:p>
          <w:p w14:paraId="6A4987E3" w14:textId="6B446446" w:rsidR="006B7AD1" w:rsidRPr="000D26BD" w:rsidRDefault="006B7AD1" w:rsidP="0042086C">
            <w:pPr>
              <w:jc w:val="center"/>
              <w:rPr>
                <w:rFonts w:ascii="Calibri" w:hAnsi="Calibri"/>
                <w:b/>
                <w:sz w:val="20"/>
                <w:szCs w:val="20"/>
                <w:lang w:val="es-CL"/>
              </w:rPr>
            </w:pPr>
            <w:r w:rsidRPr="000D26BD">
              <w:rPr>
                <w:rFonts w:ascii="Calibri" w:hAnsi="Calibri"/>
                <w:b/>
                <w:sz w:val="20"/>
                <w:szCs w:val="20"/>
                <w:lang w:val="es-CL"/>
              </w:rPr>
              <w:t>Modificación al Artículo 197.</w:t>
            </w:r>
          </w:p>
          <w:p w14:paraId="39C7C0B3" w14:textId="77777777" w:rsidR="006B7AD1" w:rsidRPr="000D26BD" w:rsidRDefault="006B7AD1" w:rsidP="0042086C">
            <w:pPr>
              <w:jc w:val="center"/>
              <w:rPr>
                <w:rFonts w:ascii="Calibri" w:hAnsi="Calibri"/>
                <w:b/>
                <w:sz w:val="20"/>
                <w:szCs w:val="20"/>
                <w:lang w:val="es-CL"/>
              </w:rPr>
            </w:pPr>
          </w:p>
          <w:p w14:paraId="500B0A41" w14:textId="14F463A3" w:rsidR="006B7AD1" w:rsidRPr="000D26BD" w:rsidRDefault="006B7AD1" w:rsidP="0042086C">
            <w:pPr>
              <w:jc w:val="center"/>
              <w:rPr>
                <w:rFonts w:ascii="Calibri" w:hAnsi="Calibri"/>
                <w:b/>
                <w:sz w:val="20"/>
                <w:szCs w:val="20"/>
                <w:lang w:val="es-CL"/>
              </w:rPr>
            </w:pPr>
          </w:p>
        </w:tc>
      </w:tr>
      <w:tr w:rsidR="006B7AD1" w:rsidRPr="000D26BD" w14:paraId="2994B899" w14:textId="77777777" w:rsidTr="006B7AD1">
        <w:trPr>
          <w:trHeight w:val="1093"/>
        </w:trPr>
        <w:tc>
          <w:tcPr>
            <w:tcW w:w="5547" w:type="dxa"/>
            <w:tcBorders>
              <w:top w:val="single" w:sz="12" w:space="0" w:color="000000"/>
              <w:left w:val="single" w:sz="12" w:space="0" w:color="000000"/>
              <w:bottom w:val="single" w:sz="12" w:space="0" w:color="000000"/>
              <w:right w:val="single" w:sz="12" w:space="0" w:color="000000"/>
            </w:tcBorders>
            <w:shd w:val="clear" w:color="auto" w:fill="FFE599"/>
            <w:tcMar>
              <w:top w:w="80" w:type="dxa"/>
              <w:left w:w="80" w:type="dxa"/>
              <w:bottom w:w="80" w:type="dxa"/>
              <w:right w:w="80" w:type="dxa"/>
            </w:tcMar>
            <w:vAlign w:val="center"/>
          </w:tcPr>
          <w:p w14:paraId="40D87F24" w14:textId="3F3862D4" w:rsidR="006B7AD1" w:rsidRPr="000D26BD" w:rsidRDefault="006B7AD1" w:rsidP="0042086C">
            <w:pPr>
              <w:pStyle w:val="Cuerpo"/>
              <w:spacing w:after="0"/>
              <w:jc w:val="center"/>
              <w:rPr>
                <w:sz w:val="20"/>
                <w:szCs w:val="20"/>
              </w:rPr>
            </w:pPr>
            <w:r w:rsidRPr="000D26BD">
              <w:rPr>
                <w:b/>
                <w:bCs/>
                <w:sz w:val="20"/>
                <w:szCs w:val="20"/>
                <w:lang w:val="es-ES_tradnl"/>
              </w:rPr>
              <w:t>Al sistema privado de salud podrá ingresar cualquier persona, sin que se admita ninguna forma de discriminación, lo que implica eliminar la declaración de salud y/o sistema similar o alternativo, y de esta manera, terminar con las situaciones que afectan a los cotizantes cautivos y/o personas con enfermedades prexistentes.</w:t>
            </w:r>
          </w:p>
        </w:tc>
        <w:tc>
          <w:tcPr>
            <w:tcW w:w="4536" w:type="dxa"/>
            <w:tcBorders>
              <w:top w:val="single" w:sz="12" w:space="0" w:color="000000"/>
              <w:left w:val="single" w:sz="12" w:space="0" w:color="000000"/>
              <w:bottom w:val="single" w:sz="12" w:space="0" w:color="000000"/>
              <w:right w:val="single" w:sz="12" w:space="0" w:color="000000"/>
            </w:tcBorders>
            <w:shd w:val="clear" w:color="auto" w:fill="FFE599"/>
            <w:tcMar>
              <w:top w:w="80" w:type="dxa"/>
              <w:left w:w="80" w:type="dxa"/>
              <w:bottom w:w="80" w:type="dxa"/>
              <w:right w:w="80" w:type="dxa"/>
            </w:tcMar>
            <w:vAlign w:val="center"/>
          </w:tcPr>
          <w:p w14:paraId="1D1E18B7" w14:textId="77777777" w:rsidR="006B7AD1" w:rsidRPr="000D26BD" w:rsidRDefault="006B7AD1" w:rsidP="0042086C">
            <w:pPr>
              <w:pStyle w:val="Cuerpo"/>
              <w:spacing w:after="0" w:line="240" w:lineRule="auto"/>
              <w:jc w:val="center"/>
              <w:rPr>
                <w:b/>
                <w:bCs/>
                <w:sz w:val="20"/>
                <w:szCs w:val="20"/>
                <w:lang w:val="es-ES_tradnl"/>
              </w:rPr>
            </w:pPr>
          </w:p>
          <w:p w14:paraId="26A6D449" w14:textId="77777777" w:rsidR="006B7AD1" w:rsidRPr="000D26BD" w:rsidRDefault="006B7AD1" w:rsidP="0042086C">
            <w:pPr>
              <w:jc w:val="center"/>
              <w:rPr>
                <w:rFonts w:ascii="Calibri" w:hAnsi="Calibri"/>
                <w:sz w:val="20"/>
                <w:szCs w:val="20"/>
              </w:rPr>
            </w:pPr>
            <w:r w:rsidRPr="000D26BD">
              <w:rPr>
                <w:rFonts w:ascii="Calibri" w:hAnsi="Calibri"/>
                <w:b/>
                <w:bCs/>
                <w:sz w:val="20"/>
                <w:szCs w:val="20"/>
              </w:rPr>
              <w:t>EN VOTACION</w:t>
            </w:r>
          </w:p>
        </w:tc>
        <w:tc>
          <w:tcPr>
            <w:tcW w:w="4820" w:type="dxa"/>
            <w:tcBorders>
              <w:top w:val="single" w:sz="12" w:space="0" w:color="000000"/>
              <w:left w:val="single" w:sz="12" w:space="0" w:color="000000"/>
              <w:bottom w:val="single" w:sz="12" w:space="0" w:color="000000"/>
              <w:right w:val="single" w:sz="12" w:space="0" w:color="000000"/>
            </w:tcBorders>
            <w:shd w:val="clear" w:color="auto" w:fill="FFE599"/>
            <w:tcMar>
              <w:top w:w="80" w:type="dxa"/>
              <w:left w:w="80" w:type="dxa"/>
              <w:bottom w:w="80" w:type="dxa"/>
              <w:right w:w="80" w:type="dxa"/>
            </w:tcMar>
            <w:vAlign w:val="center"/>
          </w:tcPr>
          <w:p w14:paraId="692ACA03" w14:textId="77777777" w:rsidR="006B7AD1" w:rsidRPr="000D26BD" w:rsidRDefault="006B7AD1" w:rsidP="0042086C">
            <w:pPr>
              <w:jc w:val="center"/>
              <w:rPr>
                <w:rFonts w:ascii="Calibri" w:hAnsi="Calibri"/>
                <w:sz w:val="20"/>
                <w:szCs w:val="20"/>
              </w:rPr>
            </w:pPr>
          </w:p>
        </w:tc>
      </w:tr>
      <w:tr w:rsidR="006B7AD1" w:rsidRPr="0000425E" w14:paraId="06DABB4F" w14:textId="77777777" w:rsidTr="006B7AD1">
        <w:trPr>
          <w:trHeight w:val="662"/>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497A8173" w14:textId="77777777" w:rsidR="006B7AD1" w:rsidRPr="000D26BD" w:rsidRDefault="006B7AD1" w:rsidP="0042086C">
            <w:pPr>
              <w:pStyle w:val="Cuerpo"/>
              <w:spacing w:after="0"/>
              <w:jc w:val="center"/>
              <w:rPr>
                <w:sz w:val="20"/>
                <w:szCs w:val="20"/>
              </w:rPr>
            </w:pPr>
            <w:r w:rsidRPr="000D26BD">
              <w:rPr>
                <w:b/>
                <w:bCs/>
                <w:sz w:val="20"/>
                <w:szCs w:val="20"/>
                <w:lang w:val="es-ES_tradnl"/>
              </w:rPr>
              <w:lastRenderedPageBreak/>
              <w:t>El reajuste de precios será trianual, y se determinará mediante un polinomio que establecerá un tope máximo y que reconocerá incentivos para controlar los gastos y costos.</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1B4B1A13" w14:textId="77777777" w:rsidR="006B7AD1" w:rsidRDefault="006B7AD1" w:rsidP="006F3AFD">
            <w:pPr>
              <w:rPr>
                <w:rFonts w:ascii="Calibri" w:hAnsi="Calibri"/>
                <w:b/>
                <w:bCs/>
                <w:sz w:val="20"/>
                <w:szCs w:val="20"/>
                <w:lang w:val="es-CL"/>
              </w:rPr>
            </w:pPr>
            <w:r w:rsidRPr="000D26BD">
              <w:rPr>
                <w:rFonts w:ascii="Calibri" w:hAnsi="Calibri"/>
                <w:b/>
                <w:bCs/>
                <w:sz w:val="20"/>
                <w:szCs w:val="20"/>
                <w:lang w:val="es-CL"/>
              </w:rPr>
              <w:t>SE ACOGE PARCIALMENTE.</w:t>
            </w:r>
          </w:p>
          <w:p w14:paraId="60E567AD" w14:textId="2DF7ECFB" w:rsidR="006B7AD1" w:rsidRPr="006F3AFD" w:rsidRDefault="006B7AD1" w:rsidP="006F3AFD">
            <w:pPr>
              <w:rPr>
                <w:rFonts w:ascii="Calibri" w:hAnsi="Calibri"/>
                <w:b/>
                <w:bCs/>
                <w:sz w:val="20"/>
                <w:szCs w:val="20"/>
                <w:lang w:val="es-CL"/>
              </w:rPr>
            </w:pPr>
            <w:r w:rsidRPr="006F3AFD">
              <w:rPr>
                <w:b/>
                <w:bCs/>
                <w:sz w:val="20"/>
                <w:szCs w:val="20"/>
                <w:lang w:val="es-CL"/>
              </w:rPr>
              <w:t>Reajuste anual con un mecanismo que dependerá de organismo imparcial</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F88EEE2" w14:textId="60403464" w:rsidR="006B7AD1" w:rsidRPr="000D26BD" w:rsidRDefault="006B7AD1" w:rsidP="00EE6D43">
            <w:pPr>
              <w:jc w:val="center"/>
              <w:rPr>
                <w:rFonts w:ascii="Calibri" w:hAnsi="Calibri"/>
                <w:b/>
                <w:sz w:val="20"/>
                <w:szCs w:val="20"/>
                <w:lang w:val="es-CL"/>
              </w:rPr>
            </w:pPr>
            <w:r w:rsidRPr="000D26BD">
              <w:rPr>
                <w:rFonts w:ascii="Calibri" w:hAnsi="Calibri"/>
                <w:b/>
                <w:sz w:val="20"/>
                <w:szCs w:val="20"/>
                <w:lang w:val="es-CL"/>
              </w:rPr>
              <w:t>Modificación al Artículo 170, letra O.</w:t>
            </w:r>
          </w:p>
          <w:p w14:paraId="1A26B9A5" w14:textId="77777777" w:rsidR="006B7AD1" w:rsidRPr="000D26BD" w:rsidRDefault="006B7AD1" w:rsidP="00EE6D43">
            <w:pPr>
              <w:jc w:val="center"/>
              <w:rPr>
                <w:rFonts w:ascii="Calibri" w:hAnsi="Calibri"/>
                <w:b/>
                <w:sz w:val="20"/>
                <w:szCs w:val="20"/>
                <w:lang w:val="es-CL"/>
              </w:rPr>
            </w:pPr>
          </w:p>
          <w:p w14:paraId="5BC74624" w14:textId="77777777" w:rsidR="006B7AD1" w:rsidRPr="000D26BD" w:rsidRDefault="006B7AD1" w:rsidP="0042086C">
            <w:pPr>
              <w:jc w:val="center"/>
              <w:rPr>
                <w:rFonts w:ascii="Calibri" w:hAnsi="Calibri"/>
                <w:sz w:val="20"/>
                <w:szCs w:val="20"/>
                <w:lang w:val="es-CL"/>
              </w:rPr>
            </w:pPr>
          </w:p>
        </w:tc>
      </w:tr>
      <w:tr w:rsidR="006B7AD1" w:rsidRPr="0000425E" w14:paraId="497E92EB" w14:textId="77777777" w:rsidTr="006B7AD1">
        <w:trPr>
          <w:trHeight w:val="143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10506C37" w14:textId="77777777" w:rsidR="006B7AD1" w:rsidRPr="000D26BD" w:rsidRDefault="006B7AD1" w:rsidP="0042086C">
            <w:pPr>
              <w:pStyle w:val="Cuerpo"/>
              <w:spacing w:after="0"/>
              <w:jc w:val="center"/>
              <w:rPr>
                <w:sz w:val="20"/>
                <w:szCs w:val="20"/>
              </w:rPr>
            </w:pPr>
            <w:r w:rsidRPr="000D26BD">
              <w:rPr>
                <w:b/>
                <w:bCs/>
                <w:sz w:val="20"/>
                <w:szCs w:val="20"/>
                <w:lang w:val="es-ES_tradnl"/>
              </w:rPr>
              <w:t>Crear un Fondo de Compensación de Riesgos Intersistemas, que compense al sistema de salud que tenga la cartera de mayor riesgo.</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52775B1F" w14:textId="77777777" w:rsidR="006B7AD1" w:rsidRPr="000D26BD" w:rsidRDefault="006B7AD1" w:rsidP="0042086C">
            <w:pPr>
              <w:rPr>
                <w:rFonts w:ascii="Calibri" w:hAnsi="Calibri"/>
                <w:b/>
                <w:bCs/>
                <w:sz w:val="20"/>
                <w:szCs w:val="20"/>
                <w:lang w:val="es-CL"/>
              </w:rPr>
            </w:pPr>
            <w:r w:rsidRPr="000D26BD">
              <w:rPr>
                <w:rFonts w:ascii="Calibri" w:hAnsi="Calibri"/>
                <w:b/>
                <w:bCs/>
                <w:sz w:val="20"/>
                <w:szCs w:val="20"/>
                <w:lang w:val="es-CL"/>
              </w:rPr>
              <w:t>REQUIERE AVANCE DE REFORMA FONASA QUE CREA PSU.</w:t>
            </w:r>
          </w:p>
          <w:p w14:paraId="4C36CC99" w14:textId="4683A066" w:rsidR="006B7AD1" w:rsidRPr="006F3AFD" w:rsidRDefault="006B7AD1" w:rsidP="006F3AFD">
            <w:pPr>
              <w:rPr>
                <w:rFonts w:eastAsia="Trebuchet MS Bold" w:cs="Trebuchet MS Bold"/>
                <w:sz w:val="20"/>
                <w:szCs w:val="20"/>
                <w:lang w:val="es-CL"/>
              </w:rPr>
            </w:pPr>
            <w:r w:rsidRPr="006F3AFD">
              <w:rPr>
                <w:b/>
                <w:bCs/>
                <w:sz w:val="20"/>
                <w:szCs w:val="20"/>
                <w:lang w:val="es-CL"/>
              </w:rPr>
              <w:t>Se encuentra en tramitación el PL FONASA CLASE MEDIA PROTEGICA, que incorpora un CAEC al plan de FONASA. Y el PL DE FORTALECIMIENTO DE FONASA.</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15E4A424" w14:textId="40106D98" w:rsidR="006B7AD1" w:rsidRPr="000D26BD" w:rsidRDefault="006B7AD1" w:rsidP="0028490A">
            <w:pPr>
              <w:jc w:val="center"/>
              <w:rPr>
                <w:rFonts w:ascii="Calibri" w:hAnsi="Calibri"/>
                <w:b/>
                <w:sz w:val="20"/>
                <w:szCs w:val="20"/>
                <w:lang w:val="es-CL"/>
              </w:rPr>
            </w:pPr>
            <w:r w:rsidRPr="000D26BD">
              <w:rPr>
                <w:rFonts w:ascii="Calibri" w:hAnsi="Calibri"/>
                <w:b/>
                <w:sz w:val="20"/>
                <w:szCs w:val="20"/>
                <w:lang w:val="es-CL"/>
              </w:rPr>
              <w:t>Contenido en otro PL (Fonasa – Clase Media Protegida).</w:t>
            </w:r>
          </w:p>
          <w:p w14:paraId="514938A2" w14:textId="77777777" w:rsidR="006B7AD1" w:rsidRPr="000D26BD" w:rsidRDefault="006B7AD1" w:rsidP="0028490A">
            <w:pPr>
              <w:jc w:val="center"/>
              <w:rPr>
                <w:rFonts w:ascii="Calibri" w:hAnsi="Calibri"/>
                <w:b/>
                <w:sz w:val="20"/>
                <w:szCs w:val="20"/>
                <w:lang w:val="es-CL"/>
              </w:rPr>
            </w:pPr>
          </w:p>
          <w:p w14:paraId="6D53F8D9" w14:textId="77777777" w:rsidR="006B7AD1" w:rsidRPr="000D26BD" w:rsidRDefault="006B7AD1" w:rsidP="0042086C">
            <w:pPr>
              <w:jc w:val="center"/>
              <w:rPr>
                <w:rFonts w:ascii="Calibri" w:hAnsi="Calibri"/>
                <w:sz w:val="20"/>
                <w:szCs w:val="20"/>
                <w:lang w:val="es-CL"/>
              </w:rPr>
            </w:pPr>
          </w:p>
        </w:tc>
      </w:tr>
      <w:tr w:rsidR="006B7AD1" w:rsidRPr="000D26BD" w14:paraId="3A16A9F8" w14:textId="77777777" w:rsidTr="006B7AD1">
        <w:trPr>
          <w:trHeight w:val="1115"/>
        </w:trPr>
        <w:tc>
          <w:tcPr>
            <w:tcW w:w="5547" w:type="dxa"/>
            <w:tcBorders>
              <w:top w:val="single" w:sz="12"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17D72567" w14:textId="010E8595" w:rsidR="006B7AD1" w:rsidRPr="000D26BD" w:rsidRDefault="006B7AD1" w:rsidP="0042086C">
            <w:pPr>
              <w:pStyle w:val="Cuerpo"/>
              <w:spacing w:after="0"/>
              <w:jc w:val="center"/>
              <w:rPr>
                <w:sz w:val="20"/>
                <w:szCs w:val="20"/>
              </w:rPr>
            </w:pPr>
            <w:r w:rsidRPr="000D26BD">
              <w:rPr>
                <w:b/>
                <w:bCs/>
                <w:color w:val="C00000"/>
                <w:sz w:val="20"/>
                <w:szCs w:val="20"/>
                <w:u w:color="C00000"/>
                <w:lang w:val="es-ES_tradnl"/>
              </w:rPr>
              <w:t>Crear un Fondo Mancomunado Universal de Salud, donde los cotizantes de los sistemas de salud público y privado concurren con al menos el 10% de sus cotizaciones obligatorias de salud al financiamiento de prestaciones universales (por ejemplo, Ley de Cáncer y sistema de donación de órganos).</w:t>
            </w:r>
          </w:p>
        </w:tc>
        <w:tc>
          <w:tcPr>
            <w:tcW w:w="4536" w:type="dxa"/>
            <w:tcBorders>
              <w:top w:val="single" w:sz="12"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4D820967" w14:textId="77777777" w:rsidR="006B7AD1" w:rsidRPr="000D26BD" w:rsidRDefault="006B7AD1" w:rsidP="0042086C">
            <w:pPr>
              <w:jc w:val="center"/>
              <w:rPr>
                <w:rFonts w:ascii="Calibri" w:eastAsia="Trebuchet MS Bold" w:hAnsi="Calibri" w:cs="Trebuchet MS Bold"/>
                <w:color w:val="C00000"/>
                <w:sz w:val="20"/>
                <w:szCs w:val="20"/>
              </w:rPr>
            </w:pPr>
            <w:r w:rsidRPr="000D26BD">
              <w:rPr>
                <w:rFonts w:ascii="Calibri" w:hAnsi="Calibri"/>
                <w:b/>
                <w:bCs/>
                <w:color w:val="C00000"/>
                <w:sz w:val="20"/>
                <w:szCs w:val="20"/>
                <w:u w:color="C00000"/>
              </w:rPr>
              <w:t>NO SE ACOGE.</w:t>
            </w:r>
          </w:p>
        </w:tc>
        <w:tc>
          <w:tcPr>
            <w:tcW w:w="4820" w:type="dxa"/>
            <w:tcBorders>
              <w:top w:val="single" w:sz="12"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10AF8F3C" w14:textId="77777777" w:rsidR="006B7AD1" w:rsidRPr="000D26BD" w:rsidRDefault="006B7AD1" w:rsidP="0042086C">
            <w:pPr>
              <w:jc w:val="center"/>
              <w:rPr>
                <w:rFonts w:ascii="Calibri" w:hAnsi="Calibri"/>
                <w:sz w:val="20"/>
                <w:szCs w:val="20"/>
              </w:rPr>
            </w:pPr>
          </w:p>
        </w:tc>
      </w:tr>
      <w:tr w:rsidR="006B7AD1" w:rsidRPr="0000425E" w14:paraId="6808FED1" w14:textId="77777777" w:rsidTr="006B7AD1">
        <w:trPr>
          <w:trHeight w:val="63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12835947" w14:textId="77777777" w:rsidR="006B7AD1" w:rsidRPr="000D26BD" w:rsidRDefault="006B7AD1" w:rsidP="0042086C">
            <w:pPr>
              <w:pStyle w:val="Cuerpo"/>
              <w:spacing w:after="0" w:line="240" w:lineRule="auto"/>
              <w:jc w:val="center"/>
              <w:rPr>
                <w:sz w:val="20"/>
                <w:szCs w:val="20"/>
              </w:rPr>
            </w:pPr>
            <w:r w:rsidRPr="000D26BD">
              <w:rPr>
                <w:b/>
                <w:bCs/>
                <w:sz w:val="20"/>
                <w:szCs w:val="20"/>
                <w:lang w:val="es-ES_tradnl"/>
              </w:rPr>
              <w:t>Las prestaciones deben ser comunes para ambos sistemas, partiendo de las que se otorgan hoy, las que aumentarán progresiva e integralmente incluyendo medicamentos.</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514EF060" w14:textId="77777777" w:rsidR="006B7AD1" w:rsidRPr="000D26BD" w:rsidRDefault="006B7AD1" w:rsidP="0042086C">
            <w:pPr>
              <w:rPr>
                <w:rFonts w:ascii="Calibri" w:hAnsi="Calibri"/>
                <w:b/>
                <w:bCs/>
                <w:sz w:val="20"/>
                <w:szCs w:val="20"/>
                <w:lang w:val="es-CL"/>
              </w:rPr>
            </w:pPr>
            <w:r w:rsidRPr="000D26BD">
              <w:rPr>
                <w:rFonts w:ascii="Calibri" w:hAnsi="Calibri"/>
                <w:b/>
                <w:bCs/>
                <w:sz w:val="20"/>
                <w:szCs w:val="20"/>
                <w:lang w:val="es-CL"/>
              </w:rPr>
              <w:t>SE ACOGE.</w:t>
            </w:r>
          </w:p>
          <w:p w14:paraId="5C6885E3" w14:textId="3324C8C5" w:rsidR="006B7AD1" w:rsidRPr="006F3AFD" w:rsidRDefault="006B7AD1" w:rsidP="006F3AFD">
            <w:pPr>
              <w:rPr>
                <w:rFonts w:eastAsia="Trebuchet MS Bold" w:cs="Trebuchet MS Bold"/>
                <w:sz w:val="20"/>
                <w:szCs w:val="20"/>
                <w:lang w:val="es-CL"/>
              </w:rPr>
            </w:pPr>
            <w:r w:rsidRPr="006F3AFD">
              <w:rPr>
                <w:b/>
                <w:bCs/>
                <w:sz w:val="20"/>
                <w:szCs w:val="20"/>
                <w:lang w:val="es-CL"/>
              </w:rPr>
              <w:t>Avance de PSU en Isapres y Fonasa.</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FD7B4BB" w14:textId="02E79385" w:rsidR="006B7AD1" w:rsidRPr="000D26BD" w:rsidRDefault="006B7AD1" w:rsidP="002327EC">
            <w:pPr>
              <w:jc w:val="center"/>
              <w:rPr>
                <w:rFonts w:ascii="Calibri" w:hAnsi="Calibri"/>
                <w:b/>
                <w:sz w:val="20"/>
                <w:szCs w:val="20"/>
                <w:lang w:val="es-CL"/>
              </w:rPr>
            </w:pPr>
            <w:r w:rsidRPr="000D26BD">
              <w:rPr>
                <w:rFonts w:ascii="Calibri" w:hAnsi="Calibri"/>
                <w:b/>
                <w:sz w:val="20"/>
                <w:szCs w:val="20"/>
                <w:lang w:val="es-CL"/>
              </w:rPr>
              <w:t>Modificación al Artículo 188, creando el “188 ter”</w:t>
            </w:r>
          </w:p>
          <w:p w14:paraId="30E54EB3" w14:textId="77777777" w:rsidR="006B7AD1" w:rsidRPr="000D26BD" w:rsidRDefault="006B7AD1" w:rsidP="0042086C">
            <w:pPr>
              <w:jc w:val="center"/>
              <w:rPr>
                <w:rFonts w:ascii="Calibri" w:hAnsi="Calibri"/>
                <w:sz w:val="20"/>
                <w:szCs w:val="20"/>
                <w:lang w:val="es-CL"/>
              </w:rPr>
            </w:pPr>
          </w:p>
        </w:tc>
      </w:tr>
      <w:tr w:rsidR="006B7AD1" w:rsidRPr="000D26BD" w14:paraId="572087A7" w14:textId="77777777" w:rsidTr="006B7AD1">
        <w:trPr>
          <w:trHeight w:val="23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3C24974E" w14:textId="2979F49C" w:rsidR="006B7AD1" w:rsidRPr="000D26BD" w:rsidRDefault="006B7AD1" w:rsidP="0042086C">
            <w:pPr>
              <w:pStyle w:val="Cuerpo"/>
              <w:spacing w:after="0" w:line="240" w:lineRule="auto"/>
              <w:jc w:val="center"/>
              <w:rPr>
                <w:sz w:val="20"/>
                <w:szCs w:val="20"/>
              </w:rPr>
            </w:pPr>
            <w:r w:rsidRPr="000D26BD">
              <w:rPr>
                <w:b/>
                <w:bCs/>
                <w:sz w:val="20"/>
                <w:szCs w:val="20"/>
                <w:lang w:val="es-ES_tradnl"/>
              </w:rPr>
              <w:t>Las prestaciones deberán otorgarse como soluciones de salud.</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7B78CEFC" w14:textId="77777777" w:rsidR="006B7AD1" w:rsidRPr="000D26BD" w:rsidRDefault="006B7AD1" w:rsidP="0042086C">
            <w:pPr>
              <w:rPr>
                <w:rFonts w:ascii="Calibri" w:hAnsi="Calibri"/>
                <w:sz w:val="20"/>
                <w:szCs w:val="20"/>
              </w:rPr>
            </w:pPr>
            <w:r w:rsidRPr="000D26BD">
              <w:rPr>
                <w:rFonts w:ascii="Calibri" w:hAnsi="Calibri"/>
                <w:b/>
                <w:bCs/>
                <w:sz w:val="20"/>
                <w:szCs w:val="20"/>
              </w:rPr>
              <w:t>SE ACOGE</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954E65C" w14:textId="77777777" w:rsidR="006B7AD1" w:rsidRPr="000D26BD" w:rsidRDefault="006B7AD1" w:rsidP="002327EC">
            <w:pPr>
              <w:jc w:val="center"/>
              <w:rPr>
                <w:rFonts w:ascii="Calibri" w:hAnsi="Calibri"/>
                <w:b/>
                <w:sz w:val="20"/>
                <w:szCs w:val="20"/>
                <w:lang w:val="es-CL"/>
              </w:rPr>
            </w:pPr>
            <w:r w:rsidRPr="000D26BD">
              <w:rPr>
                <w:rFonts w:ascii="Calibri" w:hAnsi="Calibri"/>
                <w:b/>
                <w:sz w:val="20"/>
                <w:szCs w:val="20"/>
                <w:lang w:val="es-CL"/>
              </w:rPr>
              <w:t>Espíritu del PL.</w:t>
            </w:r>
          </w:p>
          <w:p w14:paraId="64A98A03" w14:textId="77777777" w:rsidR="006B7AD1" w:rsidRPr="000D26BD" w:rsidRDefault="006B7AD1" w:rsidP="0042086C">
            <w:pPr>
              <w:jc w:val="center"/>
              <w:rPr>
                <w:rFonts w:ascii="Calibri" w:hAnsi="Calibri"/>
                <w:sz w:val="20"/>
                <w:szCs w:val="20"/>
              </w:rPr>
            </w:pPr>
          </w:p>
        </w:tc>
      </w:tr>
      <w:tr w:rsidR="006B7AD1" w:rsidRPr="0000425E" w14:paraId="7F6FAE76" w14:textId="77777777" w:rsidTr="006B7AD1">
        <w:trPr>
          <w:trHeight w:val="685"/>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16010775" w14:textId="77777777" w:rsidR="006B7AD1" w:rsidRPr="000D26BD" w:rsidRDefault="006B7AD1" w:rsidP="0042086C">
            <w:pPr>
              <w:pStyle w:val="Cuerpo"/>
              <w:spacing w:after="0" w:line="240" w:lineRule="auto"/>
              <w:jc w:val="center"/>
              <w:rPr>
                <w:sz w:val="20"/>
                <w:szCs w:val="20"/>
              </w:rPr>
            </w:pPr>
            <w:r w:rsidRPr="000D26BD">
              <w:rPr>
                <w:b/>
                <w:bCs/>
                <w:sz w:val="20"/>
                <w:szCs w:val="20"/>
                <w:lang w:val="es-ES_tradnl"/>
              </w:rPr>
              <w:t xml:space="preserve">Las </w:t>
            </w:r>
            <w:proofErr w:type="spellStart"/>
            <w:r w:rsidRPr="000D26BD">
              <w:rPr>
                <w:b/>
                <w:bCs/>
                <w:sz w:val="20"/>
                <w:szCs w:val="20"/>
                <w:lang w:val="es-ES_tradnl"/>
              </w:rPr>
              <w:t>isapres</w:t>
            </w:r>
            <w:proofErr w:type="spellEnd"/>
            <w:r w:rsidRPr="000D26BD">
              <w:rPr>
                <w:b/>
                <w:bCs/>
                <w:sz w:val="20"/>
                <w:szCs w:val="20"/>
                <w:lang w:val="es-ES_tradnl"/>
              </w:rPr>
              <w:t xml:space="preserve"> no podrán vender beneficios complementarios o suplementarios.</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38DFED39" w14:textId="77777777" w:rsidR="006B7AD1" w:rsidRPr="000D26BD" w:rsidRDefault="006B7AD1" w:rsidP="0042086C">
            <w:pPr>
              <w:rPr>
                <w:rFonts w:ascii="Calibri" w:hAnsi="Calibri"/>
                <w:b/>
                <w:bCs/>
                <w:sz w:val="20"/>
                <w:szCs w:val="20"/>
                <w:lang w:val="es-CL"/>
              </w:rPr>
            </w:pPr>
            <w:r w:rsidRPr="000D26BD">
              <w:rPr>
                <w:rFonts w:ascii="Calibri" w:hAnsi="Calibri"/>
                <w:b/>
                <w:bCs/>
                <w:sz w:val="20"/>
                <w:szCs w:val="20"/>
                <w:lang w:val="es-CL"/>
              </w:rPr>
              <w:t>SE ACOGE PARCIALMENTE.</w:t>
            </w:r>
          </w:p>
          <w:p w14:paraId="3702B92A" w14:textId="21638A42" w:rsidR="006B7AD1" w:rsidRPr="006F3AFD" w:rsidRDefault="006B7AD1" w:rsidP="006F3AFD">
            <w:pPr>
              <w:rPr>
                <w:sz w:val="20"/>
                <w:szCs w:val="20"/>
                <w:lang w:val="es-CL"/>
              </w:rPr>
            </w:pPr>
            <w:r w:rsidRPr="006F3AFD">
              <w:rPr>
                <w:b/>
                <w:bCs/>
                <w:sz w:val="20"/>
                <w:szCs w:val="20"/>
                <w:lang w:val="es-CL"/>
              </w:rPr>
              <w:t>Sólo pueden venderlos si ofrecen un plan de salud universal.</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61B628C4" w14:textId="77777777" w:rsidR="006B7AD1" w:rsidRPr="000D26BD" w:rsidRDefault="006B7AD1" w:rsidP="00B45A28">
            <w:pPr>
              <w:jc w:val="center"/>
              <w:rPr>
                <w:rFonts w:ascii="Calibri" w:hAnsi="Calibri"/>
                <w:b/>
                <w:sz w:val="20"/>
                <w:szCs w:val="20"/>
                <w:lang w:val="es-CL"/>
              </w:rPr>
            </w:pPr>
            <w:r w:rsidRPr="000D26BD">
              <w:rPr>
                <w:rFonts w:ascii="Calibri" w:hAnsi="Calibri"/>
                <w:b/>
                <w:sz w:val="20"/>
                <w:szCs w:val="20"/>
                <w:lang w:val="es-CL"/>
              </w:rPr>
              <w:t>Modificación al Artículo 170, letra K.</w:t>
            </w:r>
          </w:p>
          <w:p w14:paraId="2446CE28" w14:textId="77777777" w:rsidR="006B7AD1" w:rsidRPr="000D26BD" w:rsidRDefault="006B7AD1" w:rsidP="00B45A28">
            <w:pPr>
              <w:jc w:val="center"/>
              <w:rPr>
                <w:rFonts w:ascii="Calibri" w:hAnsi="Calibri"/>
                <w:b/>
                <w:sz w:val="20"/>
                <w:szCs w:val="20"/>
                <w:lang w:val="es-CL"/>
              </w:rPr>
            </w:pPr>
            <w:r w:rsidRPr="000D26BD">
              <w:rPr>
                <w:rFonts w:ascii="Calibri" w:hAnsi="Calibri"/>
                <w:b/>
                <w:sz w:val="20"/>
                <w:szCs w:val="20"/>
                <w:lang w:val="es-CL"/>
              </w:rPr>
              <w:t>Modificación al Artículo 192.</w:t>
            </w:r>
          </w:p>
          <w:p w14:paraId="1F21AB63" w14:textId="18A0267F" w:rsidR="006B7AD1" w:rsidRPr="000D26BD" w:rsidRDefault="006B7AD1" w:rsidP="002327EC">
            <w:pPr>
              <w:jc w:val="center"/>
              <w:rPr>
                <w:rFonts w:ascii="Calibri" w:hAnsi="Calibri"/>
                <w:b/>
                <w:sz w:val="20"/>
                <w:szCs w:val="20"/>
                <w:lang w:val="es-CL"/>
              </w:rPr>
            </w:pPr>
            <w:r w:rsidRPr="000D26BD">
              <w:rPr>
                <w:rFonts w:ascii="Calibri" w:hAnsi="Calibri"/>
                <w:b/>
                <w:sz w:val="20"/>
                <w:szCs w:val="20"/>
                <w:lang w:val="es-CL"/>
              </w:rPr>
              <w:t>Modificación al Artículo 156.</w:t>
            </w:r>
          </w:p>
          <w:p w14:paraId="7E8640C5" w14:textId="77777777" w:rsidR="006B7AD1" w:rsidRPr="000D26BD" w:rsidRDefault="006B7AD1" w:rsidP="0042086C">
            <w:pPr>
              <w:jc w:val="center"/>
              <w:rPr>
                <w:rFonts w:ascii="Calibri" w:hAnsi="Calibri"/>
                <w:sz w:val="20"/>
                <w:szCs w:val="20"/>
                <w:lang w:val="es-CL"/>
              </w:rPr>
            </w:pPr>
          </w:p>
        </w:tc>
      </w:tr>
      <w:tr w:rsidR="006B7AD1" w:rsidRPr="0000425E" w14:paraId="5B502A93" w14:textId="77777777" w:rsidTr="006B7AD1">
        <w:trPr>
          <w:trHeight w:val="143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7A84F075" w14:textId="019C6978" w:rsidR="006B7AD1" w:rsidRPr="000D26BD" w:rsidRDefault="006B7AD1" w:rsidP="0042086C">
            <w:pPr>
              <w:pStyle w:val="Cuerpo"/>
              <w:spacing w:after="0" w:line="240" w:lineRule="auto"/>
              <w:jc w:val="center"/>
              <w:rPr>
                <w:sz w:val="20"/>
                <w:szCs w:val="20"/>
              </w:rPr>
            </w:pPr>
            <w:r w:rsidRPr="000D26BD">
              <w:rPr>
                <w:b/>
                <w:bCs/>
                <w:sz w:val="20"/>
                <w:szCs w:val="20"/>
                <w:lang w:val="es-ES_tradnl"/>
              </w:rPr>
              <w:t>Los prestadores no podrán vender seguros complementarios o suplementarios de salud: su único giro será la prestación de acciones de salud. Estos seguros solo podrán ser comercializados por compañías de seguros de salud y a personas que cuenten con un plan de salud vigente. Dichos contratos serán regulados de manera conjunta entre la Comisión de Mercado Financiero y la Superintendencia de Salud.</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45D9829B" w14:textId="77777777" w:rsidR="006B7AD1" w:rsidRDefault="006B7AD1" w:rsidP="006F3AFD">
            <w:pPr>
              <w:rPr>
                <w:rFonts w:ascii="Calibri" w:hAnsi="Calibri"/>
                <w:b/>
                <w:bCs/>
                <w:sz w:val="20"/>
                <w:szCs w:val="20"/>
                <w:lang w:val="es-CL"/>
              </w:rPr>
            </w:pPr>
            <w:r w:rsidRPr="000D26BD">
              <w:rPr>
                <w:rFonts w:ascii="Calibri" w:hAnsi="Calibri"/>
                <w:b/>
                <w:bCs/>
                <w:sz w:val="20"/>
                <w:szCs w:val="20"/>
                <w:lang w:val="es-CL"/>
              </w:rPr>
              <w:t xml:space="preserve">SE ACOGE, </w:t>
            </w:r>
          </w:p>
          <w:p w14:paraId="618A7155" w14:textId="21333DE0" w:rsidR="006B7AD1" w:rsidRPr="006F3AFD" w:rsidRDefault="006B7AD1" w:rsidP="006F3AFD">
            <w:pPr>
              <w:rPr>
                <w:rFonts w:ascii="Calibri" w:hAnsi="Calibri"/>
                <w:b/>
                <w:bCs/>
                <w:sz w:val="20"/>
                <w:szCs w:val="20"/>
                <w:lang w:val="es-CL"/>
              </w:rPr>
            </w:pPr>
            <w:r w:rsidRPr="006F3AFD">
              <w:rPr>
                <w:b/>
                <w:bCs/>
                <w:sz w:val="20"/>
                <w:szCs w:val="20"/>
                <w:lang w:val="es-CL"/>
              </w:rPr>
              <w:t xml:space="preserve">Los beneficios se pueden ofrecer solo si ofrece un PGS. </w:t>
            </w:r>
            <w:r w:rsidRPr="0000425E">
              <w:rPr>
                <w:b/>
                <w:bCs/>
                <w:sz w:val="20"/>
                <w:szCs w:val="20"/>
                <w:lang w:val="es-CL"/>
              </w:rPr>
              <w:t>Los seguros de segunda línea sólo pueden ofrecerse por compañías de seguro.</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1A07BD61" w14:textId="77777777" w:rsidR="006B7AD1" w:rsidRPr="000D26BD" w:rsidRDefault="006B7AD1" w:rsidP="002327EC">
            <w:pPr>
              <w:jc w:val="center"/>
              <w:rPr>
                <w:rFonts w:ascii="Calibri" w:hAnsi="Calibri"/>
                <w:b/>
                <w:sz w:val="20"/>
                <w:szCs w:val="20"/>
                <w:lang w:val="es-CL"/>
              </w:rPr>
            </w:pPr>
            <w:r w:rsidRPr="000D26BD">
              <w:rPr>
                <w:rFonts w:ascii="Calibri" w:hAnsi="Calibri"/>
                <w:b/>
                <w:sz w:val="20"/>
                <w:szCs w:val="20"/>
                <w:lang w:val="es-CL"/>
              </w:rPr>
              <w:t>Modificación al Artículo 170, letra K.</w:t>
            </w:r>
          </w:p>
          <w:p w14:paraId="7C4D7CF8" w14:textId="77777777" w:rsidR="006B7AD1" w:rsidRPr="000D26BD" w:rsidRDefault="006B7AD1" w:rsidP="00EE6D43">
            <w:pPr>
              <w:jc w:val="center"/>
              <w:rPr>
                <w:rFonts w:ascii="Calibri" w:hAnsi="Calibri"/>
                <w:b/>
                <w:sz w:val="20"/>
                <w:szCs w:val="20"/>
                <w:lang w:val="es-CL"/>
              </w:rPr>
            </w:pPr>
          </w:p>
          <w:p w14:paraId="50E2D8E2" w14:textId="77777777" w:rsidR="006B7AD1" w:rsidRPr="000D26BD" w:rsidRDefault="006B7AD1" w:rsidP="00EE6D43">
            <w:pPr>
              <w:jc w:val="center"/>
              <w:rPr>
                <w:rFonts w:ascii="Calibri" w:hAnsi="Calibri"/>
                <w:b/>
                <w:sz w:val="20"/>
                <w:szCs w:val="20"/>
                <w:lang w:val="es-CL"/>
              </w:rPr>
            </w:pPr>
          </w:p>
          <w:p w14:paraId="172AAD89" w14:textId="77777777" w:rsidR="006B7AD1" w:rsidRPr="000D26BD" w:rsidRDefault="006B7AD1" w:rsidP="0042086C">
            <w:pPr>
              <w:jc w:val="center"/>
              <w:rPr>
                <w:rFonts w:ascii="Calibri" w:hAnsi="Calibri"/>
                <w:sz w:val="20"/>
                <w:szCs w:val="20"/>
                <w:lang w:val="es-CL"/>
              </w:rPr>
            </w:pPr>
          </w:p>
        </w:tc>
      </w:tr>
      <w:tr w:rsidR="006B7AD1" w:rsidRPr="0000425E" w14:paraId="25FAE06E" w14:textId="77777777" w:rsidTr="006B7AD1">
        <w:trPr>
          <w:trHeight w:val="630"/>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D7E2005" w14:textId="43C035C6" w:rsidR="006B7AD1" w:rsidRPr="000D26BD" w:rsidRDefault="006B7AD1" w:rsidP="0042086C">
            <w:pPr>
              <w:pStyle w:val="Cuerpo"/>
              <w:spacing w:after="0" w:line="240" w:lineRule="auto"/>
              <w:jc w:val="center"/>
              <w:rPr>
                <w:sz w:val="20"/>
                <w:szCs w:val="20"/>
              </w:rPr>
            </w:pPr>
            <w:r w:rsidRPr="000D26BD">
              <w:rPr>
                <w:b/>
                <w:bCs/>
                <w:sz w:val="20"/>
                <w:szCs w:val="20"/>
                <w:lang w:val="es-ES_tradnl"/>
              </w:rPr>
              <w:t>No será necesario que una prestación se encuentre arancelada en FONASA para que esta sea objeto de cobertura financiera</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657F7906" w14:textId="77777777" w:rsidR="006B7AD1" w:rsidRDefault="006B7AD1" w:rsidP="006F3AFD">
            <w:pPr>
              <w:rPr>
                <w:rFonts w:ascii="Calibri" w:hAnsi="Calibri"/>
                <w:b/>
                <w:bCs/>
                <w:sz w:val="20"/>
                <w:szCs w:val="20"/>
                <w:lang w:val="es-CL"/>
              </w:rPr>
            </w:pPr>
            <w:r w:rsidRPr="000D26BD">
              <w:rPr>
                <w:rFonts w:ascii="Calibri" w:hAnsi="Calibri"/>
                <w:b/>
                <w:bCs/>
                <w:sz w:val="20"/>
                <w:szCs w:val="20"/>
                <w:lang w:val="es-CL"/>
              </w:rPr>
              <w:t>SE ACOGE PARCIALMNETE.</w:t>
            </w:r>
          </w:p>
          <w:p w14:paraId="2B74E318" w14:textId="3D7C52C1" w:rsidR="006B7AD1" w:rsidRPr="006F3AFD" w:rsidRDefault="006B7AD1" w:rsidP="006F3AFD">
            <w:pPr>
              <w:rPr>
                <w:rFonts w:ascii="Calibri" w:hAnsi="Calibri"/>
                <w:b/>
                <w:bCs/>
                <w:sz w:val="20"/>
                <w:szCs w:val="20"/>
                <w:lang w:val="es-CL"/>
              </w:rPr>
            </w:pPr>
            <w:r w:rsidRPr="006F3AFD">
              <w:rPr>
                <w:b/>
                <w:bCs/>
                <w:sz w:val="20"/>
                <w:szCs w:val="20"/>
                <w:lang w:val="es-CL"/>
              </w:rPr>
              <w:t>Forma parte de beneficios complementarios.</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3E38D973" w14:textId="77777777" w:rsidR="006B7AD1" w:rsidRPr="000D26BD" w:rsidRDefault="006B7AD1" w:rsidP="0042086C">
            <w:pPr>
              <w:jc w:val="center"/>
              <w:rPr>
                <w:rFonts w:ascii="Calibri" w:hAnsi="Calibri"/>
                <w:sz w:val="20"/>
                <w:szCs w:val="20"/>
                <w:lang w:val="es-CL"/>
              </w:rPr>
            </w:pPr>
          </w:p>
        </w:tc>
      </w:tr>
      <w:tr w:rsidR="006B7AD1" w:rsidRPr="000D26BD" w14:paraId="6A03A600" w14:textId="77777777" w:rsidTr="006B7AD1">
        <w:trPr>
          <w:trHeight w:val="662"/>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48092A9" w14:textId="77777777" w:rsidR="006B7AD1" w:rsidRPr="000D26BD" w:rsidRDefault="006B7AD1" w:rsidP="0042086C">
            <w:pPr>
              <w:pStyle w:val="Cuerpo"/>
              <w:spacing w:after="0"/>
              <w:jc w:val="center"/>
              <w:rPr>
                <w:sz w:val="20"/>
                <w:szCs w:val="20"/>
              </w:rPr>
            </w:pPr>
            <w:r w:rsidRPr="000D26BD">
              <w:rPr>
                <w:b/>
                <w:bCs/>
                <w:sz w:val="20"/>
                <w:szCs w:val="20"/>
                <w:lang w:val="es-ES_tradnl"/>
              </w:rPr>
              <w:lastRenderedPageBreak/>
              <w:t>Se creará una nueva institucionalidad que elimine la actual atribución de las isapres de rechazar los pagos de las licencias médicas de manera autónoma.</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256" w:type="dxa"/>
              <w:bottom w:w="80" w:type="dxa"/>
              <w:right w:w="80" w:type="dxa"/>
            </w:tcMar>
            <w:vAlign w:val="center"/>
          </w:tcPr>
          <w:p w14:paraId="616787E7" w14:textId="77777777" w:rsidR="006B7AD1" w:rsidRDefault="006B7AD1" w:rsidP="006F3AFD">
            <w:pPr>
              <w:pStyle w:val="Prrafodelista"/>
              <w:spacing w:after="0" w:line="240" w:lineRule="auto"/>
              <w:ind w:left="176"/>
              <w:rPr>
                <w:b/>
                <w:bCs/>
                <w:sz w:val="20"/>
                <w:szCs w:val="20"/>
              </w:rPr>
            </w:pPr>
            <w:r w:rsidRPr="000D26BD">
              <w:rPr>
                <w:b/>
                <w:bCs/>
                <w:sz w:val="20"/>
                <w:szCs w:val="20"/>
              </w:rPr>
              <w:t xml:space="preserve">           SE ACOGE. </w:t>
            </w:r>
          </w:p>
          <w:p w14:paraId="230EA51D" w14:textId="25665214" w:rsidR="006B7AD1" w:rsidRPr="006F3AFD" w:rsidRDefault="006B7AD1" w:rsidP="006F3AFD">
            <w:pPr>
              <w:pStyle w:val="Prrafodelista"/>
              <w:spacing w:after="0" w:line="240" w:lineRule="auto"/>
              <w:ind w:left="176"/>
              <w:rPr>
                <w:b/>
                <w:bCs/>
                <w:sz w:val="20"/>
                <w:szCs w:val="20"/>
              </w:rPr>
            </w:pPr>
            <w:r w:rsidRPr="006F3AFD">
              <w:rPr>
                <w:b/>
                <w:bCs/>
                <w:sz w:val="20"/>
                <w:szCs w:val="20"/>
              </w:rPr>
              <w:t>En tramitación con MINTRAB, hay un proyecto de ley que se encuentra en etapa de trabajo prelegislativo.</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6E9BBE6F" w14:textId="6C68C3DD" w:rsidR="006B7AD1" w:rsidRPr="000D26BD" w:rsidRDefault="006B7AD1" w:rsidP="002327EC">
            <w:pPr>
              <w:jc w:val="center"/>
              <w:rPr>
                <w:rFonts w:ascii="Calibri" w:hAnsi="Calibri"/>
                <w:b/>
                <w:sz w:val="20"/>
                <w:szCs w:val="20"/>
                <w:lang w:val="es-CL"/>
              </w:rPr>
            </w:pPr>
            <w:r w:rsidRPr="000D26BD">
              <w:rPr>
                <w:rFonts w:ascii="Calibri" w:hAnsi="Calibri"/>
                <w:b/>
                <w:sz w:val="20"/>
                <w:szCs w:val="20"/>
                <w:lang w:val="es-CL"/>
              </w:rPr>
              <w:t>En tramitación pre-legislativa.</w:t>
            </w:r>
          </w:p>
          <w:p w14:paraId="03E10183" w14:textId="77777777" w:rsidR="006B7AD1" w:rsidRPr="000D26BD" w:rsidRDefault="006B7AD1" w:rsidP="0042086C">
            <w:pPr>
              <w:jc w:val="center"/>
              <w:rPr>
                <w:rFonts w:ascii="Calibri" w:hAnsi="Calibri"/>
                <w:sz w:val="20"/>
                <w:szCs w:val="20"/>
                <w:lang w:val="es-CL"/>
              </w:rPr>
            </w:pPr>
          </w:p>
        </w:tc>
      </w:tr>
      <w:tr w:rsidR="006B7AD1" w:rsidRPr="0000425E" w14:paraId="09CA36CF" w14:textId="77777777" w:rsidTr="006B7AD1">
        <w:trPr>
          <w:trHeight w:val="662"/>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9043CAC" w14:textId="67E58D40" w:rsidR="006B7AD1" w:rsidRPr="000D26BD" w:rsidRDefault="006B7AD1" w:rsidP="0042086C">
            <w:pPr>
              <w:pStyle w:val="Cuerpo"/>
              <w:spacing w:after="0"/>
              <w:jc w:val="center"/>
              <w:rPr>
                <w:sz w:val="20"/>
                <w:szCs w:val="20"/>
              </w:rPr>
            </w:pPr>
            <w:r w:rsidRPr="000D26BD">
              <w:rPr>
                <w:b/>
                <w:bCs/>
                <w:sz w:val="20"/>
                <w:szCs w:val="20"/>
                <w:lang w:val="es-ES_tradnl"/>
              </w:rPr>
              <w:t>La red de prestadores deberá contemplar un sistema de atención primaria, en el cual se otorguen acciones de promoción y prevención de salud.</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256" w:type="dxa"/>
              <w:bottom w:w="80" w:type="dxa"/>
              <w:right w:w="80" w:type="dxa"/>
            </w:tcMar>
            <w:vAlign w:val="center"/>
          </w:tcPr>
          <w:p w14:paraId="3BA6BD13" w14:textId="77777777" w:rsidR="006B7AD1" w:rsidRPr="000D26BD" w:rsidRDefault="006B7AD1" w:rsidP="00682DA0">
            <w:pPr>
              <w:pStyle w:val="Prrafodelista"/>
              <w:spacing w:after="0" w:line="240" w:lineRule="auto"/>
              <w:ind w:left="176"/>
              <w:rPr>
                <w:b/>
                <w:bCs/>
                <w:sz w:val="20"/>
                <w:szCs w:val="20"/>
              </w:rPr>
            </w:pPr>
            <w:r w:rsidRPr="000D26BD">
              <w:rPr>
                <w:b/>
                <w:bCs/>
                <w:sz w:val="20"/>
                <w:szCs w:val="20"/>
              </w:rPr>
              <w:t xml:space="preserve">SE ACOGE, </w:t>
            </w:r>
          </w:p>
          <w:p w14:paraId="48618D49" w14:textId="3187DB90" w:rsidR="006B7AD1" w:rsidRPr="0000425E" w:rsidRDefault="006B7AD1" w:rsidP="006F3AFD">
            <w:pPr>
              <w:rPr>
                <w:sz w:val="20"/>
                <w:szCs w:val="20"/>
                <w:lang w:val="es-CL"/>
              </w:rPr>
            </w:pPr>
            <w:r w:rsidRPr="0000425E">
              <w:rPr>
                <w:b/>
                <w:bCs/>
                <w:sz w:val="20"/>
                <w:szCs w:val="20"/>
                <w:lang w:val="es-CL"/>
              </w:rPr>
              <w:t>Existe en el proyecto el concepto de red, entregando incluso a la superintendencia facultades para modelarlo o definirla.</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6176132B" w14:textId="77777777" w:rsidR="006B7AD1" w:rsidRPr="000D26BD" w:rsidRDefault="006B7AD1" w:rsidP="0042086C">
            <w:pPr>
              <w:jc w:val="center"/>
              <w:rPr>
                <w:rFonts w:ascii="Calibri" w:hAnsi="Calibri"/>
                <w:sz w:val="20"/>
                <w:szCs w:val="20"/>
                <w:lang w:val="es-CL"/>
              </w:rPr>
            </w:pPr>
          </w:p>
        </w:tc>
      </w:tr>
      <w:tr w:rsidR="006B7AD1" w:rsidRPr="000D26BD" w14:paraId="13FA7CD3" w14:textId="77777777" w:rsidTr="006B7AD1">
        <w:trPr>
          <w:trHeight w:val="878"/>
        </w:trPr>
        <w:tc>
          <w:tcPr>
            <w:tcW w:w="5547"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DA5630A" w14:textId="77777777" w:rsidR="006B7AD1" w:rsidRPr="000D26BD" w:rsidRDefault="006B7AD1" w:rsidP="0042086C">
            <w:pPr>
              <w:pStyle w:val="Cuerpo"/>
              <w:spacing w:after="0"/>
              <w:jc w:val="center"/>
              <w:rPr>
                <w:sz w:val="20"/>
                <w:szCs w:val="20"/>
              </w:rPr>
            </w:pPr>
            <w:r w:rsidRPr="000D26BD">
              <w:rPr>
                <w:b/>
                <w:bCs/>
                <w:sz w:val="20"/>
                <w:szCs w:val="20"/>
                <w:lang w:val="es-ES_tradnl"/>
              </w:rPr>
              <w:t>Los prestadores privados que formen parte de la red deberán respetar sistemas de pago de riesgo compartido, no pudiendo cobrar prestaciones de salud más allá de las incluidas ni al paciente ni al seguro.</w:t>
            </w:r>
          </w:p>
        </w:tc>
        <w:tc>
          <w:tcPr>
            <w:tcW w:w="4536"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0" w:type="dxa"/>
              <w:bottom w:w="80" w:type="dxa"/>
              <w:right w:w="80" w:type="dxa"/>
            </w:tcMar>
            <w:vAlign w:val="center"/>
          </w:tcPr>
          <w:p w14:paraId="01161595" w14:textId="77777777" w:rsidR="006B7AD1" w:rsidRPr="000D26BD" w:rsidRDefault="006B7AD1" w:rsidP="00682DA0">
            <w:pPr>
              <w:rPr>
                <w:rFonts w:ascii="Calibri" w:hAnsi="Calibri"/>
                <w:b/>
                <w:bCs/>
                <w:sz w:val="20"/>
                <w:szCs w:val="20"/>
                <w:lang w:val="es-CL"/>
              </w:rPr>
            </w:pPr>
            <w:r w:rsidRPr="000D26BD">
              <w:rPr>
                <w:rFonts w:ascii="Calibri" w:hAnsi="Calibri"/>
                <w:b/>
                <w:bCs/>
                <w:sz w:val="20"/>
                <w:szCs w:val="20"/>
                <w:lang w:val="es-CL"/>
              </w:rPr>
              <w:t>SE ACOGE</w:t>
            </w:r>
          </w:p>
          <w:p w14:paraId="5D1893AA" w14:textId="43F7F70F" w:rsidR="006B7AD1" w:rsidRPr="006F3AFD" w:rsidRDefault="006B7AD1" w:rsidP="006F3AFD">
            <w:pPr>
              <w:rPr>
                <w:b/>
                <w:bCs/>
                <w:sz w:val="20"/>
                <w:szCs w:val="20"/>
                <w:lang w:val="es-CL"/>
              </w:rPr>
            </w:pPr>
            <w:r w:rsidRPr="006F3AFD">
              <w:rPr>
                <w:b/>
                <w:bCs/>
                <w:sz w:val="20"/>
                <w:szCs w:val="20"/>
                <w:lang w:val="es-CL"/>
              </w:rPr>
              <w:t>Es parte de la definición de red y del contenido del plan garantizado de salud.</w:t>
            </w:r>
          </w:p>
        </w:tc>
        <w:tc>
          <w:tcPr>
            <w:tcW w:w="4820" w:type="dxa"/>
            <w:tcBorders>
              <w:top w:val="single" w:sz="12" w:space="0" w:color="000000"/>
              <w:left w:val="single" w:sz="12" w:space="0" w:color="000000"/>
              <w:bottom w:val="single" w:sz="12" w:space="0" w:color="000000"/>
              <w:right w:val="single" w:sz="12" w:space="0" w:color="000000"/>
            </w:tcBorders>
            <w:shd w:val="clear" w:color="auto" w:fill="A8D08D"/>
            <w:tcMar>
              <w:top w:w="80" w:type="dxa"/>
              <w:left w:w="80" w:type="dxa"/>
              <w:bottom w:w="80" w:type="dxa"/>
              <w:right w:w="80" w:type="dxa"/>
            </w:tcMar>
            <w:vAlign w:val="center"/>
          </w:tcPr>
          <w:p w14:paraId="2FF66C97" w14:textId="7C095AB4" w:rsidR="006B7AD1" w:rsidRPr="000D26BD" w:rsidRDefault="006B7AD1" w:rsidP="00B45A28">
            <w:pPr>
              <w:jc w:val="center"/>
              <w:rPr>
                <w:rFonts w:ascii="Calibri" w:hAnsi="Calibri"/>
                <w:b/>
                <w:sz w:val="20"/>
                <w:szCs w:val="20"/>
                <w:lang w:val="es-CL"/>
              </w:rPr>
            </w:pPr>
            <w:r w:rsidRPr="000D26BD">
              <w:rPr>
                <w:rFonts w:ascii="Calibri" w:hAnsi="Calibri"/>
                <w:b/>
                <w:sz w:val="20"/>
                <w:szCs w:val="20"/>
                <w:lang w:val="es-CL"/>
              </w:rPr>
              <w:t>Espíritu del PL.</w:t>
            </w:r>
          </w:p>
          <w:p w14:paraId="12E5C670" w14:textId="77777777" w:rsidR="006B7AD1" w:rsidRPr="000D26BD" w:rsidRDefault="006B7AD1" w:rsidP="0042086C">
            <w:pPr>
              <w:jc w:val="center"/>
              <w:rPr>
                <w:rFonts w:ascii="Calibri" w:hAnsi="Calibri"/>
                <w:sz w:val="20"/>
                <w:szCs w:val="20"/>
                <w:lang w:val="es-CL"/>
              </w:rPr>
            </w:pPr>
          </w:p>
        </w:tc>
      </w:tr>
    </w:tbl>
    <w:p w14:paraId="2FA5E8A0" w14:textId="5A17E491" w:rsidR="00E51010" w:rsidRDefault="00E51010">
      <w:pPr>
        <w:pStyle w:val="Cuerpo"/>
        <w:spacing w:line="240" w:lineRule="auto"/>
      </w:pPr>
    </w:p>
    <w:sectPr w:rsidR="00E51010" w:rsidSect="0000425E">
      <w:headerReference w:type="default" r:id="rId7"/>
      <w:pgSz w:w="18720" w:h="12240" w:orient="landscape" w:code="14"/>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4DBA0" w14:textId="77777777" w:rsidR="00F12CFA" w:rsidRDefault="00F12CFA">
      <w:r>
        <w:separator/>
      </w:r>
    </w:p>
  </w:endnote>
  <w:endnote w:type="continuationSeparator" w:id="0">
    <w:p w14:paraId="766EA86A" w14:textId="77777777" w:rsidR="00F12CFA" w:rsidRDefault="00F1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Bold">
    <w:altName w:val="Trebuchet MS"/>
    <w:charset w:val="00"/>
    <w:family w:val="roman"/>
    <w:pitch w:val="default"/>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02C4" w14:textId="77777777" w:rsidR="00F12CFA" w:rsidRDefault="00F12CFA">
      <w:r>
        <w:separator/>
      </w:r>
    </w:p>
  </w:footnote>
  <w:footnote w:type="continuationSeparator" w:id="0">
    <w:p w14:paraId="2FA4B648" w14:textId="77777777" w:rsidR="00F12CFA" w:rsidRDefault="00F1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787493"/>
      <w:docPartObj>
        <w:docPartGallery w:val="Page Numbers (Top of Page)"/>
        <w:docPartUnique/>
      </w:docPartObj>
    </w:sdtPr>
    <w:sdtEndPr/>
    <w:sdtContent>
      <w:p w14:paraId="434FFFF9" w14:textId="18777018" w:rsidR="000D26BD" w:rsidRDefault="000D26BD">
        <w:pPr>
          <w:pStyle w:val="Encabezado"/>
          <w:jc w:val="center"/>
        </w:pPr>
        <w:r>
          <w:fldChar w:fldCharType="begin"/>
        </w:r>
        <w:r>
          <w:instrText>PAGE   \* MERGEFORMAT</w:instrText>
        </w:r>
        <w:r>
          <w:fldChar w:fldCharType="separate"/>
        </w:r>
        <w:r>
          <w:rPr>
            <w:lang w:val="es-ES"/>
          </w:rPr>
          <w:t>2</w:t>
        </w:r>
        <w:r>
          <w:fldChar w:fldCharType="end"/>
        </w:r>
      </w:p>
    </w:sdtContent>
  </w:sdt>
  <w:p w14:paraId="74436B41" w14:textId="77777777" w:rsidR="00E51010" w:rsidRDefault="00E51010">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C4F"/>
    <w:multiLevelType w:val="multilevel"/>
    <w:tmpl w:val="F9B2D568"/>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1" w15:restartNumberingAfterBreak="0">
    <w:nsid w:val="0F387BDD"/>
    <w:multiLevelType w:val="multilevel"/>
    <w:tmpl w:val="1F58D1C2"/>
    <w:styleLink w:val="List0"/>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2" w15:restartNumberingAfterBreak="0">
    <w:nsid w:val="16E5071E"/>
    <w:multiLevelType w:val="multilevel"/>
    <w:tmpl w:val="952AEE18"/>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3" w15:restartNumberingAfterBreak="0">
    <w:nsid w:val="1BD85A5D"/>
    <w:multiLevelType w:val="multilevel"/>
    <w:tmpl w:val="FBEA02FC"/>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4" w15:restartNumberingAfterBreak="0">
    <w:nsid w:val="1FAD69F8"/>
    <w:multiLevelType w:val="multilevel"/>
    <w:tmpl w:val="5B60CEE2"/>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5" w15:restartNumberingAfterBreak="0">
    <w:nsid w:val="209B0EF3"/>
    <w:multiLevelType w:val="multilevel"/>
    <w:tmpl w:val="8504887C"/>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6" w15:restartNumberingAfterBreak="0">
    <w:nsid w:val="23C62208"/>
    <w:multiLevelType w:val="multilevel"/>
    <w:tmpl w:val="A1B2B142"/>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7" w15:restartNumberingAfterBreak="0">
    <w:nsid w:val="32341FD0"/>
    <w:multiLevelType w:val="hybridMultilevel"/>
    <w:tmpl w:val="BB589AFC"/>
    <w:lvl w:ilvl="0" w:tplc="AB16F92C">
      <w:numFmt w:val="bullet"/>
      <w:lvlText w:val="-"/>
      <w:lvlJc w:val="left"/>
      <w:pPr>
        <w:ind w:left="720" w:hanging="360"/>
      </w:pPr>
      <w:rPr>
        <w:rFonts w:ascii="Calibri" w:eastAsia="Arial Unicode MS"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32718C4"/>
    <w:multiLevelType w:val="multilevel"/>
    <w:tmpl w:val="7B3AD4F2"/>
    <w:lvl w:ilvl="0">
      <w:numFmt w:val="bullet"/>
      <w:lvlText w:val="-"/>
      <w:lvlJc w:val="left"/>
      <w:pPr>
        <w:tabs>
          <w:tab w:val="num" w:pos="176"/>
        </w:tabs>
        <w:ind w:left="176" w:hanging="176"/>
      </w:pPr>
      <w:rPr>
        <w:rFonts w:ascii="Trebuchet MS Bold" w:eastAsia="Trebuchet MS Bold" w:hAnsi="Trebuchet MS Bold" w:cs="Trebuchet MS Bold"/>
        <w:b/>
        <w:bCs/>
        <w:i/>
        <w:i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9" w15:restartNumberingAfterBreak="0">
    <w:nsid w:val="35732B6E"/>
    <w:multiLevelType w:val="multilevel"/>
    <w:tmpl w:val="CE9A87AA"/>
    <w:styleLink w:val="List1"/>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C00000"/>
        <w:spacing w:val="0"/>
        <w:kern w:val="0"/>
        <w:position w:val="0"/>
        <w:sz w:val="22"/>
        <w:szCs w:val="22"/>
        <w:u w:val="none" w:color="C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C00000"/>
        <w:spacing w:val="0"/>
        <w:kern w:val="0"/>
        <w:position w:val="0"/>
        <w:sz w:val="16"/>
        <w:szCs w:val="16"/>
        <w:u w:val="none" w:color="C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C00000"/>
        <w:spacing w:val="0"/>
        <w:kern w:val="0"/>
        <w:position w:val="0"/>
        <w:sz w:val="16"/>
        <w:szCs w:val="16"/>
        <w:u w:val="none" w:color="C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C00000"/>
        <w:spacing w:val="0"/>
        <w:kern w:val="0"/>
        <w:position w:val="0"/>
        <w:sz w:val="16"/>
        <w:szCs w:val="16"/>
        <w:u w:val="none" w:color="C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C00000"/>
        <w:spacing w:val="0"/>
        <w:kern w:val="0"/>
        <w:position w:val="0"/>
        <w:sz w:val="16"/>
        <w:szCs w:val="16"/>
        <w:u w:val="none" w:color="C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C00000"/>
        <w:spacing w:val="0"/>
        <w:kern w:val="0"/>
        <w:position w:val="0"/>
        <w:sz w:val="16"/>
        <w:szCs w:val="16"/>
        <w:u w:val="none" w:color="C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C00000"/>
        <w:spacing w:val="0"/>
        <w:kern w:val="0"/>
        <w:position w:val="0"/>
        <w:sz w:val="16"/>
        <w:szCs w:val="16"/>
        <w:u w:val="none" w:color="C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C00000"/>
        <w:spacing w:val="0"/>
        <w:kern w:val="0"/>
        <w:position w:val="0"/>
        <w:sz w:val="16"/>
        <w:szCs w:val="16"/>
        <w:u w:val="none" w:color="C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C00000"/>
        <w:spacing w:val="0"/>
        <w:kern w:val="0"/>
        <w:position w:val="0"/>
        <w:sz w:val="16"/>
        <w:szCs w:val="16"/>
        <w:u w:val="none" w:color="C00000"/>
        <w:vertAlign w:val="baseline"/>
        <w:lang w:val="es-ES_tradnl"/>
        <w14:textOutline w14:w="0" w14:cap="rnd" w14:cmpd="sng" w14:algn="ctr">
          <w14:noFill/>
          <w14:prstDash w14:val="solid"/>
          <w14:bevel/>
        </w14:textOutline>
      </w:rPr>
    </w:lvl>
  </w:abstractNum>
  <w:abstractNum w:abstractNumId="10" w15:restartNumberingAfterBreak="0">
    <w:nsid w:val="39081E34"/>
    <w:multiLevelType w:val="multilevel"/>
    <w:tmpl w:val="D45A3814"/>
    <w:lvl w:ilvl="0">
      <w:start w:val="1"/>
      <w:numFmt w:val="bullet"/>
      <w:lvlText w:val="-"/>
      <w:lvlJc w:val="left"/>
      <w:pPr>
        <w:tabs>
          <w:tab w:val="num" w:pos="176"/>
        </w:tabs>
        <w:ind w:left="176" w:hanging="176"/>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11" w15:restartNumberingAfterBreak="0">
    <w:nsid w:val="40FF49B1"/>
    <w:multiLevelType w:val="multilevel"/>
    <w:tmpl w:val="BEECEC30"/>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12" w15:restartNumberingAfterBreak="0">
    <w:nsid w:val="43136A47"/>
    <w:multiLevelType w:val="multilevel"/>
    <w:tmpl w:val="FF66AA96"/>
    <w:styleLink w:val="Estiloimportado1"/>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13" w15:restartNumberingAfterBreak="0">
    <w:nsid w:val="49B9762B"/>
    <w:multiLevelType w:val="multilevel"/>
    <w:tmpl w:val="54581D0E"/>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14" w15:restartNumberingAfterBreak="0">
    <w:nsid w:val="50E5289D"/>
    <w:multiLevelType w:val="multilevel"/>
    <w:tmpl w:val="96C8DF48"/>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15" w15:restartNumberingAfterBreak="0">
    <w:nsid w:val="551968EC"/>
    <w:multiLevelType w:val="multilevel"/>
    <w:tmpl w:val="E1D8A4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552C420B"/>
    <w:multiLevelType w:val="multilevel"/>
    <w:tmpl w:val="B4CEB6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554217DC"/>
    <w:multiLevelType w:val="multilevel"/>
    <w:tmpl w:val="F856C6C8"/>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18" w15:restartNumberingAfterBreak="0">
    <w:nsid w:val="58E333D5"/>
    <w:multiLevelType w:val="multilevel"/>
    <w:tmpl w:val="6FE4FD90"/>
    <w:lvl w:ilvl="0">
      <w:numFmt w:val="bullet"/>
      <w:lvlText w:val="-"/>
      <w:lvlJc w:val="left"/>
      <w:pPr>
        <w:tabs>
          <w:tab w:val="num" w:pos="176"/>
        </w:tabs>
        <w:ind w:left="176" w:hanging="176"/>
      </w:pPr>
      <w:rPr>
        <w:rFonts w:ascii="Trebuchet MS Bold" w:eastAsia="Trebuchet MS Bold" w:hAnsi="Trebuchet MS Bold" w:cs="Trebuchet MS Bold"/>
        <w:b/>
        <w:bCs/>
        <w:i/>
        <w:i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i/>
        <w:i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19" w15:restartNumberingAfterBreak="0">
    <w:nsid w:val="5A9F459E"/>
    <w:multiLevelType w:val="multilevel"/>
    <w:tmpl w:val="FB7ECF30"/>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20" w15:restartNumberingAfterBreak="0">
    <w:nsid w:val="61041650"/>
    <w:multiLevelType w:val="multilevel"/>
    <w:tmpl w:val="6928B4CA"/>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21" w15:restartNumberingAfterBreak="0">
    <w:nsid w:val="66190838"/>
    <w:multiLevelType w:val="hybridMultilevel"/>
    <w:tmpl w:val="D0AA8948"/>
    <w:lvl w:ilvl="0" w:tplc="9C527D64">
      <w:numFmt w:val="bullet"/>
      <w:lvlText w:val="-"/>
      <w:lvlJc w:val="left"/>
      <w:pPr>
        <w:ind w:left="360" w:hanging="360"/>
      </w:pPr>
      <w:rPr>
        <w:rFonts w:ascii="Calibri" w:eastAsia="Calibr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6D082DF9"/>
    <w:multiLevelType w:val="multilevel"/>
    <w:tmpl w:val="AB709D6A"/>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23" w15:restartNumberingAfterBreak="0">
    <w:nsid w:val="6DCB40B7"/>
    <w:multiLevelType w:val="multilevel"/>
    <w:tmpl w:val="01BCF4CE"/>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24" w15:restartNumberingAfterBreak="0">
    <w:nsid w:val="780B1B65"/>
    <w:multiLevelType w:val="multilevel"/>
    <w:tmpl w:val="611036B2"/>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25" w15:restartNumberingAfterBreak="0">
    <w:nsid w:val="79FD356C"/>
    <w:multiLevelType w:val="multilevel"/>
    <w:tmpl w:val="3AB46D8C"/>
    <w:lvl w:ilvl="0">
      <w:numFmt w:val="bullet"/>
      <w:lvlText w:val="-"/>
      <w:lvlJc w:val="left"/>
      <w:pPr>
        <w:tabs>
          <w:tab w:val="num" w:pos="176"/>
        </w:tabs>
        <w:ind w:left="176" w:hanging="176"/>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26" w15:restartNumberingAfterBreak="0">
    <w:nsid w:val="7D945EE6"/>
    <w:multiLevelType w:val="multilevel"/>
    <w:tmpl w:val="BB5C26C4"/>
    <w:lvl w:ilvl="0">
      <w:start w:val="1"/>
      <w:numFmt w:val="bullet"/>
      <w:lvlText w:val="-"/>
      <w:lvlJc w:val="left"/>
      <w:pPr>
        <w:tabs>
          <w:tab w:val="num" w:pos="176"/>
        </w:tabs>
        <w:ind w:left="176" w:hanging="176"/>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es-ES_tradnl"/>
        <w14:textOutline w14:w="0" w14:cap="rnd" w14:cmpd="sng" w14:algn="ctr">
          <w14:noFill/>
          <w14:prstDash w14:val="solid"/>
          <w14:bevel/>
        </w14:textOutline>
      </w:rPr>
    </w:lvl>
  </w:abstractNum>
  <w:abstractNum w:abstractNumId="27" w15:restartNumberingAfterBreak="0">
    <w:nsid w:val="7DDA650B"/>
    <w:multiLevelType w:val="hybridMultilevel"/>
    <w:tmpl w:val="62A0F080"/>
    <w:lvl w:ilvl="0" w:tplc="02BA190C">
      <w:numFmt w:val="bullet"/>
      <w:lvlText w:val="-"/>
      <w:lvlJc w:val="left"/>
      <w:pPr>
        <w:ind w:left="720" w:hanging="360"/>
      </w:pPr>
      <w:rPr>
        <w:rFonts w:ascii="Calibri" w:eastAsia="Arial Unicode MS"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8"/>
  </w:num>
  <w:num w:numId="5">
    <w:abstractNumId w:val="5"/>
  </w:num>
  <w:num w:numId="6">
    <w:abstractNumId w:val="8"/>
  </w:num>
  <w:num w:numId="7">
    <w:abstractNumId w:val="26"/>
  </w:num>
  <w:num w:numId="8">
    <w:abstractNumId w:val="16"/>
  </w:num>
  <w:num w:numId="9">
    <w:abstractNumId w:val="25"/>
  </w:num>
  <w:num w:numId="10">
    <w:abstractNumId w:val="0"/>
  </w:num>
  <w:num w:numId="11">
    <w:abstractNumId w:val="17"/>
  </w:num>
  <w:num w:numId="12">
    <w:abstractNumId w:val="14"/>
  </w:num>
  <w:num w:numId="13">
    <w:abstractNumId w:val="6"/>
  </w:num>
  <w:num w:numId="14">
    <w:abstractNumId w:val="20"/>
  </w:num>
  <w:num w:numId="15">
    <w:abstractNumId w:val="3"/>
  </w:num>
  <w:num w:numId="16">
    <w:abstractNumId w:val="22"/>
  </w:num>
  <w:num w:numId="17">
    <w:abstractNumId w:val="11"/>
  </w:num>
  <w:num w:numId="18">
    <w:abstractNumId w:val="13"/>
  </w:num>
  <w:num w:numId="19">
    <w:abstractNumId w:val="24"/>
  </w:num>
  <w:num w:numId="20">
    <w:abstractNumId w:val="19"/>
  </w:num>
  <w:num w:numId="21">
    <w:abstractNumId w:val="23"/>
  </w:num>
  <w:num w:numId="22">
    <w:abstractNumId w:val="4"/>
  </w:num>
  <w:num w:numId="23">
    <w:abstractNumId w:val="9"/>
  </w:num>
  <w:num w:numId="24">
    <w:abstractNumId w:val="1"/>
  </w:num>
  <w:num w:numId="25">
    <w:abstractNumId w:val="12"/>
  </w:num>
  <w:num w:numId="26">
    <w:abstractNumId w:val="27"/>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10"/>
    <w:rsid w:val="0000425E"/>
    <w:rsid w:val="000D26BD"/>
    <w:rsid w:val="00170F18"/>
    <w:rsid w:val="0019056A"/>
    <w:rsid w:val="002327EC"/>
    <w:rsid w:val="0028490A"/>
    <w:rsid w:val="002A7148"/>
    <w:rsid w:val="00370049"/>
    <w:rsid w:val="0042086C"/>
    <w:rsid w:val="00456179"/>
    <w:rsid w:val="005D2EEB"/>
    <w:rsid w:val="00682DA0"/>
    <w:rsid w:val="006B7AD1"/>
    <w:rsid w:val="006F3AFD"/>
    <w:rsid w:val="00773A55"/>
    <w:rsid w:val="008D3D4A"/>
    <w:rsid w:val="008D4E31"/>
    <w:rsid w:val="00937A63"/>
    <w:rsid w:val="00B45A28"/>
    <w:rsid w:val="00BF0C0E"/>
    <w:rsid w:val="00CE4A98"/>
    <w:rsid w:val="00D64757"/>
    <w:rsid w:val="00DD4111"/>
    <w:rsid w:val="00E51010"/>
    <w:rsid w:val="00EE6D43"/>
    <w:rsid w:val="00F12CFA"/>
    <w:rsid w:val="00F130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D891"/>
  <w15:docId w15:val="{DFD16BB4-8902-472B-8035-AFD4F5F3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24"/>
      </w:numPr>
    </w:pPr>
  </w:style>
  <w:style w:type="numbering" w:customStyle="1" w:styleId="Estiloimportado1">
    <w:name w:val="Estilo importado 1"/>
    <w:pPr>
      <w:numPr>
        <w:numId w:val="25"/>
      </w:numPr>
    </w:pPr>
  </w:style>
  <w:style w:type="numbering" w:customStyle="1" w:styleId="List1">
    <w:name w:val="List 1"/>
    <w:basedOn w:val="Estiloimportado10"/>
    <w:pPr>
      <w:numPr>
        <w:numId w:val="23"/>
      </w:numPr>
    </w:pPr>
  </w:style>
  <w:style w:type="numbering" w:customStyle="1" w:styleId="Estiloimportado10">
    <w:name w:val="Estilo importado 1.0"/>
  </w:style>
  <w:style w:type="paragraph" w:styleId="Textodeglobo">
    <w:name w:val="Balloon Text"/>
    <w:basedOn w:val="Normal"/>
    <w:link w:val="TextodegloboCar"/>
    <w:uiPriority w:val="99"/>
    <w:semiHidden/>
    <w:unhideWhenUsed/>
    <w:rsid w:val="00F130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0B5"/>
    <w:rPr>
      <w:rFonts w:ascii="Segoe UI" w:hAnsi="Segoe UI" w:cs="Segoe UI"/>
      <w:sz w:val="18"/>
      <w:szCs w:val="18"/>
      <w:lang w:val="en-US" w:eastAsia="en-US"/>
    </w:rPr>
  </w:style>
  <w:style w:type="paragraph" w:styleId="Encabezado">
    <w:name w:val="header"/>
    <w:basedOn w:val="Normal"/>
    <w:link w:val="EncabezadoCar"/>
    <w:uiPriority w:val="99"/>
    <w:unhideWhenUsed/>
    <w:rsid w:val="000D26BD"/>
    <w:pPr>
      <w:tabs>
        <w:tab w:val="center" w:pos="4419"/>
        <w:tab w:val="right" w:pos="8838"/>
      </w:tabs>
    </w:pPr>
  </w:style>
  <w:style w:type="character" w:customStyle="1" w:styleId="EncabezadoCar">
    <w:name w:val="Encabezado Car"/>
    <w:basedOn w:val="Fuentedeprrafopredeter"/>
    <w:link w:val="Encabezado"/>
    <w:uiPriority w:val="99"/>
    <w:rsid w:val="000D26BD"/>
    <w:rPr>
      <w:sz w:val="24"/>
      <w:szCs w:val="24"/>
      <w:lang w:val="en-US" w:eastAsia="en-US"/>
    </w:rPr>
  </w:style>
  <w:style w:type="paragraph" w:styleId="Piedepgina">
    <w:name w:val="footer"/>
    <w:basedOn w:val="Normal"/>
    <w:link w:val="PiedepginaCar"/>
    <w:uiPriority w:val="99"/>
    <w:unhideWhenUsed/>
    <w:rsid w:val="000D26BD"/>
    <w:pPr>
      <w:tabs>
        <w:tab w:val="center" w:pos="4419"/>
        <w:tab w:val="right" w:pos="8838"/>
      </w:tabs>
    </w:pPr>
  </w:style>
  <w:style w:type="character" w:customStyle="1" w:styleId="PiedepginaCar">
    <w:name w:val="Pie de página Car"/>
    <w:basedOn w:val="Fuentedeprrafopredeter"/>
    <w:link w:val="Piedepgina"/>
    <w:uiPriority w:val="99"/>
    <w:rsid w:val="000D26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4824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Alberto Grossman Benquis</dc:creator>
  <cp:lastModifiedBy>PPEREZ</cp:lastModifiedBy>
  <cp:revision>3</cp:revision>
  <cp:lastPrinted>2019-09-10T13:43:00Z</cp:lastPrinted>
  <dcterms:created xsi:type="dcterms:W3CDTF">2019-09-10T13:21:00Z</dcterms:created>
  <dcterms:modified xsi:type="dcterms:W3CDTF">2019-09-10T14:00:00Z</dcterms:modified>
</cp:coreProperties>
</file>