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07308" w14:textId="77777777" w:rsidR="0007276A" w:rsidRDefault="0007276A" w:rsidP="0007276A">
      <w:pPr>
        <w:pStyle w:val="Citadestacada"/>
        <w:spacing w:before="0" w:after="0" w:line="240" w:lineRule="auto"/>
        <w:rPr>
          <w:b/>
          <w:i w:val="0"/>
        </w:rPr>
      </w:pPr>
      <w:bookmarkStart w:id="0" w:name="_GoBack"/>
      <w:bookmarkEnd w:id="0"/>
      <w:r>
        <w:rPr>
          <w:b/>
          <w:i w:val="0"/>
        </w:rPr>
        <w:t xml:space="preserve">Minuta </w:t>
      </w:r>
      <w:r w:rsidR="00784D5D">
        <w:rPr>
          <w:b/>
          <w:i w:val="0"/>
        </w:rPr>
        <w:t>Senado</w:t>
      </w:r>
    </w:p>
    <w:p w14:paraId="1D39E103" w14:textId="77777777" w:rsidR="00391EC3" w:rsidRPr="0007276A" w:rsidRDefault="00784D5D" w:rsidP="0007276A">
      <w:pPr>
        <w:pStyle w:val="Citadestacada"/>
        <w:spacing w:before="0" w:after="0" w:line="240" w:lineRule="auto"/>
        <w:rPr>
          <w:b/>
          <w:i w:val="0"/>
        </w:rPr>
      </w:pPr>
      <w:r>
        <w:rPr>
          <w:b/>
          <w:i w:val="0"/>
        </w:rPr>
        <w:t>ACLARACIONES RESPECTO DE CRÍTICAS HECHAS AL TPP-11</w:t>
      </w:r>
    </w:p>
    <w:p w14:paraId="5079E12B" w14:textId="77777777" w:rsidR="00391EC3" w:rsidRDefault="00391EC3" w:rsidP="00391EC3">
      <w:pPr>
        <w:spacing w:after="0" w:line="240" w:lineRule="auto"/>
      </w:pPr>
    </w:p>
    <w:p w14:paraId="6C7F7E78" w14:textId="77777777" w:rsidR="00C412FF" w:rsidRPr="002078FB" w:rsidRDefault="00C412FF" w:rsidP="00C412FF">
      <w:pPr>
        <w:pStyle w:val="Prrafodelista"/>
        <w:numPr>
          <w:ilvl w:val="0"/>
          <w:numId w:val="6"/>
        </w:numPr>
        <w:spacing w:after="0" w:line="240" w:lineRule="auto"/>
        <w:jc w:val="both"/>
        <w:rPr>
          <w:rFonts w:cstheme="minorHAnsi"/>
        </w:rPr>
      </w:pPr>
      <w:r w:rsidRPr="002078FB">
        <w:rPr>
          <w:rFonts w:eastAsia="Calibri" w:cstheme="minorHAnsi"/>
          <w:b/>
          <w:u w:val="single"/>
        </w:rPr>
        <w:t>NORMAS SUSPENDIDAS</w:t>
      </w:r>
    </w:p>
    <w:p w14:paraId="7223C3E4" w14:textId="77777777" w:rsidR="00C412FF" w:rsidRPr="002078FB" w:rsidRDefault="00C412FF" w:rsidP="00C412FF">
      <w:pPr>
        <w:pStyle w:val="Prrafodelista"/>
        <w:spacing w:after="0" w:line="240" w:lineRule="auto"/>
        <w:jc w:val="both"/>
        <w:rPr>
          <w:rFonts w:cstheme="minorHAnsi"/>
        </w:rPr>
      </w:pPr>
    </w:p>
    <w:p w14:paraId="611EFD3C" w14:textId="77777777" w:rsidR="00C412FF" w:rsidRPr="002078FB" w:rsidRDefault="00C412FF" w:rsidP="00C412FF">
      <w:pPr>
        <w:spacing w:after="0" w:line="240" w:lineRule="auto"/>
        <w:jc w:val="both"/>
        <w:rPr>
          <w:rFonts w:cstheme="minorHAnsi"/>
        </w:rPr>
      </w:pPr>
      <w:r w:rsidRPr="002078FB">
        <w:rPr>
          <w:rFonts w:cstheme="minorHAnsi"/>
        </w:rPr>
        <w:t>Se ha entendido que el eventual regreso de Estados Unidos al CPTPP, se realizaría de forma automática, reemplazando el texto del CPTPP por el texto original del TPP sin suspensiones.</w:t>
      </w:r>
    </w:p>
    <w:p w14:paraId="7CE5C6ED" w14:textId="77777777" w:rsidR="00C412FF" w:rsidRPr="002078FB" w:rsidRDefault="00C412FF" w:rsidP="00C412FF">
      <w:pPr>
        <w:spacing w:after="0" w:line="240" w:lineRule="auto"/>
        <w:jc w:val="both"/>
        <w:rPr>
          <w:rFonts w:cstheme="minorHAnsi"/>
        </w:rPr>
      </w:pPr>
    </w:p>
    <w:tbl>
      <w:tblPr>
        <w:tblStyle w:val="Tablaconcuadrcula"/>
        <w:tblW w:w="5000" w:type="pct"/>
        <w:tblLook w:val="04A0" w:firstRow="1" w:lastRow="0" w:firstColumn="1" w:lastColumn="0" w:noHBand="0" w:noVBand="1"/>
      </w:tblPr>
      <w:tblGrid>
        <w:gridCol w:w="10070"/>
      </w:tblGrid>
      <w:tr w:rsidR="00C412FF" w:rsidRPr="002078FB" w14:paraId="1D28E2D3" w14:textId="77777777" w:rsidTr="00066133">
        <w:tc>
          <w:tcPr>
            <w:tcW w:w="5000" w:type="pct"/>
          </w:tcPr>
          <w:p w14:paraId="160D7407" w14:textId="18244F4B" w:rsidR="00C412FF" w:rsidRPr="002078FB" w:rsidRDefault="00145D5A" w:rsidP="003B0C56">
            <w:pPr>
              <w:jc w:val="both"/>
              <w:rPr>
                <w:rFonts w:cstheme="minorHAnsi"/>
              </w:rPr>
            </w:pPr>
            <w:r w:rsidRPr="002078FB">
              <w:rPr>
                <w:rFonts w:cstheme="minorHAnsi"/>
              </w:rPr>
              <w:t xml:space="preserve">Las suspensiones se contemplan en el artículo 2 del CPTPP. </w:t>
            </w:r>
            <w:r w:rsidR="00C412FF" w:rsidRPr="002078FB">
              <w:rPr>
                <w:rFonts w:cstheme="minorHAnsi"/>
              </w:rPr>
              <w:t xml:space="preserve">La </w:t>
            </w:r>
            <w:r w:rsidR="00C412FF" w:rsidRPr="002078FB">
              <w:rPr>
                <w:rFonts w:cstheme="minorHAnsi"/>
                <w:b/>
              </w:rPr>
              <w:t>adhesión</w:t>
            </w:r>
            <w:r w:rsidR="00C412FF" w:rsidRPr="002078FB">
              <w:rPr>
                <w:rFonts w:cstheme="minorHAnsi"/>
              </w:rPr>
              <w:t xml:space="preserve"> de Estados Unidos, así como de cualquier otro país, </w:t>
            </w:r>
            <w:r w:rsidR="00C412FF" w:rsidRPr="002078FB">
              <w:rPr>
                <w:rFonts w:cstheme="minorHAnsi"/>
                <w:b/>
              </w:rPr>
              <w:t>requiere del acuerdo de los miembros y se deberá hacer bajo los términos y condiciones que todos los miembros aprueben. Lo anterior, significa que en ningún caso las normas en cuestión automáticamente dejarán de estar suspendida</w:t>
            </w:r>
            <w:r w:rsidR="00C412FF" w:rsidRPr="002078FB">
              <w:rPr>
                <w:rFonts w:cstheme="minorHAnsi"/>
              </w:rPr>
              <w:t xml:space="preserve">s, ya que se exige efectuar una nueva negociación entre los miembros, teniendo </w:t>
            </w:r>
            <w:r w:rsidR="00C412FF" w:rsidRPr="002078FB">
              <w:rPr>
                <w:rFonts w:cstheme="minorHAnsi"/>
                <w:b/>
              </w:rPr>
              <w:t>cada país miembro poder de veto frente a la inclusión de cualquier materia</w:t>
            </w:r>
            <w:r w:rsidR="00C412FF" w:rsidRPr="002078FB">
              <w:rPr>
                <w:rFonts w:cstheme="minorHAnsi"/>
              </w:rPr>
              <w:t xml:space="preserve">. Asimismo, se requiere el cumplimiento de los trámites internos legislativos de cada país, </w:t>
            </w:r>
            <w:r w:rsidR="00C412FF" w:rsidRPr="002078FB">
              <w:rPr>
                <w:rFonts w:cstheme="minorHAnsi"/>
                <w:b/>
              </w:rPr>
              <w:t>en el caso de Chile, se requerirá aprobación del Congreso</w:t>
            </w:r>
            <w:r w:rsidR="00C412FF" w:rsidRPr="002078FB">
              <w:rPr>
                <w:rFonts w:cstheme="minorHAnsi"/>
              </w:rPr>
              <w:t>, lo que se tramitará de la misma forma en que se tramitaría la aprobación de un tratado internacional nuevo.</w:t>
            </w:r>
            <w:r w:rsidRPr="002078FB">
              <w:rPr>
                <w:rFonts w:cstheme="minorHAnsi"/>
              </w:rPr>
              <w:t xml:space="preserve"> </w:t>
            </w:r>
          </w:p>
        </w:tc>
      </w:tr>
    </w:tbl>
    <w:p w14:paraId="35395CD6" w14:textId="77777777" w:rsidR="00C412FF" w:rsidRPr="002078FB" w:rsidRDefault="00C412FF" w:rsidP="00C412FF">
      <w:pPr>
        <w:pStyle w:val="Prrafodelista"/>
        <w:spacing w:after="0" w:line="240" w:lineRule="auto"/>
        <w:jc w:val="both"/>
        <w:rPr>
          <w:rFonts w:eastAsia="Calibri" w:cstheme="minorHAnsi"/>
          <w:b/>
        </w:rPr>
      </w:pPr>
    </w:p>
    <w:p w14:paraId="57EC0A38" w14:textId="6C272813" w:rsidR="00784D5D" w:rsidRPr="002078FB" w:rsidRDefault="009E7F4A" w:rsidP="00C412FF">
      <w:pPr>
        <w:pStyle w:val="Prrafodelista"/>
        <w:numPr>
          <w:ilvl w:val="0"/>
          <w:numId w:val="6"/>
        </w:numPr>
        <w:spacing w:after="0" w:line="240" w:lineRule="auto"/>
        <w:jc w:val="both"/>
        <w:rPr>
          <w:rFonts w:eastAsia="Calibri" w:cstheme="minorHAnsi"/>
          <w:b/>
        </w:rPr>
      </w:pPr>
      <w:r w:rsidRPr="002078FB">
        <w:rPr>
          <w:rFonts w:eastAsia="Calibri" w:cstheme="minorHAnsi"/>
          <w:b/>
          <w:u w:val="single"/>
        </w:rPr>
        <w:t xml:space="preserve">RESTRICCIÓN A LAS FACULTADES REGULATORIAS Y A LA SOBERANÍA </w:t>
      </w:r>
      <w:r w:rsidR="00784D5D" w:rsidRPr="002078FB">
        <w:rPr>
          <w:rFonts w:eastAsia="Calibri" w:cstheme="minorHAnsi"/>
          <w:b/>
          <w:u w:val="single"/>
        </w:rPr>
        <w:t xml:space="preserve">DEL ESTADO </w:t>
      </w:r>
    </w:p>
    <w:p w14:paraId="1550EF06" w14:textId="77777777" w:rsidR="00784D5D" w:rsidRPr="002078FB" w:rsidRDefault="00784D5D" w:rsidP="00C412FF">
      <w:pPr>
        <w:spacing w:after="0" w:line="240" w:lineRule="auto"/>
        <w:jc w:val="both"/>
        <w:rPr>
          <w:rFonts w:eastAsia="Calibri" w:cstheme="minorHAnsi"/>
        </w:rPr>
      </w:pPr>
    </w:p>
    <w:p w14:paraId="5CEE6323" w14:textId="77777777" w:rsidR="00833492" w:rsidRPr="002078FB" w:rsidRDefault="00833492" w:rsidP="00C412FF">
      <w:pPr>
        <w:spacing w:after="0" w:line="240" w:lineRule="auto"/>
        <w:jc w:val="both"/>
        <w:rPr>
          <w:rFonts w:cstheme="minorHAnsi"/>
        </w:rPr>
      </w:pPr>
      <w:r w:rsidRPr="002078FB">
        <w:rPr>
          <w:rFonts w:eastAsia="Calibri" w:cstheme="minorHAnsi"/>
        </w:rPr>
        <w:t xml:space="preserve">En general, </w:t>
      </w:r>
      <w:r w:rsidRPr="002078FB">
        <w:rPr>
          <w:rFonts w:cstheme="minorHAnsi"/>
        </w:rPr>
        <w:t>existe la impresión que el CPTPP impedirá o limitará el derecho soberano del Estado para regular en el ejercicio de su protección a los objetivos de política pública.</w:t>
      </w:r>
    </w:p>
    <w:p w14:paraId="405E2B21" w14:textId="77777777" w:rsidR="00833492" w:rsidRPr="002078FB" w:rsidRDefault="00833492" w:rsidP="00C412FF">
      <w:pPr>
        <w:spacing w:after="0" w:line="240" w:lineRule="auto"/>
        <w:jc w:val="both"/>
        <w:rPr>
          <w:rFonts w:cstheme="minorHAnsi"/>
        </w:rPr>
      </w:pPr>
    </w:p>
    <w:tbl>
      <w:tblPr>
        <w:tblStyle w:val="Tablaconcuadrcula"/>
        <w:tblW w:w="5000" w:type="pct"/>
        <w:tblLook w:val="04A0" w:firstRow="1" w:lastRow="0" w:firstColumn="1" w:lastColumn="0" w:noHBand="0" w:noVBand="1"/>
      </w:tblPr>
      <w:tblGrid>
        <w:gridCol w:w="10070"/>
      </w:tblGrid>
      <w:tr w:rsidR="00833492" w:rsidRPr="002078FB" w14:paraId="29A73AEE" w14:textId="77777777" w:rsidTr="00066133">
        <w:tc>
          <w:tcPr>
            <w:tcW w:w="5000" w:type="pct"/>
          </w:tcPr>
          <w:p w14:paraId="77A95CAA" w14:textId="77777777" w:rsidR="00833492" w:rsidRPr="002078FB" w:rsidRDefault="00833492" w:rsidP="00C412FF">
            <w:pPr>
              <w:jc w:val="both"/>
              <w:rPr>
                <w:rFonts w:cstheme="minorHAnsi"/>
                <w:lang w:val="es-ES_tradnl"/>
              </w:rPr>
            </w:pPr>
            <w:r w:rsidRPr="002078FB">
              <w:rPr>
                <w:rFonts w:cstheme="minorHAnsi"/>
                <w:lang w:val="es-ES_tradnl"/>
              </w:rPr>
              <w:t>Desde el</w:t>
            </w:r>
            <w:r w:rsidRPr="002078FB">
              <w:rPr>
                <w:rFonts w:cstheme="minorHAnsi"/>
                <w:b/>
                <w:lang w:val="es-ES_tradnl"/>
              </w:rPr>
              <w:t xml:space="preserve"> Preámbulo </w:t>
            </w:r>
            <w:r w:rsidRPr="002078FB">
              <w:rPr>
                <w:rFonts w:cstheme="minorHAnsi"/>
                <w:lang w:val="es-ES_tradnl"/>
              </w:rPr>
              <w:t>se reconoce expresamente el derecho inherente de las partes para regular y preservar la flexibilidad para establecer prioridades legislativas y regulatorias, salvaguardar el bienestar público, y proteger objetivos legítimos de bienestar público, tales como la salud pública, la seguridad, el medio ambiente, la conservación de los recursos naturales no renovables vivos o no vivos, la integridad y estabilidad del sistema financiero y la moral pública.</w:t>
            </w:r>
          </w:p>
          <w:p w14:paraId="3754D122" w14:textId="77777777" w:rsidR="00833492" w:rsidRPr="002078FB" w:rsidRDefault="00833492" w:rsidP="00C412FF">
            <w:pPr>
              <w:jc w:val="both"/>
              <w:rPr>
                <w:rFonts w:cstheme="minorHAnsi"/>
              </w:rPr>
            </w:pPr>
            <w:r w:rsidRPr="002078FB">
              <w:rPr>
                <w:rFonts w:cstheme="minorHAnsi"/>
                <w:lang w:val="es-ES_tradnl"/>
              </w:rPr>
              <w:t>Además, existe un</w:t>
            </w:r>
            <w:r w:rsidRPr="002078FB">
              <w:rPr>
                <w:rFonts w:cstheme="minorHAnsi"/>
                <w:b/>
                <w:lang w:val="es-ES_tradnl"/>
              </w:rPr>
              <w:t xml:space="preserve"> capítulo completo (“</w:t>
            </w:r>
            <w:r w:rsidRPr="002078FB">
              <w:rPr>
                <w:rFonts w:cstheme="minorHAnsi"/>
                <w:b/>
              </w:rPr>
              <w:t xml:space="preserve">Excepciones Generales”) </w:t>
            </w:r>
            <w:r w:rsidRPr="002078FB">
              <w:rPr>
                <w:rFonts w:cstheme="minorHAnsi"/>
              </w:rPr>
              <w:t xml:space="preserve">cuyo único fin es resguardar la facultad regulatoria para dictar normas en caso de que ciertos derechos esenciales puedan verse vulnerados, sin que ello signifique estar incumpliendo las obligaciones del acuerdo. </w:t>
            </w:r>
          </w:p>
          <w:p w14:paraId="15599B4B" w14:textId="644F0101" w:rsidR="00833492" w:rsidRPr="002078FB" w:rsidRDefault="00833492" w:rsidP="00C412FF">
            <w:pPr>
              <w:jc w:val="both"/>
              <w:rPr>
                <w:rFonts w:cstheme="minorHAnsi"/>
              </w:rPr>
            </w:pPr>
            <w:r w:rsidRPr="002078FB">
              <w:rPr>
                <w:rFonts w:cstheme="minorHAnsi"/>
              </w:rPr>
              <w:t>El capítulo de Excepciones Generales asegura que los Estados signatarios puedan dictar regulación de interés público, de seguridad nacional o de otras políticas en caso de que una Parte lo considere necesario.</w:t>
            </w:r>
          </w:p>
        </w:tc>
      </w:tr>
    </w:tbl>
    <w:p w14:paraId="0F8C7629" w14:textId="77777777" w:rsidR="00784D5D" w:rsidRPr="002078FB" w:rsidRDefault="00784D5D" w:rsidP="00C412FF">
      <w:pPr>
        <w:spacing w:before="240" w:line="240" w:lineRule="auto"/>
        <w:jc w:val="both"/>
        <w:rPr>
          <w:rFonts w:eastAsia="Calibri" w:cstheme="minorHAnsi"/>
        </w:rPr>
      </w:pPr>
      <w:r w:rsidRPr="002078FB">
        <w:rPr>
          <w:rFonts w:eastAsia="Calibri" w:cstheme="minorHAnsi"/>
        </w:rPr>
        <w:t>Se ha señalado que el Capítulo de Inversiones facilitaría a los inversionistas demandar al Estado a través del sistema de solución de controversias, lo anterior conllevaría a que el Estado no implemente nuevas regulaciones (en material laboral o previsional, por ejemplo) con el objeto de evitar demandas.</w:t>
      </w:r>
    </w:p>
    <w:tbl>
      <w:tblPr>
        <w:tblStyle w:val="Tablaconcuadrcula1"/>
        <w:tblW w:w="5000" w:type="pct"/>
        <w:tblLook w:val="04A0" w:firstRow="1" w:lastRow="0" w:firstColumn="1" w:lastColumn="0" w:noHBand="0" w:noVBand="1"/>
      </w:tblPr>
      <w:tblGrid>
        <w:gridCol w:w="10070"/>
      </w:tblGrid>
      <w:tr w:rsidR="00784D5D" w:rsidRPr="002078FB" w14:paraId="6F2B1542" w14:textId="77777777" w:rsidTr="00066133">
        <w:tc>
          <w:tcPr>
            <w:tcW w:w="5000" w:type="pct"/>
          </w:tcPr>
          <w:p w14:paraId="1A9DB121" w14:textId="77777777" w:rsidR="00784D5D" w:rsidRPr="002078FB" w:rsidRDefault="00784D5D" w:rsidP="00C412FF">
            <w:pPr>
              <w:spacing w:after="240"/>
              <w:jc w:val="both"/>
              <w:rPr>
                <w:rFonts w:eastAsia="Calibri" w:cstheme="minorHAnsi"/>
                <w:sz w:val="22"/>
                <w:szCs w:val="22"/>
              </w:rPr>
            </w:pPr>
            <w:r w:rsidRPr="002078FB">
              <w:rPr>
                <w:rFonts w:eastAsia="Calibri" w:cstheme="minorHAnsi"/>
                <w:sz w:val="22"/>
                <w:szCs w:val="22"/>
              </w:rPr>
              <w:t xml:space="preserve">El </w:t>
            </w:r>
            <w:proofErr w:type="spellStart"/>
            <w:r w:rsidRPr="002078FB">
              <w:rPr>
                <w:rFonts w:eastAsia="Calibri" w:cstheme="minorHAnsi"/>
                <w:sz w:val="22"/>
                <w:szCs w:val="22"/>
              </w:rPr>
              <w:t>sistema</w:t>
            </w:r>
            <w:proofErr w:type="spellEnd"/>
            <w:r w:rsidRPr="002078FB">
              <w:rPr>
                <w:rFonts w:eastAsia="Calibri" w:cstheme="minorHAnsi"/>
                <w:sz w:val="22"/>
                <w:szCs w:val="22"/>
              </w:rPr>
              <w:t xml:space="preserve"> de </w:t>
            </w:r>
            <w:proofErr w:type="spellStart"/>
            <w:r w:rsidRPr="002078FB">
              <w:rPr>
                <w:rFonts w:eastAsia="Calibri" w:cstheme="minorHAnsi"/>
                <w:sz w:val="22"/>
                <w:szCs w:val="22"/>
              </w:rPr>
              <w:t>solución</w:t>
            </w:r>
            <w:proofErr w:type="spellEnd"/>
            <w:r w:rsidRPr="002078FB">
              <w:rPr>
                <w:rFonts w:eastAsia="Calibri" w:cstheme="minorHAnsi"/>
                <w:sz w:val="22"/>
                <w:szCs w:val="22"/>
              </w:rPr>
              <w:t xml:space="preserve"> de </w:t>
            </w:r>
            <w:proofErr w:type="spellStart"/>
            <w:r w:rsidRPr="002078FB">
              <w:rPr>
                <w:rFonts w:eastAsia="Calibri" w:cstheme="minorHAnsi"/>
                <w:sz w:val="22"/>
                <w:szCs w:val="22"/>
              </w:rPr>
              <w:t>controversias</w:t>
            </w:r>
            <w:proofErr w:type="spellEnd"/>
            <w:r w:rsidRPr="002078FB">
              <w:rPr>
                <w:rFonts w:eastAsia="Calibri" w:cstheme="minorHAnsi"/>
                <w:sz w:val="22"/>
                <w:szCs w:val="22"/>
              </w:rPr>
              <w:t xml:space="preserve"> es el </w:t>
            </w:r>
            <w:proofErr w:type="spellStart"/>
            <w:r w:rsidRPr="002078FB">
              <w:rPr>
                <w:rFonts w:eastAsia="Calibri" w:cstheme="minorHAnsi"/>
                <w:sz w:val="22"/>
                <w:szCs w:val="22"/>
              </w:rPr>
              <w:t>mismo</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estándar</w:t>
            </w:r>
            <w:proofErr w:type="spellEnd"/>
            <w:r w:rsidRPr="002078FB">
              <w:rPr>
                <w:rFonts w:eastAsia="Calibri" w:cstheme="minorHAnsi"/>
                <w:sz w:val="22"/>
                <w:szCs w:val="22"/>
              </w:rPr>
              <w:t xml:space="preserve"> al </w:t>
            </w:r>
            <w:proofErr w:type="spellStart"/>
            <w:r w:rsidRPr="002078FB">
              <w:rPr>
                <w:rFonts w:eastAsia="Calibri" w:cstheme="minorHAnsi"/>
                <w:sz w:val="22"/>
                <w:szCs w:val="22"/>
              </w:rPr>
              <w:t>negociado</w:t>
            </w:r>
            <w:proofErr w:type="spellEnd"/>
            <w:r w:rsidRPr="002078FB">
              <w:rPr>
                <w:rFonts w:eastAsia="Calibri" w:cstheme="minorHAnsi"/>
                <w:sz w:val="22"/>
                <w:szCs w:val="22"/>
              </w:rPr>
              <w:t xml:space="preserve"> por </w:t>
            </w:r>
            <w:proofErr w:type="spellStart"/>
            <w:r w:rsidRPr="002078FB">
              <w:rPr>
                <w:rFonts w:eastAsia="Calibri" w:cstheme="minorHAnsi"/>
                <w:sz w:val="22"/>
                <w:szCs w:val="22"/>
              </w:rPr>
              <w:t>más</w:t>
            </w:r>
            <w:proofErr w:type="spellEnd"/>
            <w:r w:rsidRPr="002078FB">
              <w:rPr>
                <w:rFonts w:eastAsia="Calibri" w:cstheme="minorHAnsi"/>
                <w:sz w:val="22"/>
                <w:szCs w:val="22"/>
              </w:rPr>
              <w:t xml:space="preserve"> de 20 </w:t>
            </w:r>
            <w:proofErr w:type="spellStart"/>
            <w:r w:rsidRPr="002078FB">
              <w:rPr>
                <w:rFonts w:eastAsia="Calibri" w:cstheme="minorHAnsi"/>
                <w:sz w:val="22"/>
                <w:szCs w:val="22"/>
              </w:rPr>
              <w:t>años</w:t>
            </w:r>
            <w:proofErr w:type="spellEnd"/>
            <w:r w:rsidRPr="002078FB">
              <w:rPr>
                <w:rFonts w:eastAsia="Calibri" w:cstheme="minorHAnsi"/>
                <w:sz w:val="22"/>
                <w:szCs w:val="22"/>
              </w:rPr>
              <w:t xml:space="preserve"> en los TLCs e </w:t>
            </w:r>
            <w:proofErr w:type="spellStart"/>
            <w:r w:rsidRPr="002078FB">
              <w:rPr>
                <w:rFonts w:eastAsia="Calibri" w:cstheme="minorHAnsi"/>
                <w:sz w:val="22"/>
                <w:szCs w:val="22"/>
              </w:rPr>
              <w:t>incluso</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contiene</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mayores</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flexibilidades</w:t>
            </w:r>
            <w:proofErr w:type="spellEnd"/>
            <w:r w:rsidRPr="002078FB">
              <w:rPr>
                <w:rFonts w:eastAsia="Calibri" w:cstheme="minorHAnsi"/>
                <w:sz w:val="22"/>
                <w:szCs w:val="22"/>
              </w:rPr>
              <w:t xml:space="preserve"> para </w:t>
            </w:r>
            <w:proofErr w:type="spellStart"/>
            <w:r w:rsidRPr="002078FB">
              <w:rPr>
                <w:rFonts w:eastAsia="Calibri" w:cstheme="minorHAnsi"/>
                <w:sz w:val="22"/>
                <w:szCs w:val="22"/>
              </w:rPr>
              <w:t>implementar</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políticas</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públicas</w:t>
            </w:r>
            <w:proofErr w:type="spellEnd"/>
            <w:r w:rsidRPr="002078FB">
              <w:rPr>
                <w:rFonts w:eastAsia="Calibri" w:cstheme="minorHAnsi"/>
                <w:sz w:val="22"/>
                <w:szCs w:val="22"/>
              </w:rPr>
              <w:t xml:space="preserve"> de </w:t>
            </w:r>
            <w:proofErr w:type="spellStart"/>
            <w:r w:rsidRPr="002078FB">
              <w:rPr>
                <w:rFonts w:eastAsia="Calibri" w:cstheme="minorHAnsi"/>
                <w:sz w:val="22"/>
                <w:szCs w:val="22"/>
              </w:rPr>
              <w:t>acuerdo</w:t>
            </w:r>
            <w:proofErr w:type="spellEnd"/>
            <w:r w:rsidRPr="002078FB">
              <w:rPr>
                <w:rFonts w:eastAsia="Calibri" w:cstheme="minorHAnsi"/>
                <w:sz w:val="22"/>
                <w:szCs w:val="22"/>
              </w:rPr>
              <w:t xml:space="preserve"> a </w:t>
            </w:r>
            <w:proofErr w:type="spellStart"/>
            <w:r w:rsidRPr="002078FB">
              <w:rPr>
                <w:rFonts w:eastAsia="Calibri" w:cstheme="minorHAnsi"/>
                <w:sz w:val="22"/>
                <w:szCs w:val="22"/>
              </w:rPr>
              <w:t>nuestros</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intereses</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nacionales</w:t>
            </w:r>
            <w:proofErr w:type="spellEnd"/>
            <w:r w:rsidRPr="002078FB">
              <w:rPr>
                <w:rFonts w:eastAsia="Calibri" w:cstheme="minorHAnsi"/>
                <w:sz w:val="22"/>
                <w:szCs w:val="22"/>
              </w:rPr>
              <w:t xml:space="preserve">. A modo de </w:t>
            </w:r>
            <w:proofErr w:type="spellStart"/>
            <w:r w:rsidRPr="002078FB">
              <w:rPr>
                <w:rFonts w:eastAsia="Calibri" w:cstheme="minorHAnsi"/>
                <w:sz w:val="22"/>
                <w:szCs w:val="22"/>
              </w:rPr>
              <w:t>ejemplo</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destaca</w:t>
            </w:r>
            <w:proofErr w:type="spellEnd"/>
            <w:r w:rsidRPr="002078FB">
              <w:rPr>
                <w:rFonts w:eastAsia="Calibri" w:cstheme="minorHAnsi"/>
                <w:sz w:val="22"/>
                <w:szCs w:val="22"/>
              </w:rPr>
              <w:t xml:space="preserve"> la </w:t>
            </w:r>
            <w:proofErr w:type="spellStart"/>
            <w:r w:rsidRPr="002078FB">
              <w:rPr>
                <w:rFonts w:eastAsia="Calibri" w:cstheme="minorHAnsi"/>
                <w:sz w:val="22"/>
                <w:szCs w:val="22"/>
              </w:rPr>
              <w:t>norma</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contemplada</w:t>
            </w:r>
            <w:proofErr w:type="spellEnd"/>
            <w:r w:rsidRPr="002078FB">
              <w:rPr>
                <w:rFonts w:eastAsia="Calibri" w:cstheme="minorHAnsi"/>
                <w:sz w:val="22"/>
                <w:szCs w:val="22"/>
              </w:rPr>
              <w:t xml:space="preserve"> en el </w:t>
            </w:r>
            <w:proofErr w:type="spellStart"/>
            <w:r w:rsidRPr="002078FB">
              <w:rPr>
                <w:rFonts w:eastAsia="Calibri" w:cstheme="minorHAnsi"/>
                <w:sz w:val="22"/>
                <w:szCs w:val="22"/>
              </w:rPr>
              <w:t>artículo</w:t>
            </w:r>
            <w:proofErr w:type="spellEnd"/>
            <w:r w:rsidRPr="002078FB">
              <w:rPr>
                <w:rFonts w:eastAsia="Calibri" w:cstheme="minorHAnsi"/>
                <w:sz w:val="22"/>
                <w:szCs w:val="22"/>
              </w:rPr>
              <w:t xml:space="preserve"> 9.16 que </w:t>
            </w:r>
            <w:proofErr w:type="spellStart"/>
            <w:r w:rsidRPr="002078FB">
              <w:rPr>
                <w:rFonts w:eastAsia="Calibri" w:cstheme="minorHAnsi"/>
                <w:sz w:val="22"/>
                <w:szCs w:val="22"/>
              </w:rPr>
              <w:t>indica</w:t>
            </w:r>
            <w:proofErr w:type="spellEnd"/>
            <w:r w:rsidRPr="002078FB">
              <w:rPr>
                <w:rFonts w:eastAsia="Calibri" w:cstheme="minorHAnsi"/>
                <w:sz w:val="22"/>
                <w:szCs w:val="22"/>
              </w:rPr>
              <w:t xml:space="preserve"> que nada </w:t>
            </w:r>
            <w:proofErr w:type="spellStart"/>
            <w:r w:rsidRPr="002078FB">
              <w:rPr>
                <w:rFonts w:eastAsia="Calibri" w:cstheme="minorHAnsi"/>
                <w:sz w:val="22"/>
                <w:szCs w:val="22"/>
              </w:rPr>
              <w:t>impide</w:t>
            </w:r>
            <w:proofErr w:type="spellEnd"/>
            <w:r w:rsidRPr="002078FB">
              <w:rPr>
                <w:rFonts w:eastAsia="Calibri" w:cstheme="minorHAnsi"/>
                <w:sz w:val="22"/>
                <w:szCs w:val="22"/>
              </w:rPr>
              <w:t xml:space="preserve"> a los </w:t>
            </w:r>
            <w:proofErr w:type="spellStart"/>
            <w:r w:rsidRPr="002078FB">
              <w:rPr>
                <w:rFonts w:eastAsia="Calibri" w:cstheme="minorHAnsi"/>
                <w:sz w:val="22"/>
                <w:szCs w:val="22"/>
              </w:rPr>
              <w:t>Estados</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adoptar</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mantener</w:t>
            </w:r>
            <w:proofErr w:type="spellEnd"/>
            <w:r w:rsidRPr="002078FB">
              <w:rPr>
                <w:rFonts w:eastAsia="Calibri" w:cstheme="minorHAnsi"/>
                <w:sz w:val="22"/>
                <w:szCs w:val="22"/>
              </w:rPr>
              <w:t xml:space="preserve"> o </w:t>
            </w:r>
            <w:proofErr w:type="spellStart"/>
            <w:r w:rsidRPr="002078FB">
              <w:rPr>
                <w:rFonts w:eastAsia="Calibri" w:cstheme="minorHAnsi"/>
                <w:sz w:val="22"/>
                <w:szCs w:val="22"/>
              </w:rPr>
              <w:t>aplicar</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cualquier</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medida</w:t>
            </w:r>
            <w:proofErr w:type="spellEnd"/>
            <w:r w:rsidRPr="002078FB">
              <w:rPr>
                <w:rFonts w:eastAsia="Calibri" w:cstheme="minorHAnsi"/>
                <w:sz w:val="22"/>
                <w:szCs w:val="22"/>
              </w:rPr>
              <w:t xml:space="preserve"> que </w:t>
            </w:r>
            <w:proofErr w:type="spellStart"/>
            <w:r w:rsidRPr="002078FB">
              <w:rPr>
                <w:rFonts w:eastAsia="Calibri" w:cstheme="minorHAnsi"/>
                <w:sz w:val="22"/>
                <w:szCs w:val="22"/>
              </w:rPr>
              <w:t>consideren</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apropiada</w:t>
            </w:r>
            <w:proofErr w:type="spellEnd"/>
            <w:r w:rsidRPr="002078FB">
              <w:rPr>
                <w:rFonts w:eastAsia="Calibri" w:cstheme="minorHAnsi"/>
                <w:sz w:val="22"/>
                <w:szCs w:val="22"/>
              </w:rPr>
              <w:t xml:space="preserve"> para </w:t>
            </w:r>
            <w:proofErr w:type="spellStart"/>
            <w:r w:rsidRPr="002078FB">
              <w:rPr>
                <w:rFonts w:eastAsia="Calibri" w:cstheme="minorHAnsi"/>
                <w:sz w:val="22"/>
                <w:szCs w:val="22"/>
              </w:rPr>
              <w:t>asegurar</w:t>
            </w:r>
            <w:proofErr w:type="spellEnd"/>
            <w:r w:rsidRPr="002078FB">
              <w:rPr>
                <w:rFonts w:eastAsia="Calibri" w:cstheme="minorHAnsi"/>
                <w:sz w:val="22"/>
                <w:szCs w:val="22"/>
              </w:rPr>
              <w:t xml:space="preserve"> que las </w:t>
            </w:r>
            <w:proofErr w:type="spellStart"/>
            <w:r w:rsidRPr="002078FB">
              <w:rPr>
                <w:rFonts w:eastAsia="Calibri" w:cstheme="minorHAnsi"/>
                <w:sz w:val="22"/>
                <w:szCs w:val="22"/>
              </w:rPr>
              <w:t>inversiones</w:t>
            </w:r>
            <w:proofErr w:type="spellEnd"/>
            <w:r w:rsidRPr="002078FB">
              <w:rPr>
                <w:rFonts w:eastAsia="Calibri" w:cstheme="minorHAnsi"/>
                <w:sz w:val="22"/>
                <w:szCs w:val="22"/>
              </w:rPr>
              <w:t xml:space="preserve"> se </w:t>
            </w:r>
            <w:proofErr w:type="spellStart"/>
            <w:r w:rsidRPr="002078FB">
              <w:rPr>
                <w:rFonts w:eastAsia="Calibri" w:cstheme="minorHAnsi"/>
                <w:sz w:val="22"/>
                <w:szCs w:val="22"/>
              </w:rPr>
              <w:t>desarrollen</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acorde</w:t>
            </w:r>
            <w:proofErr w:type="spellEnd"/>
            <w:r w:rsidRPr="002078FB">
              <w:rPr>
                <w:rFonts w:eastAsia="Calibri" w:cstheme="minorHAnsi"/>
                <w:sz w:val="22"/>
                <w:szCs w:val="22"/>
              </w:rPr>
              <w:t xml:space="preserve"> con los </w:t>
            </w:r>
            <w:proofErr w:type="spellStart"/>
            <w:r w:rsidRPr="002078FB">
              <w:rPr>
                <w:rFonts w:eastAsia="Calibri" w:cstheme="minorHAnsi"/>
                <w:sz w:val="22"/>
                <w:szCs w:val="22"/>
              </w:rPr>
              <w:t>objetivos</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regulatorios</w:t>
            </w:r>
            <w:proofErr w:type="spellEnd"/>
            <w:r w:rsidRPr="002078FB">
              <w:rPr>
                <w:rFonts w:eastAsia="Calibri" w:cstheme="minorHAnsi"/>
                <w:sz w:val="22"/>
                <w:szCs w:val="22"/>
              </w:rPr>
              <w:t xml:space="preserve"> en el </w:t>
            </w:r>
            <w:proofErr w:type="spellStart"/>
            <w:r w:rsidRPr="002078FB">
              <w:rPr>
                <w:rFonts w:eastAsia="Calibri" w:cstheme="minorHAnsi"/>
                <w:sz w:val="22"/>
                <w:szCs w:val="22"/>
              </w:rPr>
              <w:t>ámbito</w:t>
            </w:r>
            <w:proofErr w:type="spellEnd"/>
            <w:r w:rsidRPr="002078FB">
              <w:rPr>
                <w:rFonts w:eastAsia="Calibri" w:cstheme="minorHAnsi"/>
                <w:sz w:val="22"/>
                <w:szCs w:val="22"/>
              </w:rPr>
              <w:t xml:space="preserve"> medio </w:t>
            </w:r>
            <w:proofErr w:type="spellStart"/>
            <w:r w:rsidRPr="002078FB">
              <w:rPr>
                <w:rFonts w:eastAsia="Calibri" w:cstheme="minorHAnsi"/>
                <w:sz w:val="22"/>
                <w:szCs w:val="22"/>
              </w:rPr>
              <w:t>ambiental</w:t>
            </w:r>
            <w:proofErr w:type="spellEnd"/>
            <w:r w:rsidRPr="002078FB">
              <w:rPr>
                <w:rFonts w:eastAsia="Calibri" w:cstheme="minorHAnsi"/>
                <w:sz w:val="22"/>
                <w:szCs w:val="22"/>
              </w:rPr>
              <w:t xml:space="preserve">, de la </w:t>
            </w:r>
            <w:proofErr w:type="spellStart"/>
            <w:r w:rsidRPr="002078FB">
              <w:rPr>
                <w:rFonts w:eastAsia="Calibri" w:cstheme="minorHAnsi"/>
                <w:sz w:val="22"/>
                <w:szCs w:val="22"/>
              </w:rPr>
              <w:t>salud</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pública</w:t>
            </w:r>
            <w:proofErr w:type="spellEnd"/>
            <w:r w:rsidRPr="002078FB">
              <w:rPr>
                <w:rFonts w:eastAsia="Calibri" w:cstheme="minorHAnsi"/>
                <w:sz w:val="22"/>
                <w:szCs w:val="22"/>
              </w:rPr>
              <w:t xml:space="preserve"> u </w:t>
            </w:r>
            <w:proofErr w:type="spellStart"/>
            <w:r w:rsidRPr="002078FB">
              <w:rPr>
                <w:rFonts w:eastAsia="Calibri" w:cstheme="minorHAnsi"/>
                <w:sz w:val="22"/>
                <w:szCs w:val="22"/>
              </w:rPr>
              <w:t>otros</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Así</w:t>
            </w:r>
            <w:proofErr w:type="spellEnd"/>
            <w:r w:rsidRPr="002078FB">
              <w:rPr>
                <w:rFonts w:eastAsia="Calibri" w:cstheme="minorHAnsi"/>
                <w:sz w:val="22"/>
                <w:szCs w:val="22"/>
              </w:rPr>
              <w:t xml:space="preserve">, el </w:t>
            </w:r>
            <w:proofErr w:type="spellStart"/>
            <w:r w:rsidRPr="002078FB">
              <w:rPr>
                <w:rFonts w:eastAsia="Calibri" w:cstheme="minorHAnsi"/>
                <w:sz w:val="22"/>
                <w:szCs w:val="22"/>
              </w:rPr>
              <w:t>Capítulo</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reafirma</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expresamente</w:t>
            </w:r>
            <w:proofErr w:type="spellEnd"/>
            <w:r w:rsidRPr="002078FB">
              <w:rPr>
                <w:rFonts w:eastAsia="Calibri" w:cstheme="minorHAnsi"/>
                <w:sz w:val="22"/>
                <w:szCs w:val="22"/>
              </w:rPr>
              <w:t xml:space="preserve"> el derecho de los </w:t>
            </w:r>
            <w:proofErr w:type="spellStart"/>
            <w:r w:rsidRPr="002078FB">
              <w:rPr>
                <w:rFonts w:eastAsia="Calibri" w:cstheme="minorHAnsi"/>
                <w:sz w:val="22"/>
                <w:szCs w:val="22"/>
              </w:rPr>
              <w:t>Estados</w:t>
            </w:r>
            <w:proofErr w:type="spellEnd"/>
            <w:r w:rsidRPr="002078FB">
              <w:rPr>
                <w:rFonts w:eastAsia="Calibri" w:cstheme="minorHAnsi"/>
                <w:sz w:val="22"/>
                <w:szCs w:val="22"/>
              </w:rPr>
              <w:t xml:space="preserve"> para regular </w:t>
            </w:r>
            <w:proofErr w:type="spellStart"/>
            <w:r w:rsidRPr="002078FB">
              <w:rPr>
                <w:rFonts w:eastAsia="Calibri" w:cstheme="minorHAnsi"/>
                <w:sz w:val="22"/>
                <w:szCs w:val="22"/>
              </w:rPr>
              <w:t>sobre</w:t>
            </w:r>
            <w:proofErr w:type="spellEnd"/>
            <w:r w:rsidRPr="002078FB">
              <w:rPr>
                <w:rFonts w:eastAsia="Calibri" w:cstheme="minorHAnsi"/>
                <w:sz w:val="22"/>
                <w:szCs w:val="22"/>
              </w:rPr>
              <w:t xml:space="preserve"> sus </w:t>
            </w:r>
            <w:proofErr w:type="spellStart"/>
            <w:r w:rsidRPr="002078FB">
              <w:rPr>
                <w:rFonts w:eastAsia="Calibri" w:cstheme="minorHAnsi"/>
                <w:sz w:val="22"/>
                <w:szCs w:val="22"/>
              </w:rPr>
              <w:t>objetivos</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legítimos</w:t>
            </w:r>
            <w:proofErr w:type="spellEnd"/>
            <w:r w:rsidRPr="002078FB">
              <w:rPr>
                <w:rFonts w:eastAsia="Calibri" w:cstheme="minorHAnsi"/>
                <w:sz w:val="22"/>
                <w:szCs w:val="22"/>
              </w:rPr>
              <w:t xml:space="preserve"> de </w:t>
            </w:r>
            <w:proofErr w:type="spellStart"/>
            <w:r w:rsidRPr="002078FB">
              <w:rPr>
                <w:rFonts w:eastAsia="Calibri" w:cstheme="minorHAnsi"/>
                <w:sz w:val="22"/>
                <w:szCs w:val="22"/>
              </w:rPr>
              <w:t>política</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pública</w:t>
            </w:r>
            <w:proofErr w:type="spellEnd"/>
            <w:r w:rsidRPr="002078FB">
              <w:rPr>
                <w:rFonts w:eastAsia="Calibri" w:cstheme="minorHAnsi"/>
                <w:sz w:val="22"/>
                <w:szCs w:val="22"/>
              </w:rPr>
              <w:t xml:space="preserve">, tales </w:t>
            </w:r>
            <w:proofErr w:type="spellStart"/>
            <w:r w:rsidRPr="002078FB">
              <w:rPr>
                <w:rFonts w:eastAsia="Calibri" w:cstheme="minorHAnsi"/>
                <w:sz w:val="22"/>
                <w:szCs w:val="22"/>
              </w:rPr>
              <w:t>como</w:t>
            </w:r>
            <w:proofErr w:type="spellEnd"/>
            <w:r w:rsidRPr="002078FB">
              <w:rPr>
                <w:rFonts w:eastAsia="Calibri" w:cstheme="minorHAnsi"/>
                <w:sz w:val="22"/>
                <w:szCs w:val="22"/>
              </w:rPr>
              <w:t xml:space="preserve"> la </w:t>
            </w:r>
            <w:proofErr w:type="spellStart"/>
            <w:r w:rsidRPr="002078FB">
              <w:rPr>
                <w:rFonts w:eastAsia="Calibri" w:cstheme="minorHAnsi"/>
                <w:sz w:val="22"/>
                <w:szCs w:val="22"/>
              </w:rPr>
              <w:t>protección</w:t>
            </w:r>
            <w:proofErr w:type="spellEnd"/>
            <w:r w:rsidRPr="002078FB">
              <w:rPr>
                <w:rFonts w:eastAsia="Calibri" w:cstheme="minorHAnsi"/>
                <w:sz w:val="22"/>
                <w:szCs w:val="22"/>
              </w:rPr>
              <w:t xml:space="preserve"> de la </w:t>
            </w:r>
            <w:proofErr w:type="spellStart"/>
            <w:r w:rsidRPr="002078FB">
              <w:rPr>
                <w:rFonts w:eastAsia="Calibri" w:cstheme="minorHAnsi"/>
                <w:sz w:val="22"/>
                <w:szCs w:val="22"/>
              </w:rPr>
              <w:t>salud</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seguridad</w:t>
            </w:r>
            <w:proofErr w:type="spellEnd"/>
            <w:r w:rsidRPr="002078FB">
              <w:rPr>
                <w:rFonts w:eastAsia="Calibri" w:cstheme="minorHAnsi"/>
                <w:sz w:val="22"/>
                <w:szCs w:val="22"/>
              </w:rPr>
              <w:t xml:space="preserve">, el medio </w:t>
            </w:r>
            <w:proofErr w:type="spellStart"/>
            <w:r w:rsidRPr="002078FB">
              <w:rPr>
                <w:rFonts w:eastAsia="Calibri" w:cstheme="minorHAnsi"/>
                <w:sz w:val="22"/>
                <w:szCs w:val="22"/>
              </w:rPr>
              <w:t>ambiente</w:t>
            </w:r>
            <w:proofErr w:type="spellEnd"/>
            <w:r w:rsidRPr="002078FB">
              <w:rPr>
                <w:rFonts w:eastAsia="Calibri" w:cstheme="minorHAnsi"/>
                <w:sz w:val="22"/>
                <w:szCs w:val="22"/>
              </w:rPr>
              <w:t xml:space="preserve">, </w:t>
            </w:r>
            <w:r w:rsidRPr="002078FB">
              <w:rPr>
                <w:rFonts w:eastAsia="Calibri" w:cstheme="minorHAnsi"/>
                <w:sz w:val="22"/>
                <w:szCs w:val="22"/>
              </w:rPr>
              <w:lastRenderedPageBreak/>
              <w:t xml:space="preserve">moral </w:t>
            </w:r>
            <w:proofErr w:type="spellStart"/>
            <w:r w:rsidRPr="002078FB">
              <w:rPr>
                <w:rFonts w:eastAsia="Calibri" w:cstheme="minorHAnsi"/>
                <w:sz w:val="22"/>
                <w:szCs w:val="22"/>
              </w:rPr>
              <w:t>pública</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protección</w:t>
            </w:r>
            <w:proofErr w:type="spellEnd"/>
            <w:r w:rsidRPr="002078FB">
              <w:rPr>
                <w:rFonts w:eastAsia="Calibri" w:cstheme="minorHAnsi"/>
                <w:sz w:val="22"/>
                <w:szCs w:val="22"/>
              </w:rPr>
              <w:t xml:space="preserve"> social y </w:t>
            </w:r>
            <w:proofErr w:type="spellStart"/>
            <w:r w:rsidRPr="002078FB">
              <w:rPr>
                <w:rFonts w:eastAsia="Calibri" w:cstheme="minorHAnsi"/>
                <w:sz w:val="22"/>
                <w:szCs w:val="22"/>
              </w:rPr>
              <w:t>protección</w:t>
            </w:r>
            <w:proofErr w:type="spellEnd"/>
            <w:r w:rsidRPr="002078FB">
              <w:rPr>
                <w:rFonts w:eastAsia="Calibri" w:cstheme="minorHAnsi"/>
                <w:sz w:val="22"/>
                <w:szCs w:val="22"/>
              </w:rPr>
              <w:t xml:space="preserve"> al </w:t>
            </w:r>
            <w:proofErr w:type="spellStart"/>
            <w:r w:rsidRPr="002078FB">
              <w:rPr>
                <w:rFonts w:eastAsia="Calibri" w:cstheme="minorHAnsi"/>
                <w:sz w:val="22"/>
                <w:szCs w:val="22"/>
              </w:rPr>
              <w:t>consumidor</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o</w:t>
            </w:r>
            <w:proofErr w:type="spellEnd"/>
            <w:r w:rsidRPr="002078FB">
              <w:rPr>
                <w:rFonts w:eastAsia="Calibri" w:cstheme="minorHAnsi"/>
                <w:sz w:val="22"/>
                <w:szCs w:val="22"/>
              </w:rPr>
              <w:t xml:space="preserve"> la </w:t>
            </w:r>
            <w:proofErr w:type="spellStart"/>
            <w:r w:rsidRPr="002078FB">
              <w:rPr>
                <w:rFonts w:eastAsia="Calibri" w:cstheme="minorHAnsi"/>
                <w:sz w:val="22"/>
                <w:szCs w:val="22"/>
              </w:rPr>
              <w:t>protección</w:t>
            </w:r>
            <w:proofErr w:type="spellEnd"/>
            <w:r w:rsidRPr="002078FB">
              <w:rPr>
                <w:rFonts w:eastAsia="Calibri" w:cstheme="minorHAnsi"/>
                <w:sz w:val="22"/>
                <w:szCs w:val="22"/>
              </w:rPr>
              <w:t xml:space="preserve"> de la </w:t>
            </w:r>
            <w:proofErr w:type="spellStart"/>
            <w:r w:rsidRPr="002078FB">
              <w:rPr>
                <w:rFonts w:eastAsia="Calibri" w:cstheme="minorHAnsi"/>
                <w:sz w:val="22"/>
                <w:szCs w:val="22"/>
              </w:rPr>
              <w:t>diversidad</w:t>
            </w:r>
            <w:proofErr w:type="spellEnd"/>
            <w:r w:rsidRPr="002078FB">
              <w:rPr>
                <w:rFonts w:eastAsia="Calibri" w:cstheme="minorHAnsi"/>
                <w:sz w:val="22"/>
                <w:szCs w:val="22"/>
              </w:rPr>
              <w:t xml:space="preserve"> cultural. El </w:t>
            </w:r>
            <w:proofErr w:type="spellStart"/>
            <w:r w:rsidRPr="002078FB">
              <w:rPr>
                <w:rFonts w:eastAsia="Calibri" w:cstheme="minorHAnsi"/>
                <w:sz w:val="22"/>
                <w:szCs w:val="22"/>
              </w:rPr>
              <w:t>Capítulo</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contiene</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anexos</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donde</w:t>
            </w:r>
            <w:proofErr w:type="spellEnd"/>
            <w:r w:rsidRPr="002078FB">
              <w:rPr>
                <w:rFonts w:eastAsia="Calibri" w:cstheme="minorHAnsi"/>
                <w:sz w:val="22"/>
                <w:szCs w:val="22"/>
              </w:rPr>
              <w:t xml:space="preserve"> Chile se ha </w:t>
            </w:r>
            <w:proofErr w:type="spellStart"/>
            <w:r w:rsidRPr="002078FB">
              <w:rPr>
                <w:rFonts w:eastAsia="Calibri" w:cstheme="minorHAnsi"/>
                <w:sz w:val="22"/>
                <w:szCs w:val="22"/>
              </w:rPr>
              <w:t>reservado</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espacio</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regulatorio</w:t>
            </w:r>
            <w:proofErr w:type="spellEnd"/>
            <w:r w:rsidRPr="002078FB">
              <w:rPr>
                <w:rFonts w:eastAsia="Calibri" w:cstheme="minorHAnsi"/>
                <w:sz w:val="22"/>
                <w:szCs w:val="22"/>
              </w:rPr>
              <w:t xml:space="preserve"> para </w:t>
            </w:r>
            <w:proofErr w:type="spellStart"/>
            <w:r w:rsidRPr="002078FB">
              <w:rPr>
                <w:rFonts w:eastAsia="Calibri" w:cstheme="minorHAnsi"/>
                <w:sz w:val="22"/>
                <w:szCs w:val="22"/>
              </w:rPr>
              <w:t>proteger</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sectores</w:t>
            </w:r>
            <w:proofErr w:type="spellEnd"/>
            <w:r w:rsidRPr="002078FB">
              <w:rPr>
                <w:rFonts w:eastAsia="Calibri" w:cstheme="minorHAnsi"/>
                <w:sz w:val="22"/>
                <w:szCs w:val="22"/>
              </w:rPr>
              <w:t xml:space="preserve"> tan </w:t>
            </w:r>
            <w:proofErr w:type="spellStart"/>
            <w:r w:rsidRPr="002078FB">
              <w:rPr>
                <w:rFonts w:eastAsia="Calibri" w:cstheme="minorHAnsi"/>
                <w:sz w:val="22"/>
                <w:szCs w:val="22"/>
              </w:rPr>
              <w:t>sensibles</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como</w:t>
            </w:r>
            <w:proofErr w:type="spellEnd"/>
            <w:r w:rsidRPr="002078FB">
              <w:rPr>
                <w:rFonts w:eastAsia="Calibri" w:cstheme="minorHAnsi"/>
                <w:sz w:val="22"/>
                <w:szCs w:val="22"/>
              </w:rPr>
              <w:t xml:space="preserve"> la </w:t>
            </w:r>
            <w:proofErr w:type="spellStart"/>
            <w:r w:rsidRPr="002078FB">
              <w:rPr>
                <w:rFonts w:eastAsia="Calibri" w:cstheme="minorHAnsi"/>
                <w:sz w:val="22"/>
                <w:szCs w:val="22"/>
              </w:rPr>
              <w:t>educación</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cultura</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servicios</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sociales</w:t>
            </w:r>
            <w:proofErr w:type="spellEnd"/>
            <w:r w:rsidRPr="002078FB">
              <w:rPr>
                <w:rFonts w:eastAsia="Calibri" w:cstheme="minorHAnsi"/>
                <w:sz w:val="22"/>
                <w:szCs w:val="22"/>
              </w:rPr>
              <w:t xml:space="preserve"> y </w:t>
            </w:r>
            <w:proofErr w:type="spellStart"/>
            <w:r w:rsidRPr="002078FB">
              <w:rPr>
                <w:rFonts w:eastAsia="Calibri" w:cstheme="minorHAnsi"/>
                <w:sz w:val="22"/>
                <w:szCs w:val="22"/>
              </w:rPr>
              <w:t>medioambiente</w:t>
            </w:r>
            <w:proofErr w:type="spellEnd"/>
            <w:r w:rsidRPr="002078FB">
              <w:rPr>
                <w:rFonts w:eastAsia="Calibri" w:cstheme="minorHAnsi"/>
                <w:sz w:val="22"/>
                <w:szCs w:val="22"/>
              </w:rPr>
              <w:t xml:space="preserve">, derechos </w:t>
            </w:r>
            <w:proofErr w:type="spellStart"/>
            <w:r w:rsidRPr="002078FB">
              <w:rPr>
                <w:rFonts w:eastAsia="Calibri" w:cstheme="minorHAnsi"/>
                <w:sz w:val="22"/>
                <w:szCs w:val="22"/>
              </w:rPr>
              <w:t>indígenas</w:t>
            </w:r>
            <w:proofErr w:type="spellEnd"/>
            <w:r w:rsidRPr="002078FB">
              <w:rPr>
                <w:rFonts w:eastAsia="Calibri" w:cstheme="minorHAnsi"/>
                <w:sz w:val="22"/>
                <w:szCs w:val="22"/>
              </w:rPr>
              <w:t xml:space="preserve">, derechos de </w:t>
            </w:r>
            <w:proofErr w:type="spellStart"/>
            <w:r w:rsidRPr="002078FB">
              <w:rPr>
                <w:rFonts w:eastAsia="Calibri" w:cstheme="minorHAnsi"/>
                <w:sz w:val="22"/>
                <w:szCs w:val="22"/>
              </w:rPr>
              <w:t>minorías</w:t>
            </w:r>
            <w:proofErr w:type="spellEnd"/>
            <w:r w:rsidRPr="002078FB">
              <w:rPr>
                <w:rFonts w:eastAsia="Calibri" w:cstheme="minorHAnsi"/>
                <w:sz w:val="22"/>
                <w:szCs w:val="22"/>
              </w:rPr>
              <w:t xml:space="preserve">. Por </w:t>
            </w:r>
            <w:proofErr w:type="spellStart"/>
            <w:r w:rsidRPr="002078FB">
              <w:rPr>
                <w:rFonts w:eastAsia="Calibri" w:cstheme="minorHAnsi"/>
                <w:sz w:val="22"/>
                <w:szCs w:val="22"/>
              </w:rPr>
              <w:t>ejemplo</w:t>
            </w:r>
            <w:proofErr w:type="spellEnd"/>
            <w:r w:rsidRPr="002078FB">
              <w:rPr>
                <w:rFonts w:eastAsia="Calibri" w:cstheme="minorHAnsi"/>
                <w:sz w:val="22"/>
                <w:szCs w:val="22"/>
              </w:rPr>
              <w:t xml:space="preserve">, el Anexo 9-B </w:t>
            </w:r>
            <w:proofErr w:type="spellStart"/>
            <w:r w:rsidRPr="002078FB">
              <w:rPr>
                <w:rFonts w:eastAsia="Calibri" w:cstheme="minorHAnsi"/>
                <w:sz w:val="22"/>
                <w:szCs w:val="22"/>
              </w:rPr>
              <w:t>sobre</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Expropiación</w:t>
            </w:r>
            <w:proofErr w:type="spellEnd"/>
            <w:r w:rsidRPr="002078FB">
              <w:rPr>
                <w:rFonts w:eastAsia="Calibri" w:cstheme="minorHAnsi"/>
                <w:sz w:val="22"/>
                <w:szCs w:val="22"/>
              </w:rPr>
              <w:t xml:space="preserve">, el </w:t>
            </w:r>
            <w:proofErr w:type="spellStart"/>
            <w:r w:rsidRPr="002078FB">
              <w:rPr>
                <w:rFonts w:eastAsia="Calibri" w:cstheme="minorHAnsi"/>
                <w:sz w:val="22"/>
                <w:szCs w:val="22"/>
              </w:rPr>
              <w:t>cual</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establece</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claramente</w:t>
            </w:r>
            <w:proofErr w:type="spellEnd"/>
            <w:r w:rsidRPr="002078FB">
              <w:rPr>
                <w:rFonts w:eastAsia="Calibri" w:cstheme="minorHAnsi"/>
                <w:sz w:val="22"/>
                <w:szCs w:val="22"/>
              </w:rPr>
              <w:t xml:space="preserve"> en </w:t>
            </w:r>
            <w:proofErr w:type="spellStart"/>
            <w:r w:rsidRPr="002078FB">
              <w:rPr>
                <w:rFonts w:eastAsia="Calibri" w:cstheme="minorHAnsi"/>
                <w:sz w:val="22"/>
                <w:szCs w:val="22"/>
              </w:rPr>
              <w:t>qué</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casos</w:t>
            </w:r>
            <w:proofErr w:type="spellEnd"/>
            <w:r w:rsidRPr="002078FB">
              <w:rPr>
                <w:rFonts w:eastAsia="Calibri" w:cstheme="minorHAnsi"/>
                <w:sz w:val="22"/>
                <w:szCs w:val="22"/>
              </w:rPr>
              <w:t xml:space="preserve"> las </w:t>
            </w:r>
            <w:proofErr w:type="spellStart"/>
            <w:r w:rsidRPr="002078FB">
              <w:rPr>
                <w:rFonts w:eastAsia="Calibri" w:cstheme="minorHAnsi"/>
                <w:sz w:val="22"/>
                <w:szCs w:val="22"/>
              </w:rPr>
              <w:t>regulaciones</w:t>
            </w:r>
            <w:proofErr w:type="spellEnd"/>
            <w:r w:rsidRPr="002078FB">
              <w:rPr>
                <w:rFonts w:eastAsia="Calibri" w:cstheme="minorHAnsi"/>
                <w:sz w:val="22"/>
                <w:szCs w:val="22"/>
              </w:rPr>
              <w:t xml:space="preserve"> del Estado </w:t>
            </w:r>
            <w:proofErr w:type="spellStart"/>
            <w:r w:rsidRPr="002078FB">
              <w:rPr>
                <w:rFonts w:eastAsia="Calibri" w:cstheme="minorHAnsi"/>
                <w:sz w:val="22"/>
                <w:szCs w:val="22"/>
              </w:rPr>
              <w:t>nunca</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constituirán</w:t>
            </w:r>
            <w:proofErr w:type="spellEnd"/>
            <w:r w:rsidRPr="002078FB">
              <w:rPr>
                <w:rFonts w:eastAsia="Calibri" w:cstheme="minorHAnsi"/>
                <w:sz w:val="22"/>
                <w:szCs w:val="22"/>
              </w:rPr>
              <w:t xml:space="preserve"> una </w:t>
            </w:r>
            <w:proofErr w:type="spellStart"/>
            <w:r w:rsidRPr="002078FB">
              <w:rPr>
                <w:rFonts w:eastAsia="Calibri" w:cstheme="minorHAnsi"/>
                <w:sz w:val="22"/>
                <w:szCs w:val="22"/>
              </w:rPr>
              <w:t>expropiación</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indirecta</w:t>
            </w:r>
            <w:proofErr w:type="spellEnd"/>
            <w:r w:rsidRPr="002078FB">
              <w:rPr>
                <w:rFonts w:eastAsia="Calibri" w:cstheme="minorHAnsi"/>
                <w:sz w:val="22"/>
                <w:szCs w:val="22"/>
              </w:rPr>
              <w:t xml:space="preserve">. </w:t>
            </w:r>
          </w:p>
          <w:p w14:paraId="2EA0F53D" w14:textId="77777777" w:rsidR="00784D5D" w:rsidRPr="002078FB" w:rsidRDefault="00784D5D" w:rsidP="00C412FF">
            <w:pPr>
              <w:spacing w:after="240"/>
              <w:jc w:val="both"/>
              <w:rPr>
                <w:rFonts w:eastAsia="Calibri" w:cstheme="minorHAnsi"/>
                <w:sz w:val="22"/>
                <w:szCs w:val="22"/>
              </w:rPr>
            </w:pPr>
            <w:r w:rsidRPr="002078FB">
              <w:rPr>
                <w:rFonts w:eastAsia="Calibri" w:cstheme="minorHAnsi"/>
                <w:b/>
                <w:sz w:val="22"/>
                <w:szCs w:val="22"/>
              </w:rPr>
              <w:t xml:space="preserve">Chile no es </w:t>
            </w:r>
            <w:proofErr w:type="spellStart"/>
            <w:r w:rsidRPr="002078FB">
              <w:rPr>
                <w:rFonts w:eastAsia="Calibri" w:cstheme="minorHAnsi"/>
                <w:b/>
                <w:sz w:val="22"/>
                <w:szCs w:val="22"/>
              </w:rPr>
              <w:t>usuario</w:t>
            </w:r>
            <w:proofErr w:type="spellEnd"/>
            <w:r w:rsidRPr="002078FB">
              <w:rPr>
                <w:rFonts w:eastAsia="Calibri" w:cstheme="minorHAnsi"/>
                <w:b/>
                <w:sz w:val="22"/>
                <w:szCs w:val="22"/>
              </w:rPr>
              <w:t xml:space="preserve"> </w:t>
            </w:r>
            <w:proofErr w:type="spellStart"/>
            <w:r w:rsidRPr="002078FB">
              <w:rPr>
                <w:rFonts w:eastAsia="Calibri" w:cstheme="minorHAnsi"/>
                <w:b/>
                <w:sz w:val="22"/>
                <w:szCs w:val="22"/>
              </w:rPr>
              <w:t>activo</w:t>
            </w:r>
            <w:proofErr w:type="spellEnd"/>
            <w:r w:rsidRPr="002078FB">
              <w:rPr>
                <w:rFonts w:eastAsia="Calibri" w:cstheme="minorHAnsi"/>
                <w:b/>
                <w:sz w:val="22"/>
                <w:szCs w:val="22"/>
              </w:rPr>
              <w:t xml:space="preserve"> del </w:t>
            </w:r>
            <w:proofErr w:type="spellStart"/>
            <w:r w:rsidRPr="002078FB">
              <w:rPr>
                <w:rFonts w:eastAsia="Calibri" w:cstheme="minorHAnsi"/>
                <w:b/>
                <w:sz w:val="22"/>
                <w:szCs w:val="22"/>
              </w:rPr>
              <w:t>sistema</w:t>
            </w:r>
            <w:proofErr w:type="spellEnd"/>
            <w:r w:rsidRPr="002078FB">
              <w:rPr>
                <w:rFonts w:eastAsia="Calibri" w:cstheme="minorHAnsi"/>
                <w:b/>
                <w:sz w:val="22"/>
                <w:szCs w:val="22"/>
              </w:rPr>
              <w:t xml:space="preserve"> de </w:t>
            </w:r>
            <w:proofErr w:type="spellStart"/>
            <w:r w:rsidRPr="002078FB">
              <w:rPr>
                <w:rFonts w:eastAsia="Calibri" w:cstheme="minorHAnsi"/>
                <w:b/>
                <w:sz w:val="22"/>
                <w:szCs w:val="22"/>
              </w:rPr>
              <w:t>solución</w:t>
            </w:r>
            <w:proofErr w:type="spellEnd"/>
            <w:r w:rsidRPr="002078FB">
              <w:rPr>
                <w:rFonts w:eastAsia="Calibri" w:cstheme="minorHAnsi"/>
                <w:b/>
                <w:sz w:val="22"/>
                <w:szCs w:val="22"/>
              </w:rPr>
              <w:t xml:space="preserve"> de </w:t>
            </w:r>
            <w:proofErr w:type="spellStart"/>
            <w:r w:rsidRPr="002078FB">
              <w:rPr>
                <w:rFonts w:eastAsia="Calibri" w:cstheme="minorHAnsi"/>
                <w:b/>
                <w:sz w:val="22"/>
                <w:szCs w:val="22"/>
              </w:rPr>
              <w:t>controversias</w:t>
            </w:r>
            <w:proofErr w:type="spellEnd"/>
            <w:r w:rsidRPr="002078FB">
              <w:rPr>
                <w:rFonts w:eastAsia="Calibri" w:cstheme="minorHAnsi"/>
                <w:b/>
                <w:sz w:val="22"/>
                <w:szCs w:val="22"/>
              </w:rPr>
              <w:t xml:space="preserve"> entre </w:t>
            </w:r>
            <w:proofErr w:type="spellStart"/>
            <w:r w:rsidRPr="002078FB">
              <w:rPr>
                <w:rFonts w:eastAsia="Calibri" w:cstheme="minorHAnsi"/>
                <w:b/>
                <w:sz w:val="22"/>
                <w:szCs w:val="22"/>
              </w:rPr>
              <w:t>inversionistas</w:t>
            </w:r>
            <w:proofErr w:type="spellEnd"/>
            <w:r w:rsidRPr="002078FB">
              <w:rPr>
                <w:rFonts w:eastAsia="Calibri" w:cstheme="minorHAnsi"/>
                <w:b/>
                <w:sz w:val="22"/>
                <w:szCs w:val="22"/>
              </w:rPr>
              <w:t xml:space="preserve"> y Estado, a la </w:t>
            </w:r>
            <w:proofErr w:type="spellStart"/>
            <w:r w:rsidRPr="002078FB">
              <w:rPr>
                <w:rFonts w:eastAsia="Calibri" w:cstheme="minorHAnsi"/>
                <w:b/>
                <w:sz w:val="22"/>
                <w:szCs w:val="22"/>
              </w:rPr>
              <w:t>fecha</w:t>
            </w:r>
            <w:proofErr w:type="spellEnd"/>
            <w:r w:rsidRPr="002078FB">
              <w:rPr>
                <w:rFonts w:eastAsia="Calibri" w:cstheme="minorHAnsi"/>
                <w:b/>
                <w:sz w:val="22"/>
                <w:szCs w:val="22"/>
              </w:rPr>
              <w:t xml:space="preserve"> </w:t>
            </w:r>
            <w:proofErr w:type="spellStart"/>
            <w:r w:rsidRPr="002078FB">
              <w:rPr>
                <w:rFonts w:eastAsia="Calibri" w:cstheme="minorHAnsi"/>
                <w:b/>
                <w:sz w:val="22"/>
                <w:szCs w:val="22"/>
              </w:rPr>
              <w:t>sólo</w:t>
            </w:r>
            <w:proofErr w:type="spellEnd"/>
            <w:r w:rsidRPr="002078FB">
              <w:rPr>
                <w:rFonts w:eastAsia="Calibri" w:cstheme="minorHAnsi"/>
                <w:b/>
                <w:sz w:val="22"/>
                <w:szCs w:val="22"/>
              </w:rPr>
              <w:t xml:space="preserve"> ha </w:t>
            </w:r>
            <w:proofErr w:type="spellStart"/>
            <w:r w:rsidRPr="002078FB">
              <w:rPr>
                <w:rFonts w:eastAsia="Calibri" w:cstheme="minorHAnsi"/>
                <w:b/>
                <w:sz w:val="22"/>
                <w:szCs w:val="22"/>
              </w:rPr>
              <w:t>sido</w:t>
            </w:r>
            <w:proofErr w:type="spellEnd"/>
            <w:r w:rsidRPr="002078FB">
              <w:rPr>
                <w:rFonts w:eastAsia="Calibri" w:cstheme="minorHAnsi"/>
                <w:b/>
                <w:sz w:val="22"/>
                <w:szCs w:val="22"/>
              </w:rPr>
              <w:t xml:space="preserve"> </w:t>
            </w:r>
            <w:proofErr w:type="spellStart"/>
            <w:r w:rsidRPr="002078FB">
              <w:rPr>
                <w:rFonts w:eastAsia="Calibri" w:cstheme="minorHAnsi"/>
                <w:b/>
                <w:sz w:val="22"/>
                <w:szCs w:val="22"/>
              </w:rPr>
              <w:t>demandado</w:t>
            </w:r>
            <w:proofErr w:type="spellEnd"/>
            <w:r w:rsidRPr="002078FB">
              <w:rPr>
                <w:rFonts w:eastAsia="Calibri" w:cstheme="minorHAnsi"/>
                <w:b/>
                <w:sz w:val="22"/>
                <w:szCs w:val="22"/>
              </w:rPr>
              <w:t xml:space="preserve"> en 5 </w:t>
            </w:r>
            <w:proofErr w:type="spellStart"/>
            <w:r w:rsidRPr="002078FB">
              <w:rPr>
                <w:rFonts w:eastAsia="Calibri" w:cstheme="minorHAnsi"/>
                <w:b/>
                <w:sz w:val="22"/>
                <w:szCs w:val="22"/>
              </w:rPr>
              <w:t>ocasiones</w:t>
            </w:r>
            <w:proofErr w:type="spellEnd"/>
            <w:r w:rsidRPr="002078FB">
              <w:rPr>
                <w:rFonts w:eastAsia="Calibri" w:cstheme="minorHAnsi"/>
                <w:sz w:val="22"/>
                <w:szCs w:val="22"/>
              </w:rPr>
              <w:t xml:space="preserve">: 1 bajo un </w:t>
            </w:r>
            <w:proofErr w:type="spellStart"/>
            <w:r w:rsidRPr="002078FB">
              <w:rPr>
                <w:rFonts w:eastAsia="Calibri" w:cstheme="minorHAnsi"/>
                <w:sz w:val="22"/>
                <w:szCs w:val="22"/>
              </w:rPr>
              <w:t>Tratado</w:t>
            </w:r>
            <w:proofErr w:type="spellEnd"/>
            <w:r w:rsidRPr="002078FB">
              <w:rPr>
                <w:rFonts w:eastAsia="Calibri" w:cstheme="minorHAnsi"/>
                <w:sz w:val="22"/>
                <w:szCs w:val="22"/>
              </w:rPr>
              <w:t xml:space="preserve"> de Libre Comercio, y 4 bajo los </w:t>
            </w:r>
            <w:proofErr w:type="spellStart"/>
            <w:r w:rsidRPr="002078FB">
              <w:rPr>
                <w:rFonts w:eastAsia="Calibri" w:cstheme="minorHAnsi"/>
                <w:sz w:val="22"/>
                <w:szCs w:val="22"/>
              </w:rPr>
              <w:t>Acuerdos</w:t>
            </w:r>
            <w:proofErr w:type="spellEnd"/>
            <w:r w:rsidRPr="002078FB">
              <w:rPr>
                <w:rFonts w:eastAsia="Calibri" w:cstheme="minorHAnsi"/>
                <w:sz w:val="22"/>
                <w:szCs w:val="22"/>
              </w:rPr>
              <w:t xml:space="preserve"> de </w:t>
            </w:r>
            <w:proofErr w:type="spellStart"/>
            <w:r w:rsidRPr="002078FB">
              <w:rPr>
                <w:rFonts w:eastAsia="Calibri" w:cstheme="minorHAnsi"/>
                <w:sz w:val="22"/>
                <w:szCs w:val="22"/>
              </w:rPr>
              <w:t>Protección</w:t>
            </w:r>
            <w:proofErr w:type="spellEnd"/>
            <w:r w:rsidRPr="002078FB">
              <w:rPr>
                <w:rFonts w:eastAsia="Calibri" w:cstheme="minorHAnsi"/>
                <w:sz w:val="22"/>
                <w:szCs w:val="22"/>
              </w:rPr>
              <w:t xml:space="preserve"> de </w:t>
            </w:r>
            <w:proofErr w:type="spellStart"/>
            <w:r w:rsidRPr="002078FB">
              <w:rPr>
                <w:rFonts w:eastAsia="Calibri" w:cstheme="minorHAnsi"/>
                <w:sz w:val="22"/>
                <w:szCs w:val="22"/>
              </w:rPr>
              <w:t>Inversiones</w:t>
            </w:r>
            <w:proofErr w:type="spellEnd"/>
            <w:r w:rsidRPr="002078FB">
              <w:rPr>
                <w:rFonts w:eastAsia="Calibri" w:cstheme="minorHAnsi"/>
                <w:sz w:val="22"/>
                <w:szCs w:val="22"/>
              </w:rPr>
              <w:t xml:space="preserve"> (APPIs), los que </w:t>
            </w:r>
            <w:proofErr w:type="spellStart"/>
            <w:r w:rsidRPr="002078FB">
              <w:rPr>
                <w:rFonts w:eastAsia="Calibri" w:cstheme="minorHAnsi"/>
                <w:sz w:val="22"/>
                <w:szCs w:val="22"/>
              </w:rPr>
              <w:t>contienen</w:t>
            </w:r>
            <w:proofErr w:type="spellEnd"/>
            <w:r w:rsidRPr="002078FB">
              <w:rPr>
                <w:rFonts w:eastAsia="Calibri" w:cstheme="minorHAnsi"/>
                <w:sz w:val="22"/>
                <w:szCs w:val="22"/>
              </w:rPr>
              <w:t xml:space="preserve"> una </w:t>
            </w:r>
            <w:proofErr w:type="spellStart"/>
            <w:r w:rsidRPr="002078FB">
              <w:rPr>
                <w:rFonts w:eastAsia="Calibri" w:cstheme="minorHAnsi"/>
                <w:sz w:val="22"/>
                <w:szCs w:val="22"/>
              </w:rPr>
              <w:t>normativa</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más</w:t>
            </w:r>
            <w:proofErr w:type="spellEnd"/>
            <w:r w:rsidRPr="002078FB">
              <w:rPr>
                <w:rFonts w:eastAsia="Calibri" w:cstheme="minorHAnsi"/>
                <w:sz w:val="22"/>
                <w:szCs w:val="22"/>
              </w:rPr>
              <w:t xml:space="preserve"> general que la de los TLCs. </w:t>
            </w:r>
            <w:proofErr w:type="spellStart"/>
            <w:r w:rsidRPr="002078FB">
              <w:rPr>
                <w:rFonts w:eastAsia="Calibri" w:cstheme="minorHAnsi"/>
                <w:sz w:val="22"/>
                <w:szCs w:val="22"/>
              </w:rPr>
              <w:t>Respecto</w:t>
            </w:r>
            <w:proofErr w:type="spellEnd"/>
            <w:r w:rsidRPr="002078FB">
              <w:rPr>
                <w:rFonts w:eastAsia="Calibri" w:cstheme="minorHAnsi"/>
                <w:sz w:val="22"/>
                <w:szCs w:val="22"/>
              </w:rPr>
              <w:t xml:space="preserve"> de la </w:t>
            </w:r>
            <w:proofErr w:type="spellStart"/>
            <w:r w:rsidRPr="002078FB">
              <w:rPr>
                <w:rFonts w:eastAsia="Calibri" w:cstheme="minorHAnsi"/>
                <w:sz w:val="22"/>
                <w:szCs w:val="22"/>
              </w:rPr>
              <w:t>crítica</w:t>
            </w:r>
            <w:proofErr w:type="spellEnd"/>
            <w:r w:rsidRPr="002078FB">
              <w:rPr>
                <w:rFonts w:eastAsia="Calibri" w:cstheme="minorHAnsi"/>
                <w:sz w:val="22"/>
                <w:szCs w:val="22"/>
              </w:rPr>
              <w:t xml:space="preserve"> general </w:t>
            </w:r>
            <w:proofErr w:type="spellStart"/>
            <w:r w:rsidRPr="002078FB">
              <w:rPr>
                <w:rFonts w:eastAsia="Calibri" w:cstheme="minorHAnsi"/>
                <w:sz w:val="22"/>
                <w:szCs w:val="22"/>
              </w:rPr>
              <w:t>sobre</w:t>
            </w:r>
            <w:proofErr w:type="spellEnd"/>
            <w:r w:rsidRPr="002078FB">
              <w:rPr>
                <w:rFonts w:eastAsia="Calibri" w:cstheme="minorHAnsi"/>
                <w:sz w:val="22"/>
                <w:szCs w:val="22"/>
              </w:rPr>
              <w:t xml:space="preserve"> el </w:t>
            </w:r>
            <w:proofErr w:type="spellStart"/>
            <w:r w:rsidRPr="002078FB">
              <w:rPr>
                <w:rFonts w:eastAsia="Calibri" w:cstheme="minorHAnsi"/>
                <w:sz w:val="22"/>
                <w:szCs w:val="22"/>
              </w:rPr>
              <w:t>diseño</w:t>
            </w:r>
            <w:proofErr w:type="spellEnd"/>
            <w:r w:rsidRPr="002078FB">
              <w:rPr>
                <w:rFonts w:eastAsia="Calibri" w:cstheme="minorHAnsi"/>
                <w:sz w:val="22"/>
                <w:szCs w:val="22"/>
              </w:rPr>
              <w:t xml:space="preserve"> del </w:t>
            </w:r>
            <w:proofErr w:type="spellStart"/>
            <w:r w:rsidRPr="002078FB">
              <w:rPr>
                <w:rFonts w:eastAsia="Calibri" w:cstheme="minorHAnsi"/>
                <w:sz w:val="22"/>
                <w:szCs w:val="22"/>
              </w:rPr>
              <w:t>sistema</w:t>
            </w:r>
            <w:proofErr w:type="spellEnd"/>
            <w:r w:rsidRPr="002078FB">
              <w:rPr>
                <w:rFonts w:eastAsia="Calibri" w:cstheme="minorHAnsi"/>
                <w:sz w:val="22"/>
                <w:szCs w:val="22"/>
              </w:rPr>
              <w:t xml:space="preserve"> en favor de los </w:t>
            </w:r>
            <w:proofErr w:type="spellStart"/>
            <w:r w:rsidRPr="002078FB">
              <w:rPr>
                <w:rFonts w:eastAsia="Calibri" w:cstheme="minorHAnsi"/>
                <w:sz w:val="22"/>
                <w:szCs w:val="22"/>
              </w:rPr>
              <w:t>inversionistas</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cabe</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indicar</w:t>
            </w:r>
            <w:proofErr w:type="spellEnd"/>
            <w:r w:rsidRPr="002078FB">
              <w:rPr>
                <w:rFonts w:eastAsia="Calibri" w:cstheme="minorHAnsi"/>
                <w:sz w:val="22"/>
                <w:szCs w:val="22"/>
              </w:rPr>
              <w:t xml:space="preserve"> que las </w:t>
            </w:r>
            <w:proofErr w:type="spellStart"/>
            <w:r w:rsidRPr="002078FB">
              <w:rPr>
                <w:rFonts w:eastAsia="Calibri" w:cstheme="minorHAnsi"/>
                <w:sz w:val="22"/>
                <w:szCs w:val="22"/>
              </w:rPr>
              <w:t>estadísticas</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internacionales</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han</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demostrado</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consistentemente</w:t>
            </w:r>
            <w:proofErr w:type="spellEnd"/>
            <w:r w:rsidRPr="002078FB">
              <w:rPr>
                <w:rFonts w:eastAsia="Calibri" w:cstheme="minorHAnsi"/>
                <w:sz w:val="22"/>
                <w:szCs w:val="22"/>
              </w:rPr>
              <w:t xml:space="preserve"> que los </w:t>
            </w:r>
            <w:proofErr w:type="spellStart"/>
            <w:r w:rsidRPr="002078FB">
              <w:rPr>
                <w:rFonts w:eastAsia="Calibri" w:cstheme="minorHAnsi"/>
                <w:sz w:val="22"/>
                <w:szCs w:val="22"/>
              </w:rPr>
              <w:t>tribunales</w:t>
            </w:r>
            <w:proofErr w:type="spellEnd"/>
            <w:r w:rsidRPr="002078FB">
              <w:rPr>
                <w:rFonts w:eastAsia="Calibri" w:cstheme="minorHAnsi"/>
                <w:sz w:val="22"/>
                <w:szCs w:val="22"/>
              </w:rPr>
              <w:t xml:space="preserve"> bajo </w:t>
            </w:r>
            <w:proofErr w:type="spellStart"/>
            <w:r w:rsidRPr="002078FB">
              <w:rPr>
                <w:rFonts w:eastAsia="Calibri" w:cstheme="minorHAnsi"/>
                <w:sz w:val="22"/>
                <w:szCs w:val="22"/>
              </w:rPr>
              <w:t>este</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sistema</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fallan</w:t>
            </w:r>
            <w:proofErr w:type="spellEnd"/>
            <w:r w:rsidRPr="002078FB">
              <w:rPr>
                <w:rFonts w:eastAsia="Calibri" w:cstheme="minorHAnsi"/>
                <w:sz w:val="22"/>
                <w:szCs w:val="22"/>
              </w:rPr>
              <w:t xml:space="preserve"> la </w:t>
            </w:r>
            <w:proofErr w:type="spellStart"/>
            <w:r w:rsidRPr="002078FB">
              <w:rPr>
                <w:rFonts w:eastAsia="Calibri" w:cstheme="minorHAnsi"/>
                <w:sz w:val="22"/>
                <w:szCs w:val="22"/>
              </w:rPr>
              <w:t>mayoría</w:t>
            </w:r>
            <w:proofErr w:type="spellEnd"/>
            <w:r w:rsidRPr="002078FB">
              <w:rPr>
                <w:rFonts w:eastAsia="Calibri" w:cstheme="minorHAnsi"/>
                <w:sz w:val="22"/>
                <w:szCs w:val="22"/>
              </w:rPr>
              <w:t xml:space="preserve"> de las </w:t>
            </w:r>
            <w:proofErr w:type="spellStart"/>
            <w:r w:rsidRPr="002078FB">
              <w:rPr>
                <w:rFonts w:eastAsia="Calibri" w:cstheme="minorHAnsi"/>
                <w:sz w:val="22"/>
                <w:szCs w:val="22"/>
              </w:rPr>
              <w:t>veces</w:t>
            </w:r>
            <w:proofErr w:type="spellEnd"/>
            <w:r w:rsidRPr="002078FB">
              <w:rPr>
                <w:rFonts w:eastAsia="Calibri" w:cstheme="minorHAnsi"/>
                <w:sz w:val="22"/>
                <w:szCs w:val="22"/>
              </w:rPr>
              <w:t xml:space="preserve"> en favor del Estado. Cabe </w:t>
            </w:r>
            <w:proofErr w:type="spellStart"/>
            <w:r w:rsidRPr="002078FB">
              <w:rPr>
                <w:rFonts w:eastAsia="Calibri" w:cstheme="minorHAnsi"/>
                <w:sz w:val="22"/>
                <w:szCs w:val="22"/>
              </w:rPr>
              <w:t>recordar</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también</w:t>
            </w:r>
            <w:proofErr w:type="spellEnd"/>
            <w:r w:rsidRPr="002078FB">
              <w:rPr>
                <w:rFonts w:eastAsia="Calibri" w:cstheme="minorHAnsi"/>
                <w:sz w:val="22"/>
                <w:szCs w:val="22"/>
              </w:rPr>
              <w:t xml:space="preserve"> que </w:t>
            </w:r>
            <w:proofErr w:type="spellStart"/>
            <w:r w:rsidRPr="002078FB">
              <w:rPr>
                <w:rFonts w:eastAsia="Calibri" w:cstheme="minorHAnsi"/>
                <w:sz w:val="22"/>
                <w:szCs w:val="22"/>
              </w:rPr>
              <w:t>este</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sistema</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puede</w:t>
            </w:r>
            <w:proofErr w:type="spellEnd"/>
            <w:r w:rsidRPr="002078FB">
              <w:rPr>
                <w:rFonts w:eastAsia="Calibri" w:cstheme="minorHAnsi"/>
                <w:sz w:val="22"/>
                <w:szCs w:val="22"/>
              </w:rPr>
              <w:t xml:space="preserve"> ser </w:t>
            </w:r>
            <w:proofErr w:type="spellStart"/>
            <w:r w:rsidRPr="002078FB">
              <w:rPr>
                <w:rFonts w:eastAsia="Calibri" w:cstheme="minorHAnsi"/>
                <w:sz w:val="22"/>
                <w:szCs w:val="22"/>
              </w:rPr>
              <w:t>utilizado</w:t>
            </w:r>
            <w:proofErr w:type="spellEnd"/>
            <w:r w:rsidRPr="002078FB">
              <w:rPr>
                <w:rFonts w:eastAsia="Calibri" w:cstheme="minorHAnsi"/>
                <w:sz w:val="22"/>
                <w:szCs w:val="22"/>
              </w:rPr>
              <w:t xml:space="preserve"> por </w:t>
            </w:r>
            <w:proofErr w:type="spellStart"/>
            <w:r w:rsidRPr="002078FB">
              <w:rPr>
                <w:rFonts w:eastAsia="Calibri" w:cstheme="minorHAnsi"/>
                <w:sz w:val="22"/>
                <w:szCs w:val="22"/>
              </w:rPr>
              <w:t>nuestros</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inversionistas</w:t>
            </w:r>
            <w:proofErr w:type="spellEnd"/>
            <w:r w:rsidRPr="002078FB">
              <w:rPr>
                <w:rFonts w:eastAsia="Calibri" w:cstheme="minorHAnsi"/>
                <w:sz w:val="22"/>
                <w:szCs w:val="22"/>
              </w:rPr>
              <w:t xml:space="preserve"> en el exterior, en </w:t>
            </w:r>
            <w:proofErr w:type="spellStart"/>
            <w:r w:rsidRPr="002078FB">
              <w:rPr>
                <w:rFonts w:eastAsia="Calibri" w:cstheme="minorHAnsi"/>
                <w:sz w:val="22"/>
                <w:szCs w:val="22"/>
              </w:rPr>
              <w:t>caso</w:t>
            </w:r>
            <w:proofErr w:type="spellEnd"/>
            <w:r w:rsidRPr="002078FB">
              <w:rPr>
                <w:rFonts w:eastAsia="Calibri" w:cstheme="minorHAnsi"/>
                <w:sz w:val="22"/>
                <w:szCs w:val="22"/>
              </w:rPr>
              <w:t xml:space="preserve"> de una </w:t>
            </w:r>
            <w:proofErr w:type="spellStart"/>
            <w:r w:rsidRPr="002078FB">
              <w:rPr>
                <w:rFonts w:eastAsia="Calibri" w:cstheme="minorHAnsi"/>
                <w:sz w:val="22"/>
                <w:szCs w:val="22"/>
              </w:rPr>
              <w:t>violación</w:t>
            </w:r>
            <w:proofErr w:type="spellEnd"/>
            <w:r w:rsidRPr="002078FB">
              <w:rPr>
                <w:rFonts w:eastAsia="Calibri" w:cstheme="minorHAnsi"/>
                <w:sz w:val="22"/>
                <w:szCs w:val="22"/>
              </w:rPr>
              <w:t xml:space="preserve"> grave de sus derechos por </w:t>
            </w:r>
            <w:proofErr w:type="spellStart"/>
            <w:r w:rsidRPr="002078FB">
              <w:rPr>
                <w:rFonts w:eastAsia="Calibri" w:cstheme="minorHAnsi"/>
                <w:sz w:val="22"/>
                <w:szCs w:val="22"/>
              </w:rPr>
              <w:t>otros</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Estados</w:t>
            </w:r>
            <w:proofErr w:type="spellEnd"/>
            <w:r w:rsidRPr="002078FB">
              <w:rPr>
                <w:rFonts w:eastAsia="Calibri" w:cstheme="minorHAnsi"/>
                <w:sz w:val="22"/>
                <w:szCs w:val="22"/>
              </w:rPr>
              <w:t xml:space="preserve"> del CPTPP. </w:t>
            </w:r>
            <w:proofErr w:type="spellStart"/>
            <w:r w:rsidRPr="002078FB">
              <w:rPr>
                <w:rFonts w:eastAsia="Calibri" w:cstheme="minorHAnsi"/>
                <w:sz w:val="22"/>
                <w:szCs w:val="22"/>
              </w:rPr>
              <w:t>Finalmente</w:t>
            </w:r>
            <w:proofErr w:type="spellEnd"/>
            <w:r w:rsidRPr="002078FB">
              <w:rPr>
                <w:rFonts w:eastAsia="Calibri" w:cstheme="minorHAnsi"/>
                <w:sz w:val="22"/>
                <w:szCs w:val="22"/>
              </w:rPr>
              <w:t xml:space="preserve">, hay que </w:t>
            </w:r>
            <w:proofErr w:type="spellStart"/>
            <w:r w:rsidRPr="002078FB">
              <w:rPr>
                <w:rFonts w:eastAsia="Calibri" w:cstheme="minorHAnsi"/>
                <w:sz w:val="22"/>
                <w:szCs w:val="22"/>
              </w:rPr>
              <w:t>señalar</w:t>
            </w:r>
            <w:proofErr w:type="spellEnd"/>
            <w:r w:rsidRPr="002078FB">
              <w:rPr>
                <w:rFonts w:eastAsia="Calibri" w:cstheme="minorHAnsi"/>
                <w:sz w:val="22"/>
                <w:szCs w:val="22"/>
              </w:rPr>
              <w:t xml:space="preserve"> que </w:t>
            </w:r>
            <w:proofErr w:type="spellStart"/>
            <w:r w:rsidRPr="002078FB">
              <w:rPr>
                <w:rFonts w:eastAsia="Calibri" w:cstheme="minorHAnsi"/>
                <w:sz w:val="22"/>
                <w:szCs w:val="22"/>
              </w:rPr>
              <w:t>este</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Capítulo</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promueve</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además</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medios</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alternativos</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como</w:t>
            </w:r>
            <w:proofErr w:type="spellEnd"/>
            <w:r w:rsidRPr="002078FB">
              <w:rPr>
                <w:rFonts w:eastAsia="Calibri" w:cstheme="minorHAnsi"/>
                <w:sz w:val="22"/>
                <w:szCs w:val="22"/>
              </w:rPr>
              <w:t xml:space="preserve"> las </w:t>
            </w:r>
            <w:proofErr w:type="spellStart"/>
            <w:r w:rsidRPr="002078FB">
              <w:rPr>
                <w:rFonts w:eastAsia="Calibri" w:cstheme="minorHAnsi"/>
                <w:sz w:val="22"/>
                <w:szCs w:val="22"/>
              </w:rPr>
              <w:t>consultas</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obligatorias</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mediación</w:t>
            </w:r>
            <w:proofErr w:type="spellEnd"/>
            <w:r w:rsidRPr="002078FB">
              <w:rPr>
                <w:rFonts w:eastAsia="Calibri" w:cstheme="minorHAnsi"/>
                <w:sz w:val="22"/>
                <w:szCs w:val="22"/>
              </w:rPr>
              <w:t xml:space="preserve"> y </w:t>
            </w:r>
            <w:proofErr w:type="spellStart"/>
            <w:r w:rsidRPr="002078FB">
              <w:rPr>
                <w:rFonts w:eastAsia="Calibri" w:cstheme="minorHAnsi"/>
                <w:sz w:val="22"/>
                <w:szCs w:val="22"/>
              </w:rPr>
              <w:t>conciliación</w:t>
            </w:r>
            <w:proofErr w:type="spellEnd"/>
            <w:r w:rsidRPr="002078FB">
              <w:rPr>
                <w:rFonts w:eastAsia="Calibri" w:cstheme="minorHAnsi"/>
                <w:sz w:val="22"/>
                <w:szCs w:val="22"/>
              </w:rPr>
              <w:t xml:space="preserve">. Ello </w:t>
            </w:r>
            <w:proofErr w:type="spellStart"/>
            <w:r w:rsidRPr="002078FB">
              <w:rPr>
                <w:rFonts w:eastAsia="Calibri" w:cstheme="minorHAnsi"/>
                <w:sz w:val="22"/>
                <w:szCs w:val="22"/>
              </w:rPr>
              <w:t>ampliaría</w:t>
            </w:r>
            <w:proofErr w:type="spellEnd"/>
            <w:r w:rsidRPr="002078FB">
              <w:rPr>
                <w:rFonts w:eastAsia="Calibri" w:cstheme="minorHAnsi"/>
                <w:sz w:val="22"/>
                <w:szCs w:val="22"/>
              </w:rPr>
              <w:t xml:space="preserve"> los </w:t>
            </w:r>
            <w:proofErr w:type="spellStart"/>
            <w:r w:rsidRPr="002078FB">
              <w:rPr>
                <w:rFonts w:eastAsia="Calibri" w:cstheme="minorHAnsi"/>
                <w:sz w:val="22"/>
                <w:szCs w:val="22"/>
              </w:rPr>
              <w:t>incentivos</w:t>
            </w:r>
            <w:proofErr w:type="spellEnd"/>
            <w:r w:rsidRPr="002078FB">
              <w:rPr>
                <w:rFonts w:eastAsia="Calibri" w:cstheme="minorHAnsi"/>
                <w:sz w:val="22"/>
                <w:szCs w:val="22"/>
              </w:rPr>
              <w:t xml:space="preserve"> para </w:t>
            </w:r>
            <w:proofErr w:type="spellStart"/>
            <w:r w:rsidRPr="002078FB">
              <w:rPr>
                <w:rFonts w:eastAsia="Calibri" w:cstheme="minorHAnsi"/>
                <w:sz w:val="22"/>
                <w:szCs w:val="22"/>
              </w:rPr>
              <w:t>aumentar</w:t>
            </w:r>
            <w:proofErr w:type="spellEnd"/>
            <w:r w:rsidRPr="002078FB">
              <w:rPr>
                <w:rFonts w:eastAsia="Calibri" w:cstheme="minorHAnsi"/>
                <w:sz w:val="22"/>
                <w:szCs w:val="22"/>
              </w:rPr>
              <w:t xml:space="preserve"> las </w:t>
            </w:r>
            <w:proofErr w:type="spellStart"/>
            <w:r w:rsidRPr="002078FB">
              <w:rPr>
                <w:rFonts w:eastAsia="Calibri" w:cstheme="minorHAnsi"/>
                <w:sz w:val="22"/>
                <w:szCs w:val="22"/>
              </w:rPr>
              <w:t>inversiones</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chilenas</w:t>
            </w:r>
            <w:proofErr w:type="spellEnd"/>
            <w:r w:rsidRPr="002078FB">
              <w:rPr>
                <w:rFonts w:eastAsia="Calibri" w:cstheme="minorHAnsi"/>
                <w:sz w:val="22"/>
                <w:szCs w:val="22"/>
              </w:rPr>
              <w:t xml:space="preserve"> en la </w:t>
            </w:r>
            <w:proofErr w:type="spellStart"/>
            <w:r w:rsidRPr="002078FB">
              <w:rPr>
                <w:rFonts w:eastAsia="Calibri" w:cstheme="minorHAnsi"/>
                <w:sz w:val="22"/>
                <w:szCs w:val="22"/>
              </w:rPr>
              <w:t>región</w:t>
            </w:r>
            <w:proofErr w:type="spellEnd"/>
            <w:r w:rsidRPr="002078FB">
              <w:rPr>
                <w:rFonts w:eastAsia="Calibri" w:cstheme="minorHAnsi"/>
                <w:sz w:val="22"/>
                <w:szCs w:val="22"/>
              </w:rPr>
              <w:t xml:space="preserve"> CPTPP y al </w:t>
            </w:r>
            <w:proofErr w:type="spellStart"/>
            <w:r w:rsidRPr="002078FB">
              <w:rPr>
                <w:rFonts w:eastAsia="Calibri" w:cstheme="minorHAnsi"/>
                <w:sz w:val="22"/>
                <w:szCs w:val="22"/>
              </w:rPr>
              <w:t>mismo</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tiempo</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favorecer</w:t>
            </w:r>
            <w:proofErr w:type="spellEnd"/>
            <w:r w:rsidRPr="002078FB">
              <w:rPr>
                <w:rFonts w:eastAsia="Calibri" w:cstheme="minorHAnsi"/>
                <w:sz w:val="22"/>
                <w:szCs w:val="22"/>
              </w:rPr>
              <w:t xml:space="preserve"> la </w:t>
            </w:r>
            <w:proofErr w:type="spellStart"/>
            <w:r w:rsidRPr="002078FB">
              <w:rPr>
                <w:rFonts w:eastAsia="Calibri" w:cstheme="minorHAnsi"/>
                <w:sz w:val="22"/>
                <w:szCs w:val="22"/>
              </w:rPr>
              <w:t>atracción</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inversionista</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desde</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otros</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países</w:t>
            </w:r>
            <w:proofErr w:type="spellEnd"/>
            <w:r w:rsidRPr="002078FB">
              <w:rPr>
                <w:rFonts w:eastAsia="Calibri" w:cstheme="minorHAnsi"/>
                <w:sz w:val="22"/>
                <w:szCs w:val="22"/>
              </w:rPr>
              <w:t xml:space="preserve"> CPTPP </w:t>
            </w:r>
            <w:proofErr w:type="spellStart"/>
            <w:r w:rsidRPr="002078FB">
              <w:rPr>
                <w:rFonts w:eastAsia="Calibri" w:cstheme="minorHAnsi"/>
                <w:sz w:val="22"/>
                <w:szCs w:val="22"/>
              </w:rPr>
              <w:t>hacia</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nuestra</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economía</w:t>
            </w:r>
            <w:proofErr w:type="spellEnd"/>
            <w:r w:rsidRPr="002078FB">
              <w:rPr>
                <w:rFonts w:eastAsia="Calibri" w:cstheme="minorHAnsi"/>
                <w:sz w:val="22"/>
                <w:szCs w:val="22"/>
              </w:rPr>
              <w:t>.</w:t>
            </w:r>
          </w:p>
          <w:p w14:paraId="6FECEC1D" w14:textId="77777777" w:rsidR="00784D5D" w:rsidRPr="002078FB" w:rsidRDefault="00784D5D" w:rsidP="00C412FF">
            <w:pPr>
              <w:jc w:val="both"/>
              <w:rPr>
                <w:rFonts w:eastAsia="Calibri" w:cstheme="minorHAnsi"/>
                <w:b/>
                <w:sz w:val="22"/>
                <w:szCs w:val="22"/>
              </w:rPr>
            </w:pPr>
            <w:r w:rsidRPr="00186B4E">
              <w:rPr>
                <w:rFonts w:eastAsia="Calibri" w:cstheme="minorHAnsi"/>
                <w:b/>
                <w:sz w:val="22"/>
                <w:szCs w:val="22"/>
                <w:lang w:val="es-CL"/>
              </w:rPr>
              <w:t xml:space="preserve">Por último, cabe mencionar que se ha dicho que el CPTPP va a impedir que Chile introduzca reformas a su sistema de pensiones. </w:t>
            </w:r>
            <w:r w:rsidRPr="002078FB">
              <w:rPr>
                <w:rFonts w:eastAsia="Calibri" w:cstheme="minorHAnsi"/>
                <w:b/>
                <w:sz w:val="22"/>
                <w:szCs w:val="22"/>
              </w:rPr>
              <w:t xml:space="preserve">Sin embargo, no hay nada en el CPTPP que </w:t>
            </w:r>
            <w:proofErr w:type="spellStart"/>
            <w:r w:rsidRPr="002078FB">
              <w:rPr>
                <w:rFonts w:eastAsia="Calibri" w:cstheme="minorHAnsi"/>
                <w:b/>
                <w:sz w:val="22"/>
                <w:szCs w:val="22"/>
              </w:rPr>
              <w:t>restrinja</w:t>
            </w:r>
            <w:proofErr w:type="spellEnd"/>
            <w:r w:rsidRPr="002078FB">
              <w:rPr>
                <w:rFonts w:eastAsia="Calibri" w:cstheme="minorHAnsi"/>
                <w:b/>
                <w:sz w:val="22"/>
                <w:szCs w:val="22"/>
              </w:rPr>
              <w:t xml:space="preserve"> las </w:t>
            </w:r>
            <w:proofErr w:type="spellStart"/>
            <w:r w:rsidRPr="002078FB">
              <w:rPr>
                <w:rFonts w:eastAsia="Calibri" w:cstheme="minorHAnsi"/>
                <w:b/>
                <w:sz w:val="22"/>
                <w:szCs w:val="22"/>
              </w:rPr>
              <w:t>facultades</w:t>
            </w:r>
            <w:proofErr w:type="spellEnd"/>
            <w:r w:rsidRPr="002078FB">
              <w:rPr>
                <w:rFonts w:eastAsia="Calibri" w:cstheme="minorHAnsi"/>
                <w:b/>
                <w:sz w:val="22"/>
                <w:szCs w:val="22"/>
              </w:rPr>
              <w:t xml:space="preserve"> del Estado de </w:t>
            </w:r>
            <w:proofErr w:type="spellStart"/>
            <w:r w:rsidRPr="002078FB">
              <w:rPr>
                <w:rFonts w:eastAsia="Calibri" w:cstheme="minorHAnsi"/>
                <w:b/>
                <w:sz w:val="22"/>
                <w:szCs w:val="22"/>
              </w:rPr>
              <w:t>introducir</w:t>
            </w:r>
            <w:proofErr w:type="spellEnd"/>
            <w:r w:rsidRPr="002078FB">
              <w:rPr>
                <w:rFonts w:eastAsia="Calibri" w:cstheme="minorHAnsi"/>
                <w:b/>
                <w:sz w:val="22"/>
                <w:szCs w:val="22"/>
              </w:rPr>
              <w:t xml:space="preserve"> las </w:t>
            </w:r>
            <w:proofErr w:type="spellStart"/>
            <w:r w:rsidRPr="002078FB">
              <w:rPr>
                <w:rFonts w:eastAsia="Calibri" w:cstheme="minorHAnsi"/>
                <w:b/>
                <w:sz w:val="22"/>
                <w:szCs w:val="22"/>
              </w:rPr>
              <w:t>reformas</w:t>
            </w:r>
            <w:proofErr w:type="spellEnd"/>
            <w:r w:rsidRPr="002078FB">
              <w:rPr>
                <w:rFonts w:eastAsia="Calibri" w:cstheme="minorHAnsi"/>
                <w:b/>
                <w:sz w:val="22"/>
                <w:szCs w:val="22"/>
              </w:rPr>
              <w:t xml:space="preserve"> que </w:t>
            </w:r>
            <w:proofErr w:type="spellStart"/>
            <w:r w:rsidRPr="002078FB">
              <w:rPr>
                <w:rFonts w:eastAsia="Calibri" w:cstheme="minorHAnsi"/>
                <w:b/>
                <w:sz w:val="22"/>
                <w:szCs w:val="22"/>
              </w:rPr>
              <w:t>considere</w:t>
            </w:r>
            <w:proofErr w:type="spellEnd"/>
            <w:r w:rsidRPr="002078FB">
              <w:rPr>
                <w:rFonts w:eastAsia="Calibri" w:cstheme="minorHAnsi"/>
                <w:b/>
                <w:sz w:val="22"/>
                <w:szCs w:val="22"/>
              </w:rPr>
              <w:t xml:space="preserve"> </w:t>
            </w:r>
            <w:proofErr w:type="spellStart"/>
            <w:r w:rsidRPr="002078FB">
              <w:rPr>
                <w:rFonts w:eastAsia="Calibri" w:cstheme="minorHAnsi"/>
                <w:b/>
                <w:sz w:val="22"/>
                <w:szCs w:val="22"/>
              </w:rPr>
              <w:t>pertinente</w:t>
            </w:r>
            <w:proofErr w:type="spellEnd"/>
            <w:r w:rsidRPr="002078FB">
              <w:rPr>
                <w:rFonts w:eastAsia="Calibri" w:cstheme="minorHAnsi"/>
                <w:b/>
                <w:sz w:val="22"/>
                <w:szCs w:val="22"/>
              </w:rPr>
              <w:t xml:space="preserve"> a </w:t>
            </w:r>
            <w:proofErr w:type="spellStart"/>
            <w:r w:rsidRPr="002078FB">
              <w:rPr>
                <w:rFonts w:eastAsia="Calibri" w:cstheme="minorHAnsi"/>
                <w:b/>
                <w:sz w:val="22"/>
                <w:szCs w:val="22"/>
              </w:rPr>
              <w:t>dicho</w:t>
            </w:r>
            <w:proofErr w:type="spellEnd"/>
            <w:r w:rsidRPr="002078FB">
              <w:rPr>
                <w:rFonts w:eastAsia="Calibri" w:cstheme="minorHAnsi"/>
                <w:b/>
                <w:sz w:val="22"/>
                <w:szCs w:val="22"/>
              </w:rPr>
              <w:t xml:space="preserve"> </w:t>
            </w:r>
            <w:proofErr w:type="spellStart"/>
            <w:r w:rsidRPr="002078FB">
              <w:rPr>
                <w:rFonts w:eastAsia="Calibri" w:cstheme="minorHAnsi"/>
                <w:b/>
                <w:sz w:val="22"/>
                <w:szCs w:val="22"/>
              </w:rPr>
              <w:t>sistema</w:t>
            </w:r>
            <w:proofErr w:type="spellEnd"/>
            <w:r w:rsidRPr="002078FB">
              <w:rPr>
                <w:rFonts w:eastAsia="Calibri" w:cstheme="minorHAnsi"/>
                <w:b/>
                <w:sz w:val="22"/>
                <w:szCs w:val="22"/>
              </w:rPr>
              <w:t>.</w:t>
            </w:r>
          </w:p>
        </w:tc>
      </w:tr>
    </w:tbl>
    <w:p w14:paraId="1AED0352" w14:textId="77777777" w:rsidR="00833492" w:rsidRPr="002078FB" w:rsidRDefault="00833492" w:rsidP="00C412FF">
      <w:pPr>
        <w:spacing w:before="240" w:after="0" w:line="240" w:lineRule="auto"/>
        <w:jc w:val="both"/>
        <w:rPr>
          <w:rFonts w:cstheme="minorHAnsi"/>
        </w:rPr>
      </w:pPr>
      <w:r w:rsidRPr="002078FB">
        <w:rPr>
          <w:rFonts w:cstheme="minorHAnsi"/>
        </w:rPr>
        <w:lastRenderedPageBreak/>
        <w:t>Se ha interpretado que el Capítulo de Coherencia Regulatoria afectaría las facultades regulatorias de los Estados, para lo cual cada Estado necesitaría “autorización” de los otros miembros del CPTPP para modificar su legislación nacional.</w:t>
      </w:r>
    </w:p>
    <w:p w14:paraId="11A5305E" w14:textId="77777777" w:rsidR="00833492" w:rsidRPr="002078FB" w:rsidRDefault="00833492" w:rsidP="00C412FF">
      <w:pPr>
        <w:spacing w:after="0" w:line="240" w:lineRule="auto"/>
        <w:jc w:val="both"/>
        <w:rPr>
          <w:rFonts w:cstheme="minorHAnsi"/>
        </w:rPr>
      </w:pPr>
    </w:p>
    <w:tbl>
      <w:tblPr>
        <w:tblStyle w:val="Tablaconcuadrcula"/>
        <w:tblW w:w="5000" w:type="pct"/>
        <w:tblLook w:val="04A0" w:firstRow="1" w:lastRow="0" w:firstColumn="1" w:lastColumn="0" w:noHBand="0" w:noVBand="1"/>
      </w:tblPr>
      <w:tblGrid>
        <w:gridCol w:w="10070"/>
      </w:tblGrid>
      <w:tr w:rsidR="00833492" w:rsidRPr="002078FB" w14:paraId="0C48C744" w14:textId="77777777" w:rsidTr="00066133">
        <w:tc>
          <w:tcPr>
            <w:tcW w:w="5000" w:type="pct"/>
          </w:tcPr>
          <w:p w14:paraId="093D35E2" w14:textId="77777777" w:rsidR="00833492" w:rsidRPr="002078FB" w:rsidRDefault="00833492" w:rsidP="00C412FF">
            <w:pPr>
              <w:jc w:val="both"/>
              <w:rPr>
                <w:rFonts w:cstheme="minorHAnsi"/>
              </w:rPr>
            </w:pPr>
            <w:r w:rsidRPr="002078FB">
              <w:rPr>
                <w:rFonts w:cstheme="minorHAnsi"/>
              </w:rPr>
              <w:t xml:space="preserve">El CPTPP reconoce el derecho soberano de las partes para identificar sus propias prioridades regulatorias. Se concibe la coherencia regulatoria como el uso de buenas prácticas regulatorias en el proceso de planeación, diseño, adopción, implementación y revisión de medidas regulatorias que tengan el fin de facilitar la consecución de objetivos de políticas públicas domésticas. En este sentido, la coherencia regulatoria comprende distintas etapas de producción de la regulación y su evaluación. Lo que se busca es guiar el proceso productivo de los países Parte (el proceso interno regulatorio) y no fijar condiciones específicas finales del producto (la regulación). </w:t>
            </w:r>
          </w:p>
        </w:tc>
      </w:tr>
    </w:tbl>
    <w:p w14:paraId="5F113CF7" w14:textId="77777777" w:rsidR="00833492" w:rsidRPr="002078FB" w:rsidRDefault="00833492" w:rsidP="00C412FF">
      <w:pPr>
        <w:spacing w:after="0" w:line="240" w:lineRule="auto"/>
        <w:jc w:val="both"/>
        <w:rPr>
          <w:rFonts w:eastAsia="Calibri" w:cstheme="minorHAnsi"/>
          <w:b/>
          <w:u w:val="single"/>
        </w:rPr>
      </w:pPr>
    </w:p>
    <w:p w14:paraId="335CB197" w14:textId="77777777" w:rsidR="00784D5D" w:rsidRPr="002078FB" w:rsidRDefault="00D103A5" w:rsidP="00C412FF">
      <w:pPr>
        <w:pStyle w:val="Prrafodelista"/>
        <w:numPr>
          <w:ilvl w:val="0"/>
          <w:numId w:val="6"/>
        </w:numPr>
        <w:spacing w:after="0" w:line="240" w:lineRule="auto"/>
        <w:jc w:val="both"/>
        <w:rPr>
          <w:rFonts w:eastAsia="Calibri" w:cstheme="minorHAnsi"/>
          <w:b/>
          <w:u w:val="single"/>
        </w:rPr>
      </w:pPr>
      <w:r w:rsidRPr="002078FB">
        <w:rPr>
          <w:rFonts w:eastAsia="Calibri" w:cstheme="minorHAnsi"/>
          <w:b/>
          <w:u w:val="single"/>
        </w:rPr>
        <w:t xml:space="preserve">UPOV91 Y </w:t>
      </w:r>
      <w:r w:rsidR="00784D5D" w:rsidRPr="002078FB">
        <w:rPr>
          <w:rFonts w:eastAsia="Calibri" w:cstheme="minorHAnsi"/>
          <w:b/>
          <w:u w:val="single"/>
        </w:rPr>
        <w:t xml:space="preserve">PRIVATIZACIÓN DE LAS SEMILLAS </w:t>
      </w:r>
    </w:p>
    <w:p w14:paraId="0615A9E0" w14:textId="77777777" w:rsidR="00784D5D" w:rsidRPr="002078FB" w:rsidRDefault="00784D5D" w:rsidP="00C412FF">
      <w:pPr>
        <w:spacing w:after="0" w:line="240" w:lineRule="auto"/>
        <w:jc w:val="both"/>
        <w:rPr>
          <w:rFonts w:eastAsia="Calibri" w:cstheme="minorHAnsi"/>
          <w:b/>
          <w:u w:val="single"/>
        </w:rPr>
      </w:pPr>
    </w:p>
    <w:p w14:paraId="0822BCD0" w14:textId="77777777" w:rsidR="00784D5D" w:rsidRPr="002078FB" w:rsidRDefault="00784D5D" w:rsidP="00C412FF">
      <w:pPr>
        <w:spacing w:line="240" w:lineRule="auto"/>
        <w:jc w:val="both"/>
        <w:rPr>
          <w:rFonts w:eastAsia="Calibri" w:cstheme="minorHAnsi"/>
        </w:rPr>
      </w:pPr>
      <w:r w:rsidRPr="002078FB">
        <w:rPr>
          <w:rFonts w:eastAsia="Calibri" w:cstheme="minorHAnsi"/>
        </w:rPr>
        <w:t>En relación al compromiso para adherir el Tratado UPOV 91, sobre protección de nuevas obtenciones vegetales, se ha señalado que atentaría contra los recursos genéticos endémicos nacionales, tales como el maqui, la murtilla y la quinoa, así como también, potenciaría a los transgénicos.</w:t>
      </w:r>
    </w:p>
    <w:tbl>
      <w:tblPr>
        <w:tblStyle w:val="Tablaconcuadrcula1"/>
        <w:tblW w:w="5000" w:type="pct"/>
        <w:tblLook w:val="04A0" w:firstRow="1" w:lastRow="0" w:firstColumn="1" w:lastColumn="0" w:noHBand="0" w:noVBand="1"/>
      </w:tblPr>
      <w:tblGrid>
        <w:gridCol w:w="10070"/>
      </w:tblGrid>
      <w:tr w:rsidR="00784D5D" w:rsidRPr="002078FB" w14:paraId="47AE8160" w14:textId="77777777" w:rsidTr="00066133">
        <w:tc>
          <w:tcPr>
            <w:tcW w:w="5000" w:type="pct"/>
          </w:tcPr>
          <w:p w14:paraId="37B22126" w14:textId="77777777" w:rsidR="00784D5D" w:rsidRPr="002078FB" w:rsidRDefault="00784D5D" w:rsidP="00C412FF">
            <w:pPr>
              <w:jc w:val="both"/>
              <w:rPr>
                <w:rFonts w:eastAsia="Calibri" w:cstheme="minorHAnsi"/>
                <w:sz w:val="22"/>
                <w:szCs w:val="22"/>
              </w:rPr>
            </w:pPr>
            <w:r w:rsidRPr="00186B4E">
              <w:rPr>
                <w:rFonts w:eastAsia="Calibri" w:cstheme="minorHAnsi"/>
                <w:sz w:val="22"/>
                <w:szCs w:val="22"/>
                <w:lang w:val="es-CL"/>
              </w:rPr>
              <w:t xml:space="preserve">Al respecto, cabe señalar que el artículo 18.7 del </w:t>
            </w:r>
            <w:r w:rsidRPr="00186B4E">
              <w:rPr>
                <w:rFonts w:eastAsia="Calibri" w:cstheme="minorHAnsi"/>
                <w:b/>
                <w:sz w:val="22"/>
                <w:szCs w:val="22"/>
                <w:lang w:val="es-CL"/>
              </w:rPr>
              <w:t xml:space="preserve">CPTPP sólo reitera el compromiso de ratificar el Tratado UPOV91, que fuera asumido por Chile en </w:t>
            </w:r>
            <w:r w:rsidR="00E457BE" w:rsidRPr="00186B4E">
              <w:rPr>
                <w:rFonts w:eastAsia="Calibri" w:cstheme="minorHAnsi"/>
                <w:b/>
                <w:sz w:val="22"/>
                <w:szCs w:val="22"/>
                <w:lang w:val="es-CL"/>
              </w:rPr>
              <w:t xml:space="preserve">3 </w:t>
            </w:r>
            <w:r w:rsidRPr="00186B4E">
              <w:rPr>
                <w:rFonts w:eastAsia="Calibri" w:cstheme="minorHAnsi"/>
                <w:b/>
                <w:sz w:val="22"/>
                <w:szCs w:val="22"/>
                <w:lang w:val="es-CL"/>
              </w:rPr>
              <w:t>acuerdos anteriores</w:t>
            </w:r>
            <w:r w:rsidRPr="00186B4E">
              <w:rPr>
                <w:rFonts w:eastAsia="Calibri" w:cstheme="minorHAnsi"/>
                <w:sz w:val="22"/>
                <w:szCs w:val="22"/>
                <w:lang w:val="es-CL"/>
              </w:rPr>
              <w:t xml:space="preserve">, (TLCs con Estados Unidos, Australia y Japón), </w:t>
            </w:r>
            <w:r w:rsidRPr="00186B4E">
              <w:rPr>
                <w:rFonts w:eastAsia="Calibri" w:cstheme="minorHAnsi"/>
                <w:b/>
                <w:sz w:val="22"/>
                <w:szCs w:val="22"/>
                <w:lang w:val="es-CL"/>
              </w:rPr>
              <w:t>y que fue aprobado por el Congreso en 2011</w:t>
            </w:r>
            <w:r w:rsidRPr="00186B4E">
              <w:rPr>
                <w:rFonts w:eastAsia="Calibri" w:cstheme="minorHAnsi"/>
                <w:sz w:val="22"/>
                <w:szCs w:val="22"/>
                <w:lang w:val="es-CL"/>
              </w:rPr>
              <w:t xml:space="preserve">. Por lo tanto, </w:t>
            </w:r>
            <w:r w:rsidRPr="00186B4E">
              <w:rPr>
                <w:rFonts w:eastAsia="Calibri" w:cstheme="minorHAnsi"/>
                <w:b/>
                <w:sz w:val="22"/>
                <w:szCs w:val="22"/>
                <w:lang w:val="es-CL"/>
              </w:rPr>
              <w:t>respecto al derecho de los obtentores vegetales,</w:t>
            </w:r>
            <w:r w:rsidRPr="00186B4E">
              <w:rPr>
                <w:rFonts w:eastAsia="Calibri" w:cstheme="minorHAnsi"/>
                <w:sz w:val="22"/>
                <w:szCs w:val="22"/>
                <w:lang w:val="es-CL"/>
              </w:rPr>
              <w:t xml:space="preserve"> </w:t>
            </w:r>
            <w:r w:rsidRPr="00186B4E">
              <w:rPr>
                <w:rFonts w:eastAsia="Calibri" w:cstheme="minorHAnsi"/>
                <w:b/>
                <w:sz w:val="22"/>
                <w:szCs w:val="22"/>
                <w:lang w:val="es-CL"/>
              </w:rPr>
              <w:t>no se han adquirido compromisos adicionales en esta materia</w:t>
            </w:r>
            <w:r w:rsidRPr="00186B4E">
              <w:rPr>
                <w:rFonts w:eastAsia="Calibri" w:cstheme="minorHAnsi"/>
                <w:sz w:val="22"/>
                <w:szCs w:val="22"/>
                <w:lang w:val="es-CL"/>
              </w:rPr>
              <w:t>.</w:t>
            </w:r>
            <w:r w:rsidR="00E457BE" w:rsidRPr="00186B4E">
              <w:rPr>
                <w:rFonts w:eastAsia="Calibri" w:cstheme="minorHAnsi"/>
                <w:sz w:val="22"/>
                <w:szCs w:val="22"/>
                <w:lang w:val="es-CL"/>
              </w:rPr>
              <w:t xml:space="preserve"> Por lo tanto, las preocupaciones que se generen en torno a este tema, deberán solucionarse durante la tramitación de la ley de implementación de UPOV91 </w:t>
            </w:r>
            <w:r w:rsidR="00E457BE" w:rsidRPr="00186B4E">
              <w:rPr>
                <w:rFonts w:eastAsia="Calibri" w:cstheme="minorHAnsi"/>
                <w:sz w:val="22"/>
                <w:szCs w:val="22"/>
                <w:lang w:val="es-CL"/>
              </w:rPr>
              <w:lastRenderedPageBreak/>
              <w:t xml:space="preserve">(Ley de Obtentores Vegetales). </w:t>
            </w:r>
            <w:r w:rsidR="00E457BE" w:rsidRPr="002078FB">
              <w:rPr>
                <w:rFonts w:eastAsia="Calibri" w:cstheme="minorHAnsi"/>
                <w:sz w:val="22"/>
                <w:szCs w:val="22"/>
              </w:rPr>
              <w:t xml:space="preserve">En </w:t>
            </w:r>
            <w:proofErr w:type="spellStart"/>
            <w:r w:rsidR="00E457BE" w:rsidRPr="002078FB">
              <w:rPr>
                <w:rFonts w:eastAsia="Calibri" w:cstheme="minorHAnsi"/>
                <w:sz w:val="22"/>
                <w:szCs w:val="22"/>
              </w:rPr>
              <w:t>este</w:t>
            </w:r>
            <w:proofErr w:type="spellEnd"/>
            <w:r w:rsidR="00E457BE" w:rsidRPr="002078FB">
              <w:rPr>
                <w:rFonts w:eastAsia="Calibri" w:cstheme="minorHAnsi"/>
                <w:sz w:val="22"/>
                <w:szCs w:val="22"/>
              </w:rPr>
              <w:t xml:space="preserve"> </w:t>
            </w:r>
            <w:proofErr w:type="spellStart"/>
            <w:r w:rsidR="00E457BE" w:rsidRPr="002078FB">
              <w:rPr>
                <w:rFonts w:eastAsia="Calibri" w:cstheme="minorHAnsi"/>
                <w:sz w:val="22"/>
                <w:szCs w:val="22"/>
              </w:rPr>
              <w:t>sentido</w:t>
            </w:r>
            <w:proofErr w:type="spellEnd"/>
            <w:r w:rsidR="00E457BE" w:rsidRPr="002078FB">
              <w:rPr>
                <w:rFonts w:eastAsia="Calibri" w:cstheme="minorHAnsi"/>
                <w:sz w:val="22"/>
                <w:szCs w:val="22"/>
              </w:rPr>
              <w:t xml:space="preserve">, </w:t>
            </w:r>
            <w:r w:rsidR="00E457BE" w:rsidRPr="002078FB">
              <w:rPr>
                <w:rFonts w:eastAsia="Calibri" w:cstheme="minorHAnsi"/>
                <w:b/>
                <w:sz w:val="22"/>
                <w:szCs w:val="22"/>
              </w:rPr>
              <w:t xml:space="preserve">la </w:t>
            </w:r>
            <w:proofErr w:type="spellStart"/>
            <w:r w:rsidR="00E457BE" w:rsidRPr="002078FB">
              <w:rPr>
                <w:rFonts w:eastAsia="Calibri" w:cstheme="minorHAnsi"/>
                <w:b/>
                <w:sz w:val="22"/>
                <w:szCs w:val="22"/>
              </w:rPr>
              <w:t>aprobación</w:t>
            </w:r>
            <w:proofErr w:type="spellEnd"/>
            <w:r w:rsidR="00E457BE" w:rsidRPr="002078FB">
              <w:rPr>
                <w:rFonts w:eastAsia="Calibri" w:cstheme="minorHAnsi"/>
                <w:b/>
                <w:sz w:val="22"/>
                <w:szCs w:val="22"/>
              </w:rPr>
              <w:t xml:space="preserve"> o </w:t>
            </w:r>
            <w:proofErr w:type="spellStart"/>
            <w:r w:rsidR="00E457BE" w:rsidRPr="002078FB">
              <w:rPr>
                <w:rFonts w:eastAsia="Calibri" w:cstheme="minorHAnsi"/>
                <w:b/>
                <w:sz w:val="22"/>
                <w:szCs w:val="22"/>
              </w:rPr>
              <w:t>rechazo</w:t>
            </w:r>
            <w:proofErr w:type="spellEnd"/>
            <w:r w:rsidR="00E457BE" w:rsidRPr="002078FB">
              <w:rPr>
                <w:rFonts w:eastAsia="Calibri" w:cstheme="minorHAnsi"/>
                <w:b/>
                <w:sz w:val="22"/>
                <w:szCs w:val="22"/>
              </w:rPr>
              <w:t xml:space="preserve"> del CPTPP no genera </w:t>
            </w:r>
            <w:proofErr w:type="spellStart"/>
            <w:r w:rsidR="00E457BE" w:rsidRPr="002078FB">
              <w:rPr>
                <w:rFonts w:eastAsia="Calibri" w:cstheme="minorHAnsi"/>
                <w:b/>
                <w:sz w:val="22"/>
                <w:szCs w:val="22"/>
              </w:rPr>
              <w:t>cambio</w:t>
            </w:r>
            <w:proofErr w:type="spellEnd"/>
            <w:r w:rsidR="00E457BE" w:rsidRPr="002078FB">
              <w:rPr>
                <w:rFonts w:eastAsia="Calibri" w:cstheme="minorHAnsi"/>
                <w:b/>
                <w:sz w:val="22"/>
                <w:szCs w:val="22"/>
              </w:rPr>
              <w:t xml:space="preserve"> </w:t>
            </w:r>
            <w:proofErr w:type="spellStart"/>
            <w:r w:rsidR="00E457BE" w:rsidRPr="002078FB">
              <w:rPr>
                <w:rFonts w:eastAsia="Calibri" w:cstheme="minorHAnsi"/>
                <w:b/>
                <w:sz w:val="22"/>
                <w:szCs w:val="22"/>
              </w:rPr>
              <w:t>alguno</w:t>
            </w:r>
            <w:proofErr w:type="spellEnd"/>
            <w:r w:rsidR="00E457BE" w:rsidRPr="002078FB">
              <w:rPr>
                <w:rFonts w:eastAsia="Calibri" w:cstheme="minorHAnsi"/>
                <w:b/>
                <w:sz w:val="22"/>
                <w:szCs w:val="22"/>
              </w:rPr>
              <w:t xml:space="preserve"> </w:t>
            </w:r>
            <w:proofErr w:type="spellStart"/>
            <w:r w:rsidR="00E457BE" w:rsidRPr="002078FB">
              <w:rPr>
                <w:rFonts w:eastAsia="Calibri" w:cstheme="minorHAnsi"/>
                <w:b/>
                <w:sz w:val="22"/>
                <w:szCs w:val="22"/>
              </w:rPr>
              <w:t>respecto</w:t>
            </w:r>
            <w:proofErr w:type="spellEnd"/>
            <w:r w:rsidR="00E457BE" w:rsidRPr="002078FB">
              <w:rPr>
                <w:rFonts w:eastAsia="Calibri" w:cstheme="minorHAnsi"/>
                <w:b/>
                <w:sz w:val="22"/>
                <w:szCs w:val="22"/>
              </w:rPr>
              <w:t xml:space="preserve"> de la </w:t>
            </w:r>
            <w:proofErr w:type="spellStart"/>
            <w:r w:rsidR="00E457BE" w:rsidRPr="002078FB">
              <w:rPr>
                <w:rFonts w:eastAsia="Calibri" w:cstheme="minorHAnsi"/>
                <w:b/>
                <w:sz w:val="22"/>
                <w:szCs w:val="22"/>
              </w:rPr>
              <w:t>implementación</w:t>
            </w:r>
            <w:proofErr w:type="spellEnd"/>
            <w:r w:rsidR="00E457BE" w:rsidRPr="002078FB">
              <w:rPr>
                <w:rFonts w:eastAsia="Calibri" w:cstheme="minorHAnsi"/>
                <w:b/>
                <w:sz w:val="22"/>
                <w:szCs w:val="22"/>
              </w:rPr>
              <w:t xml:space="preserve"> de UPOV91 y </w:t>
            </w:r>
            <w:r w:rsidR="006E208D" w:rsidRPr="002078FB">
              <w:rPr>
                <w:rFonts w:eastAsia="Calibri" w:cstheme="minorHAnsi"/>
                <w:b/>
                <w:sz w:val="22"/>
                <w:szCs w:val="22"/>
              </w:rPr>
              <w:t xml:space="preserve">el </w:t>
            </w:r>
            <w:proofErr w:type="spellStart"/>
            <w:r w:rsidR="006E208D" w:rsidRPr="002078FB">
              <w:rPr>
                <w:rFonts w:eastAsia="Calibri" w:cstheme="minorHAnsi"/>
                <w:b/>
                <w:sz w:val="22"/>
                <w:szCs w:val="22"/>
              </w:rPr>
              <w:t>contenido</w:t>
            </w:r>
            <w:proofErr w:type="spellEnd"/>
            <w:r w:rsidR="006E208D" w:rsidRPr="002078FB">
              <w:rPr>
                <w:rFonts w:eastAsia="Calibri" w:cstheme="minorHAnsi"/>
                <w:b/>
                <w:sz w:val="22"/>
                <w:szCs w:val="22"/>
              </w:rPr>
              <w:t xml:space="preserve"> de una eventual Ley de </w:t>
            </w:r>
            <w:proofErr w:type="spellStart"/>
            <w:r w:rsidR="006E208D" w:rsidRPr="002078FB">
              <w:rPr>
                <w:rFonts w:eastAsia="Calibri" w:cstheme="minorHAnsi"/>
                <w:b/>
                <w:sz w:val="22"/>
                <w:szCs w:val="22"/>
              </w:rPr>
              <w:t>Obtentores</w:t>
            </w:r>
            <w:proofErr w:type="spellEnd"/>
            <w:r w:rsidR="006E208D" w:rsidRPr="002078FB">
              <w:rPr>
                <w:rFonts w:eastAsia="Calibri" w:cstheme="minorHAnsi"/>
                <w:b/>
                <w:sz w:val="22"/>
                <w:szCs w:val="22"/>
              </w:rPr>
              <w:t xml:space="preserve"> </w:t>
            </w:r>
            <w:proofErr w:type="spellStart"/>
            <w:r w:rsidR="006E208D" w:rsidRPr="002078FB">
              <w:rPr>
                <w:rFonts w:eastAsia="Calibri" w:cstheme="minorHAnsi"/>
                <w:b/>
                <w:sz w:val="22"/>
                <w:szCs w:val="22"/>
              </w:rPr>
              <w:t>Vegetales</w:t>
            </w:r>
            <w:proofErr w:type="spellEnd"/>
            <w:r w:rsidR="006E208D" w:rsidRPr="002078FB">
              <w:rPr>
                <w:rFonts w:eastAsia="Calibri" w:cstheme="minorHAnsi"/>
                <w:b/>
                <w:sz w:val="22"/>
                <w:szCs w:val="22"/>
              </w:rPr>
              <w:t>.</w:t>
            </w:r>
          </w:p>
        </w:tc>
      </w:tr>
    </w:tbl>
    <w:p w14:paraId="0CA62029" w14:textId="77777777" w:rsidR="00784D5D" w:rsidRPr="002078FB" w:rsidRDefault="00784D5D" w:rsidP="00C412FF">
      <w:pPr>
        <w:spacing w:after="0" w:line="240" w:lineRule="auto"/>
        <w:jc w:val="both"/>
        <w:rPr>
          <w:rFonts w:eastAsia="Calibri" w:cstheme="minorHAnsi"/>
        </w:rPr>
      </w:pPr>
    </w:p>
    <w:p w14:paraId="5C2C8807" w14:textId="77777777" w:rsidR="00784D5D" w:rsidRPr="002078FB" w:rsidRDefault="00784D5D" w:rsidP="00C412FF">
      <w:pPr>
        <w:spacing w:line="240" w:lineRule="auto"/>
        <w:jc w:val="both"/>
        <w:rPr>
          <w:rFonts w:eastAsia="Calibri" w:cstheme="minorHAnsi"/>
        </w:rPr>
      </w:pPr>
      <w:r w:rsidRPr="002078FB">
        <w:rPr>
          <w:rFonts w:eastAsia="Calibri" w:cstheme="minorHAnsi"/>
        </w:rPr>
        <w:t>También se ha señalado que el CPTPP podría atentar en contra de recursos genéticos endémicos nacionales, es decir, la apropiación de especies nativas, otorgándole exclusividad a un titular, impidiendo su uso libre por parte de las comunidades.</w:t>
      </w:r>
    </w:p>
    <w:tbl>
      <w:tblPr>
        <w:tblStyle w:val="Tablaconcuadrcula1"/>
        <w:tblW w:w="5000" w:type="pct"/>
        <w:tblLook w:val="04A0" w:firstRow="1" w:lastRow="0" w:firstColumn="1" w:lastColumn="0" w:noHBand="0" w:noVBand="1"/>
      </w:tblPr>
      <w:tblGrid>
        <w:gridCol w:w="10070"/>
      </w:tblGrid>
      <w:tr w:rsidR="00784D5D" w:rsidRPr="002078FB" w14:paraId="51C0A160" w14:textId="77777777" w:rsidTr="00066133">
        <w:tc>
          <w:tcPr>
            <w:tcW w:w="5000" w:type="pct"/>
          </w:tcPr>
          <w:p w14:paraId="336B6B28" w14:textId="77777777" w:rsidR="00784D5D" w:rsidRPr="00186B4E" w:rsidRDefault="00784D5D" w:rsidP="00C412FF">
            <w:pPr>
              <w:spacing w:after="240"/>
              <w:jc w:val="both"/>
              <w:rPr>
                <w:rFonts w:eastAsia="Calibri" w:cstheme="minorHAnsi"/>
                <w:sz w:val="22"/>
                <w:szCs w:val="22"/>
                <w:lang w:val="es-CL"/>
              </w:rPr>
            </w:pPr>
            <w:r w:rsidRPr="00186B4E">
              <w:rPr>
                <w:rFonts w:eastAsia="Calibri" w:cstheme="minorHAnsi"/>
                <w:sz w:val="22"/>
                <w:szCs w:val="22"/>
                <w:lang w:val="es-CL"/>
              </w:rPr>
              <w:t>UPOV 91 no privatiza las variedades vegetales existentes, sino que otorga derechos sobre variedades que son nuevas y distintas a todas las variedades conocidas. Asimismo, es la mejor defensa de Chile para reclamar y defender a los creadores nacionales de una variedad producida localmente frente a intentos de apropiación.</w:t>
            </w:r>
          </w:p>
          <w:p w14:paraId="3AFAA59D" w14:textId="77777777" w:rsidR="00784D5D" w:rsidRPr="00186B4E" w:rsidRDefault="00784D5D" w:rsidP="00C412FF">
            <w:pPr>
              <w:spacing w:after="240"/>
              <w:jc w:val="both"/>
              <w:rPr>
                <w:rFonts w:eastAsia="Calibri" w:cstheme="minorHAnsi"/>
                <w:sz w:val="22"/>
                <w:szCs w:val="22"/>
                <w:lang w:val="es-CL"/>
              </w:rPr>
            </w:pPr>
            <w:r w:rsidRPr="00186B4E">
              <w:rPr>
                <w:rFonts w:eastAsia="Calibri" w:cstheme="minorHAnsi"/>
                <w:sz w:val="22"/>
                <w:szCs w:val="22"/>
                <w:lang w:val="es-CL"/>
              </w:rPr>
              <w:t>El nuevo marco normativo que regirá en Chile a partir de la adopción de las regulaciones sobre obtentores vegetales permitirá consolidar el objetivo de posicionar a Chile como una potencia agroalimentaria y forestal; al mismo tiempo que fortalecerá la industria de investigación, desarrollo e innovación asociada a la producción de nuevas variedades vegetales. Asimismo, ayudará a atraer inversión extranjera al país, con equipamiento de punta y un consecuente mejoramiento de las competencias y capacidades de gestión de nuestros investigadores y productores.</w:t>
            </w:r>
          </w:p>
          <w:p w14:paraId="3CB047D6" w14:textId="77777777" w:rsidR="00784D5D" w:rsidRPr="002078FB" w:rsidRDefault="00784D5D" w:rsidP="00C412FF">
            <w:pPr>
              <w:jc w:val="both"/>
              <w:rPr>
                <w:rFonts w:eastAsia="Calibri" w:cstheme="minorHAnsi"/>
                <w:b/>
                <w:sz w:val="22"/>
                <w:szCs w:val="22"/>
              </w:rPr>
            </w:pPr>
            <w:r w:rsidRPr="002078FB">
              <w:rPr>
                <w:rFonts w:eastAsia="Calibri" w:cstheme="minorHAnsi"/>
                <w:b/>
                <w:sz w:val="22"/>
                <w:szCs w:val="22"/>
              </w:rPr>
              <w:t xml:space="preserve">Con el </w:t>
            </w:r>
            <w:proofErr w:type="spellStart"/>
            <w:r w:rsidRPr="002078FB">
              <w:rPr>
                <w:rFonts w:eastAsia="Calibri" w:cstheme="minorHAnsi"/>
                <w:b/>
                <w:sz w:val="22"/>
                <w:szCs w:val="22"/>
              </w:rPr>
              <w:t>propósito</w:t>
            </w:r>
            <w:proofErr w:type="spellEnd"/>
            <w:r w:rsidRPr="002078FB">
              <w:rPr>
                <w:rFonts w:eastAsia="Calibri" w:cstheme="minorHAnsi"/>
                <w:b/>
                <w:sz w:val="22"/>
                <w:szCs w:val="22"/>
              </w:rPr>
              <w:t xml:space="preserve"> de </w:t>
            </w:r>
            <w:proofErr w:type="spellStart"/>
            <w:r w:rsidRPr="002078FB">
              <w:rPr>
                <w:rFonts w:eastAsia="Calibri" w:cstheme="minorHAnsi"/>
                <w:b/>
                <w:sz w:val="22"/>
                <w:szCs w:val="22"/>
              </w:rPr>
              <w:t>establecer</w:t>
            </w:r>
            <w:proofErr w:type="spellEnd"/>
            <w:r w:rsidRPr="002078FB">
              <w:rPr>
                <w:rFonts w:eastAsia="Calibri" w:cstheme="minorHAnsi"/>
                <w:b/>
                <w:sz w:val="22"/>
                <w:szCs w:val="22"/>
              </w:rPr>
              <w:t xml:space="preserve"> un </w:t>
            </w:r>
            <w:proofErr w:type="spellStart"/>
            <w:r w:rsidRPr="002078FB">
              <w:rPr>
                <w:rFonts w:eastAsia="Calibri" w:cstheme="minorHAnsi"/>
                <w:b/>
                <w:sz w:val="22"/>
                <w:szCs w:val="22"/>
              </w:rPr>
              <w:t>debido</w:t>
            </w:r>
            <w:proofErr w:type="spellEnd"/>
            <w:r w:rsidRPr="002078FB">
              <w:rPr>
                <w:rFonts w:eastAsia="Calibri" w:cstheme="minorHAnsi"/>
                <w:b/>
                <w:sz w:val="22"/>
                <w:szCs w:val="22"/>
              </w:rPr>
              <w:t xml:space="preserve"> balance, </w:t>
            </w:r>
            <w:proofErr w:type="spellStart"/>
            <w:r w:rsidRPr="002078FB">
              <w:rPr>
                <w:rFonts w:eastAsia="Calibri" w:cstheme="minorHAnsi"/>
                <w:b/>
                <w:sz w:val="22"/>
                <w:szCs w:val="22"/>
              </w:rPr>
              <w:t>este</w:t>
            </w:r>
            <w:proofErr w:type="spellEnd"/>
            <w:r w:rsidRPr="002078FB">
              <w:rPr>
                <w:rFonts w:eastAsia="Calibri" w:cstheme="minorHAnsi"/>
                <w:b/>
                <w:sz w:val="22"/>
                <w:szCs w:val="22"/>
              </w:rPr>
              <w:t xml:space="preserve"> nuevo </w:t>
            </w:r>
            <w:proofErr w:type="spellStart"/>
            <w:r w:rsidRPr="002078FB">
              <w:rPr>
                <w:rFonts w:eastAsia="Calibri" w:cstheme="minorHAnsi"/>
                <w:b/>
                <w:sz w:val="22"/>
                <w:szCs w:val="22"/>
              </w:rPr>
              <w:t>marco</w:t>
            </w:r>
            <w:proofErr w:type="spellEnd"/>
            <w:r w:rsidRPr="002078FB">
              <w:rPr>
                <w:rFonts w:eastAsia="Calibri" w:cstheme="minorHAnsi"/>
                <w:b/>
                <w:sz w:val="22"/>
                <w:szCs w:val="22"/>
              </w:rPr>
              <w:t xml:space="preserve"> </w:t>
            </w:r>
            <w:proofErr w:type="spellStart"/>
            <w:r w:rsidRPr="002078FB">
              <w:rPr>
                <w:rFonts w:eastAsia="Calibri" w:cstheme="minorHAnsi"/>
                <w:b/>
                <w:sz w:val="22"/>
                <w:szCs w:val="22"/>
              </w:rPr>
              <w:t>normativo</w:t>
            </w:r>
            <w:proofErr w:type="spellEnd"/>
            <w:r w:rsidRPr="002078FB">
              <w:rPr>
                <w:rFonts w:eastAsia="Calibri" w:cstheme="minorHAnsi"/>
                <w:b/>
                <w:sz w:val="22"/>
                <w:szCs w:val="22"/>
              </w:rPr>
              <w:t xml:space="preserve"> </w:t>
            </w:r>
            <w:proofErr w:type="spellStart"/>
            <w:r w:rsidRPr="002078FB">
              <w:rPr>
                <w:rFonts w:eastAsia="Calibri" w:cstheme="minorHAnsi"/>
                <w:b/>
                <w:sz w:val="22"/>
                <w:szCs w:val="22"/>
              </w:rPr>
              <w:t>abordará</w:t>
            </w:r>
            <w:proofErr w:type="spellEnd"/>
            <w:r w:rsidRPr="002078FB">
              <w:rPr>
                <w:rFonts w:eastAsia="Calibri" w:cstheme="minorHAnsi"/>
                <w:b/>
                <w:sz w:val="22"/>
                <w:szCs w:val="22"/>
              </w:rPr>
              <w:t xml:space="preserve">, </w:t>
            </w:r>
            <w:proofErr w:type="spellStart"/>
            <w:r w:rsidRPr="002078FB">
              <w:rPr>
                <w:rFonts w:eastAsia="Calibri" w:cstheme="minorHAnsi"/>
                <w:b/>
                <w:sz w:val="22"/>
                <w:szCs w:val="22"/>
              </w:rPr>
              <w:t>asimismo</w:t>
            </w:r>
            <w:proofErr w:type="spellEnd"/>
            <w:r w:rsidRPr="002078FB">
              <w:rPr>
                <w:rFonts w:eastAsia="Calibri" w:cstheme="minorHAnsi"/>
                <w:b/>
                <w:sz w:val="22"/>
                <w:szCs w:val="22"/>
              </w:rPr>
              <w:t xml:space="preserve">, la </w:t>
            </w:r>
            <w:proofErr w:type="spellStart"/>
            <w:r w:rsidRPr="002078FB">
              <w:rPr>
                <w:rFonts w:eastAsia="Calibri" w:cstheme="minorHAnsi"/>
                <w:b/>
                <w:sz w:val="22"/>
                <w:szCs w:val="22"/>
              </w:rPr>
              <w:t>situación</w:t>
            </w:r>
            <w:proofErr w:type="spellEnd"/>
            <w:r w:rsidRPr="002078FB">
              <w:rPr>
                <w:rFonts w:eastAsia="Calibri" w:cstheme="minorHAnsi"/>
                <w:b/>
                <w:sz w:val="22"/>
                <w:szCs w:val="22"/>
              </w:rPr>
              <w:t xml:space="preserve"> de los </w:t>
            </w:r>
            <w:proofErr w:type="spellStart"/>
            <w:r w:rsidRPr="002078FB">
              <w:rPr>
                <w:rFonts w:eastAsia="Calibri" w:cstheme="minorHAnsi"/>
                <w:b/>
                <w:sz w:val="22"/>
                <w:szCs w:val="22"/>
              </w:rPr>
              <w:t>pequeños</w:t>
            </w:r>
            <w:proofErr w:type="spellEnd"/>
            <w:r w:rsidRPr="002078FB">
              <w:rPr>
                <w:rFonts w:eastAsia="Calibri" w:cstheme="minorHAnsi"/>
                <w:b/>
                <w:sz w:val="22"/>
                <w:szCs w:val="22"/>
              </w:rPr>
              <w:t xml:space="preserve"> </w:t>
            </w:r>
            <w:proofErr w:type="spellStart"/>
            <w:r w:rsidRPr="002078FB">
              <w:rPr>
                <w:rFonts w:eastAsia="Calibri" w:cstheme="minorHAnsi"/>
                <w:b/>
                <w:sz w:val="22"/>
                <w:szCs w:val="22"/>
              </w:rPr>
              <w:t>agricultores</w:t>
            </w:r>
            <w:proofErr w:type="spellEnd"/>
            <w:r w:rsidRPr="002078FB">
              <w:rPr>
                <w:rFonts w:eastAsia="Calibri" w:cstheme="minorHAnsi"/>
                <w:b/>
                <w:sz w:val="22"/>
                <w:szCs w:val="22"/>
              </w:rPr>
              <w:t xml:space="preserve"> y </w:t>
            </w:r>
            <w:proofErr w:type="spellStart"/>
            <w:r w:rsidRPr="002078FB">
              <w:rPr>
                <w:rFonts w:eastAsia="Calibri" w:cstheme="minorHAnsi"/>
                <w:b/>
                <w:sz w:val="22"/>
                <w:szCs w:val="22"/>
              </w:rPr>
              <w:t>comunidades</w:t>
            </w:r>
            <w:proofErr w:type="spellEnd"/>
            <w:r w:rsidRPr="002078FB">
              <w:rPr>
                <w:rFonts w:eastAsia="Calibri" w:cstheme="minorHAnsi"/>
                <w:b/>
                <w:sz w:val="22"/>
                <w:szCs w:val="22"/>
              </w:rPr>
              <w:t xml:space="preserve">, junto con la </w:t>
            </w:r>
            <w:proofErr w:type="spellStart"/>
            <w:r w:rsidRPr="002078FB">
              <w:rPr>
                <w:rFonts w:eastAsia="Calibri" w:cstheme="minorHAnsi"/>
                <w:b/>
                <w:sz w:val="22"/>
                <w:szCs w:val="22"/>
              </w:rPr>
              <w:t>efectiva</w:t>
            </w:r>
            <w:proofErr w:type="spellEnd"/>
            <w:r w:rsidRPr="002078FB">
              <w:rPr>
                <w:rFonts w:eastAsia="Calibri" w:cstheme="minorHAnsi"/>
                <w:b/>
                <w:sz w:val="22"/>
                <w:szCs w:val="22"/>
              </w:rPr>
              <w:t xml:space="preserve"> </w:t>
            </w:r>
            <w:proofErr w:type="spellStart"/>
            <w:r w:rsidRPr="002078FB">
              <w:rPr>
                <w:rFonts w:eastAsia="Calibri" w:cstheme="minorHAnsi"/>
                <w:b/>
                <w:sz w:val="22"/>
                <w:szCs w:val="22"/>
              </w:rPr>
              <w:t>protección</w:t>
            </w:r>
            <w:proofErr w:type="spellEnd"/>
            <w:r w:rsidRPr="002078FB">
              <w:rPr>
                <w:rFonts w:eastAsia="Calibri" w:cstheme="minorHAnsi"/>
                <w:b/>
                <w:sz w:val="22"/>
                <w:szCs w:val="22"/>
              </w:rPr>
              <w:t xml:space="preserve"> del </w:t>
            </w:r>
            <w:proofErr w:type="spellStart"/>
            <w:r w:rsidRPr="002078FB">
              <w:rPr>
                <w:rFonts w:eastAsia="Calibri" w:cstheme="minorHAnsi"/>
                <w:b/>
                <w:sz w:val="22"/>
                <w:szCs w:val="22"/>
              </w:rPr>
              <w:t>patrimonio</w:t>
            </w:r>
            <w:proofErr w:type="spellEnd"/>
            <w:r w:rsidRPr="002078FB">
              <w:rPr>
                <w:rFonts w:eastAsia="Calibri" w:cstheme="minorHAnsi"/>
                <w:b/>
                <w:sz w:val="22"/>
                <w:szCs w:val="22"/>
              </w:rPr>
              <w:t xml:space="preserve"> vegetal de </w:t>
            </w:r>
            <w:proofErr w:type="spellStart"/>
            <w:r w:rsidRPr="002078FB">
              <w:rPr>
                <w:rFonts w:eastAsia="Calibri" w:cstheme="minorHAnsi"/>
                <w:b/>
                <w:sz w:val="22"/>
                <w:szCs w:val="22"/>
              </w:rPr>
              <w:t>nuestro</w:t>
            </w:r>
            <w:proofErr w:type="spellEnd"/>
            <w:r w:rsidRPr="002078FB">
              <w:rPr>
                <w:rFonts w:eastAsia="Calibri" w:cstheme="minorHAnsi"/>
                <w:b/>
                <w:sz w:val="22"/>
                <w:szCs w:val="22"/>
              </w:rPr>
              <w:t xml:space="preserve"> </w:t>
            </w:r>
            <w:proofErr w:type="spellStart"/>
            <w:r w:rsidRPr="002078FB">
              <w:rPr>
                <w:rFonts w:eastAsia="Calibri" w:cstheme="minorHAnsi"/>
                <w:b/>
                <w:sz w:val="22"/>
                <w:szCs w:val="22"/>
              </w:rPr>
              <w:t>país</w:t>
            </w:r>
            <w:proofErr w:type="spellEnd"/>
            <w:r w:rsidRPr="002078FB">
              <w:rPr>
                <w:rFonts w:eastAsia="Calibri" w:cstheme="minorHAnsi"/>
                <w:b/>
                <w:sz w:val="22"/>
                <w:szCs w:val="22"/>
              </w:rPr>
              <w:t xml:space="preserve">. En </w:t>
            </w:r>
            <w:proofErr w:type="spellStart"/>
            <w:r w:rsidRPr="002078FB">
              <w:rPr>
                <w:rFonts w:eastAsia="Calibri" w:cstheme="minorHAnsi"/>
                <w:b/>
                <w:sz w:val="22"/>
                <w:szCs w:val="22"/>
              </w:rPr>
              <w:t>concreto</w:t>
            </w:r>
            <w:proofErr w:type="spellEnd"/>
            <w:r w:rsidRPr="002078FB">
              <w:rPr>
                <w:rFonts w:eastAsia="Calibri" w:cstheme="minorHAnsi"/>
                <w:b/>
                <w:sz w:val="22"/>
                <w:szCs w:val="22"/>
              </w:rPr>
              <w:t xml:space="preserve">, es </w:t>
            </w:r>
            <w:proofErr w:type="spellStart"/>
            <w:r w:rsidRPr="002078FB">
              <w:rPr>
                <w:rFonts w:eastAsia="Calibri" w:cstheme="minorHAnsi"/>
                <w:b/>
                <w:sz w:val="22"/>
                <w:szCs w:val="22"/>
              </w:rPr>
              <w:t>perfectamente</w:t>
            </w:r>
            <w:proofErr w:type="spellEnd"/>
            <w:r w:rsidRPr="002078FB">
              <w:rPr>
                <w:rFonts w:eastAsia="Calibri" w:cstheme="minorHAnsi"/>
                <w:b/>
                <w:sz w:val="22"/>
                <w:szCs w:val="22"/>
              </w:rPr>
              <w:t xml:space="preserve"> </w:t>
            </w:r>
            <w:proofErr w:type="spellStart"/>
            <w:r w:rsidRPr="002078FB">
              <w:rPr>
                <w:rFonts w:eastAsia="Calibri" w:cstheme="minorHAnsi"/>
                <w:b/>
                <w:sz w:val="22"/>
                <w:szCs w:val="22"/>
              </w:rPr>
              <w:t>posible</w:t>
            </w:r>
            <w:proofErr w:type="spellEnd"/>
            <w:r w:rsidRPr="002078FB">
              <w:rPr>
                <w:rFonts w:eastAsia="Calibri" w:cstheme="minorHAnsi"/>
                <w:b/>
                <w:sz w:val="22"/>
                <w:szCs w:val="22"/>
              </w:rPr>
              <w:t xml:space="preserve">, bajo el </w:t>
            </w:r>
            <w:proofErr w:type="spellStart"/>
            <w:r w:rsidRPr="002078FB">
              <w:rPr>
                <w:rFonts w:eastAsia="Calibri" w:cstheme="minorHAnsi"/>
                <w:b/>
                <w:sz w:val="22"/>
                <w:szCs w:val="22"/>
              </w:rPr>
              <w:t>marco</w:t>
            </w:r>
            <w:proofErr w:type="spellEnd"/>
            <w:r w:rsidRPr="002078FB">
              <w:rPr>
                <w:rFonts w:eastAsia="Calibri" w:cstheme="minorHAnsi"/>
                <w:b/>
                <w:sz w:val="22"/>
                <w:szCs w:val="22"/>
              </w:rPr>
              <w:t xml:space="preserve"> de UPOV91, que los </w:t>
            </w:r>
            <w:proofErr w:type="spellStart"/>
            <w:r w:rsidRPr="002078FB">
              <w:rPr>
                <w:rFonts w:eastAsia="Calibri" w:cstheme="minorHAnsi"/>
                <w:b/>
                <w:sz w:val="22"/>
                <w:szCs w:val="22"/>
              </w:rPr>
              <w:t>países</w:t>
            </w:r>
            <w:proofErr w:type="spellEnd"/>
            <w:r w:rsidRPr="002078FB">
              <w:rPr>
                <w:rFonts w:eastAsia="Calibri" w:cstheme="minorHAnsi"/>
                <w:b/>
                <w:sz w:val="22"/>
                <w:szCs w:val="22"/>
              </w:rPr>
              <w:t xml:space="preserve"> </w:t>
            </w:r>
            <w:proofErr w:type="spellStart"/>
            <w:r w:rsidRPr="002078FB">
              <w:rPr>
                <w:rFonts w:eastAsia="Calibri" w:cstheme="minorHAnsi"/>
                <w:b/>
                <w:sz w:val="22"/>
                <w:szCs w:val="22"/>
              </w:rPr>
              <w:t>establezcan</w:t>
            </w:r>
            <w:proofErr w:type="spellEnd"/>
            <w:r w:rsidRPr="002078FB">
              <w:rPr>
                <w:rFonts w:eastAsia="Calibri" w:cstheme="minorHAnsi"/>
                <w:b/>
                <w:sz w:val="22"/>
                <w:szCs w:val="22"/>
              </w:rPr>
              <w:t xml:space="preserve"> o </w:t>
            </w:r>
            <w:proofErr w:type="spellStart"/>
            <w:r w:rsidRPr="002078FB">
              <w:rPr>
                <w:rFonts w:eastAsia="Calibri" w:cstheme="minorHAnsi"/>
                <w:b/>
                <w:sz w:val="22"/>
                <w:szCs w:val="22"/>
              </w:rPr>
              <w:t>modelen</w:t>
            </w:r>
            <w:proofErr w:type="spellEnd"/>
            <w:r w:rsidRPr="002078FB">
              <w:rPr>
                <w:rFonts w:eastAsia="Calibri" w:cstheme="minorHAnsi"/>
                <w:b/>
                <w:sz w:val="22"/>
                <w:szCs w:val="22"/>
              </w:rPr>
              <w:t xml:space="preserve"> </w:t>
            </w:r>
            <w:proofErr w:type="spellStart"/>
            <w:r w:rsidRPr="002078FB">
              <w:rPr>
                <w:rFonts w:eastAsia="Calibri" w:cstheme="minorHAnsi"/>
                <w:b/>
                <w:sz w:val="22"/>
                <w:szCs w:val="22"/>
              </w:rPr>
              <w:t>distintos</w:t>
            </w:r>
            <w:proofErr w:type="spellEnd"/>
            <w:r w:rsidRPr="002078FB">
              <w:rPr>
                <w:rFonts w:eastAsia="Calibri" w:cstheme="minorHAnsi"/>
                <w:b/>
                <w:sz w:val="22"/>
                <w:szCs w:val="22"/>
              </w:rPr>
              <w:t xml:space="preserve"> </w:t>
            </w:r>
            <w:proofErr w:type="spellStart"/>
            <w:r w:rsidRPr="002078FB">
              <w:rPr>
                <w:rFonts w:eastAsia="Calibri" w:cstheme="minorHAnsi"/>
                <w:b/>
                <w:sz w:val="22"/>
                <w:szCs w:val="22"/>
              </w:rPr>
              <w:t>tipos</w:t>
            </w:r>
            <w:proofErr w:type="spellEnd"/>
            <w:r w:rsidRPr="002078FB">
              <w:rPr>
                <w:rFonts w:eastAsia="Calibri" w:cstheme="minorHAnsi"/>
                <w:b/>
                <w:sz w:val="22"/>
                <w:szCs w:val="22"/>
              </w:rPr>
              <w:t xml:space="preserve"> de </w:t>
            </w:r>
            <w:proofErr w:type="spellStart"/>
            <w:r w:rsidRPr="002078FB">
              <w:rPr>
                <w:rFonts w:eastAsia="Calibri" w:cstheme="minorHAnsi"/>
                <w:b/>
                <w:sz w:val="22"/>
                <w:szCs w:val="22"/>
              </w:rPr>
              <w:t>excepciones</w:t>
            </w:r>
            <w:proofErr w:type="spellEnd"/>
            <w:r w:rsidRPr="002078FB">
              <w:rPr>
                <w:rFonts w:eastAsia="Calibri" w:cstheme="minorHAnsi"/>
                <w:b/>
                <w:sz w:val="22"/>
                <w:szCs w:val="22"/>
              </w:rPr>
              <w:t xml:space="preserve">, que se </w:t>
            </w:r>
            <w:proofErr w:type="spellStart"/>
            <w:r w:rsidRPr="002078FB">
              <w:rPr>
                <w:rFonts w:eastAsia="Calibri" w:cstheme="minorHAnsi"/>
                <w:b/>
                <w:sz w:val="22"/>
                <w:szCs w:val="22"/>
              </w:rPr>
              <w:t>encuentren</w:t>
            </w:r>
            <w:proofErr w:type="spellEnd"/>
            <w:r w:rsidRPr="002078FB">
              <w:rPr>
                <w:rFonts w:eastAsia="Calibri" w:cstheme="minorHAnsi"/>
                <w:b/>
                <w:sz w:val="22"/>
                <w:szCs w:val="22"/>
              </w:rPr>
              <w:t xml:space="preserve"> </w:t>
            </w:r>
            <w:proofErr w:type="spellStart"/>
            <w:r w:rsidRPr="002078FB">
              <w:rPr>
                <w:rFonts w:eastAsia="Calibri" w:cstheme="minorHAnsi"/>
                <w:b/>
                <w:sz w:val="22"/>
                <w:szCs w:val="22"/>
              </w:rPr>
              <w:t>acorde</w:t>
            </w:r>
            <w:proofErr w:type="spellEnd"/>
            <w:r w:rsidRPr="002078FB">
              <w:rPr>
                <w:rFonts w:eastAsia="Calibri" w:cstheme="minorHAnsi"/>
                <w:b/>
                <w:sz w:val="22"/>
                <w:szCs w:val="22"/>
              </w:rPr>
              <w:t xml:space="preserve"> a sus </w:t>
            </w:r>
            <w:proofErr w:type="spellStart"/>
            <w:r w:rsidRPr="002078FB">
              <w:rPr>
                <w:rFonts w:eastAsia="Calibri" w:cstheme="minorHAnsi"/>
                <w:b/>
                <w:sz w:val="22"/>
                <w:szCs w:val="22"/>
              </w:rPr>
              <w:t>propias</w:t>
            </w:r>
            <w:proofErr w:type="spellEnd"/>
            <w:r w:rsidRPr="002078FB">
              <w:rPr>
                <w:rFonts w:eastAsia="Calibri" w:cstheme="minorHAnsi"/>
                <w:b/>
                <w:sz w:val="22"/>
                <w:szCs w:val="22"/>
              </w:rPr>
              <w:t xml:space="preserve"> </w:t>
            </w:r>
            <w:proofErr w:type="spellStart"/>
            <w:r w:rsidRPr="002078FB">
              <w:rPr>
                <w:rFonts w:eastAsia="Calibri" w:cstheme="minorHAnsi"/>
                <w:b/>
                <w:sz w:val="22"/>
                <w:szCs w:val="22"/>
              </w:rPr>
              <w:t>necesidades</w:t>
            </w:r>
            <w:proofErr w:type="spellEnd"/>
            <w:r w:rsidRPr="002078FB">
              <w:rPr>
                <w:rFonts w:eastAsia="Calibri" w:cstheme="minorHAnsi"/>
                <w:b/>
                <w:sz w:val="22"/>
                <w:szCs w:val="22"/>
              </w:rPr>
              <w:t xml:space="preserve">. </w:t>
            </w:r>
          </w:p>
        </w:tc>
      </w:tr>
    </w:tbl>
    <w:p w14:paraId="65FBC866" w14:textId="77777777" w:rsidR="00D103A5" w:rsidRPr="002078FB" w:rsidRDefault="00D103A5" w:rsidP="00C412FF">
      <w:pPr>
        <w:spacing w:after="0" w:line="240" w:lineRule="auto"/>
        <w:jc w:val="both"/>
        <w:rPr>
          <w:rFonts w:cstheme="minorHAnsi"/>
        </w:rPr>
      </w:pPr>
    </w:p>
    <w:p w14:paraId="0743D9CF" w14:textId="77777777" w:rsidR="00D103A5" w:rsidRPr="002078FB" w:rsidRDefault="00D103A5" w:rsidP="00C412FF">
      <w:pPr>
        <w:spacing w:after="0" w:line="240" w:lineRule="auto"/>
        <w:jc w:val="both"/>
        <w:rPr>
          <w:rFonts w:cstheme="minorHAnsi"/>
        </w:rPr>
      </w:pPr>
      <w:r w:rsidRPr="002078FB">
        <w:rPr>
          <w:rFonts w:cstheme="minorHAnsi"/>
        </w:rPr>
        <w:t xml:space="preserve">En lo relativo a que la protección otorgada por UPOV 91 promovería la </w:t>
      </w:r>
      <w:proofErr w:type="spellStart"/>
      <w:r w:rsidRPr="002078FB">
        <w:rPr>
          <w:rFonts w:cstheme="minorHAnsi"/>
          <w:b/>
        </w:rPr>
        <w:t>transgenia</w:t>
      </w:r>
      <w:proofErr w:type="spellEnd"/>
      <w:r w:rsidRPr="002078FB">
        <w:rPr>
          <w:rFonts w:cstheme="minorHAnsi"/>
        </w:rPr>
        <w:t xml:space="preserve">, cabe destacar que la protección que da este instrumento opera para nuevas variedades sean éstas producidas a través de la cruza tradicional o por otros medios, como, por ejemplo, la edición génica. La </w:t>
      </w:r>
      <w:proofErr w:type="spellStart"/>
      <w:r w:rsidRPr="002078FB">
        <w:rPr>
          <w:rFonts w:cstheme="minorHAnsi"/>
        </w:rPr>
        <w:t>transgenia</w:t>
      </w:r>
      <w:proofErr w:type="spellEnd"/>
      <w:r w:rsidRPr="002078FB">
        <w:rPr>
          <w:rFonts w:cstheme="minorHAnsi"/>
        </w:rPr>
        <w:t xml:space="preserve"> es una técnica con usos muy acotados, y que ha sido superada por nuevas herramientas biotecnológicas tales como el CRISPR- CAS. </w:t>
      </w:r>
    </w:p>
    <w:p w14:paraId="51078B20" w14:textId="77777777" w:rsidR="00D103A5" w:rsidRPr="002078FB" w:rsidRDefault="00D103A5" w:rsidP="00C412FF">
      <w:pPr>
        <w:spacing w:after="0" w:line="240" w:lineRule="auto"/>
        <w:jc w:val="both"/>
        <w:rPr>
          <w:rFonts w:cstheme="minorHAnsi"/>
        </w:rPr>
      </w:pPr>
    </w:p>
    <w:tbl>
      <w:tblPr>
        <w:tblStyle w:val="Tablaconcuadrcula"/>
        <w:tblW w:w="5000" w:type="pct"/>
        <w:tblLook w:val="04A0" w:firstRow="1" w:lastRow="0" w:firstColumn="1" w:lastColumn="0" w:noHBand="0" w:noVBand="1"/>
      </w:tblPr>
      <w:tblGrid>
        <w:gridCol w:w="10070"/>
      </w:tblGrid>
      <w:tr w:rsidR="00D103A5" w:rsidRPr="002078FB" w14:paraId="3442F98B" w14:textId="77777777" w:rsidTr="00066133">
        <w:tc>
          <w:tcPr>
            <w:tcW w:w="5000" w:type="pct"/>
          </w:tcPr>
          <w:p w14:paraId="29713BEB" w14:textId="77777777" w:rsidR="00D103A5" w:rsidRPr="002078FB" w:rsidRDefault="00D103A5" w:rsidP="00C412FF">
            <w:pPr>
              <w:jc w:val="both"/>
              <w:rPr>
                <w:rFonts w:cstheme="minorHAnsi"/>
              </w:rPr>
            </w:pPr>
            <w:r w:rsidRPr="002078FB">
              <w:rPr>
                <w:rFonts w:cstheme="minorHAnsi"/>
                <w:b/>
              </w:rPr>
              <w:t>Este acuerdo permitirá proteger tecnologías locales</w:t>
            </w:r>
            <w:r w:rsidRPr="002078FB">
              <w:rPr>
                <w:rFonts w:cstheme="minorHAnsi"/>
              </w:rPr>
              <w:t xml:space="preserve">, (a través de los consorcios tecnológicos </w:t>
            </w:r>
            <w:proofErr w:type="spellStart"/>
            <w:r w:rsidRPr="002078FB">
              <w:rPr>
                <w:rFonts w:cstheme="minorHAnsi"/>
              </w:rPr>
              <w:t>Biofrutales</w:t>
            </w:r>
            <w:proofErr w:type="spellEnd"/>
            <w:r w:rsidRPr="002078FB">
              <w:rPr>
                <w:rFonts w:cstheme="minorHAnsi"/>
              </w:rPr>
              <w:t xml:space="preserve"> y el Consorcio de Fruta de la </w:t>
            </w:r>
            <w:proofErr w:type="spellStart"/>
            <w:r w:rsidRPr="002078FB">
              <w:rPr>
                <w:rFonts w:cstheme="minorHAnsi"/>
              </w:rPr>
              <w:t>Asoex</w:t>
            </w:r>
            <w:proofErr w:type="spellEnd"/>
            <w:r w:rsidRPr="002078FB">
              <w:rPr>
                <w:rFonts w:cstheme="minorHAnsi"/>
              </w:rPr>
              <w:t xml:space="preserve">), </w:t>
            </w:r>
            <w:r w:rsidRPr="002078FB">
              <w:rPr>
                <w:rFonts w:cstheme="minorHAnsi"/>
                <w:b/>
              </w:rPr>
              <w:t>y protegerá nuevas variedades vegetales,</w:t>
            </w:r>
            <w:r w:rsidRPr="002078FB">
              <w:rPr>
                <w:rFonts w:cstheme="minorHAnsi"/>
              </w:rPr>
              <w:t xml:space="preserve"> tales como frambuesa (Santa Teresa, Santa Clara y Santa Catalina) y una variedad de uva de mesa denominada </w:t>
            </w:r>
            <w:proofErr w:type="spellStart"/>
            <w:r w:rsidRPr="002078FB">
              <w:rPr>
                <w:rFonts w:cstheme="minorHAnsi"/>
              </w:rPr>
              <w:t>Maylen</w:t>
            </w:r>
            <w:proofErr w:type="spellEnd"/>
            <w:r w:rsidRPr="002078FB">
              <w:rPr>
                <w:rFonts w:cstheme="minorHAnsi"/>
              </w:rPr>
              <w:t>. Todas éstas son derivadas de técnicas de mejoramiento mendeliano o tradicional.</w:t>
            </w:r>
          </w:p>
          <w:p w14:paraId="7814726C" w14:textId="77777777" w:rsidR="00D103A5" w:rsidRPr="002078FB" w:rsidRDefault="00D103A5" w:rsidP="00C412FF">
            <w:pPr>
              <w:jc w:val="both"/>
              <w:rPr>
                <w:rFonts w:cstheme="minorHAnsi"/>
              </w:rPr>
            </w:pPr>
          </w:p>
          <w:p w14:paraId="43768116" w14:textId="77777777" w:rsidR="00D103A5" w:rsidRPr="002078FB" w:rsidRDefault="00D103A5" w:rsidP="00C412FF">
            <w:pPr>
              <w:jc w:val="both"/>
              <w:rPr>
                <w:rFonts w:cstheme="minorHAnsi"/>
              </w:rPr>
            </w:pPr>
            <w:r w:rsidRPr="002078FB">
              <w:rPr>
                <w:rFonts w:cstheme="minorHAnsi"/>
              </w:rPr>
              <w:t>Por último, se debe señalar que el Ejecutivo está preparando junto al consejo de la sociedad civil indicaciones al proyecto del regula la protección de obtenciones vegetales</w:t>
            </w:r>
            <w:r w:rsidRPr="002078FB">
              <w:rPr>
                <w:rFonts w:cstheme="minorHAnsi"/>
                <w:iCs/>
                <w:lang w:val="es-ES_tradnl"/>
              </w:rPr>
              <w:t xml:space="preserve"> (Boletín </w:t>
            </w:r>
            <w:proofErr w:type="spellStart"/>
            <w:r w:rsidRPr="002078FB">
              <w:rPr>
                <w:rFonts w:cstheme="minorHAnsi"/>
                <w:iCs/>
                <w:lang w:val="es-ES_tradnl"/>
              </w:rPr>
              <w:t>N°</w:t>
            </w:r>
            <w:proofErr w:type="spellEnd"/>
            <w:r w:rsidRPr="002078FB">
              <w:rPr>
                <w:rFonts w:cstheme="minorHAnsi"/>
                <w:iCs/>
                <w:lang w:val="es-ES_tradnl"/>
              </w:rPr>
              <w:t xml:space="preserve"> 6.355-01)</w:t>
            </w:r>
            <w:r w:rsidRPr="002078FB">
              <w:rPr>
                <w:rFonts w:cstheme="minorHAnsi"/>
              </w:rPr>
              <w:t xml:space="preserve">, las cuales no sólo contemplan excepciones para pequeños agricultores, sino un registro de variedades tradicionales para lograr su adecuado resguardo. </w:t>
            </w:r>
          </w:p>
        </w:tc>
      </w:tr>
    </w:tbl>
    <w:p w14:paraId="086C0717" w14:textId="77777777" w:rsidR="00D103A5" w:rsidRPr="002078FB" w:rsidRDefault="00D103A5" w:rsidP="00C412FF">
      <w:pPr>
        <w:spacing w:after="0" w:line="240" w:lineRule="auto"/>
        <w:jc w:val="both"/>
        <w:rPr>
          <w:rFonts w:cstheme="minorHAnsi"/>
        </w:rPr>
      </w:pPr>
    </w:p>
    <w:p w14:paraId="3358BCAC" w14:textId="77777777" w:rsidR="00784D5D" w:rsidRPr="002078FB" w:rsidRDefault="00784D5D" w:rsidP="00C412FF">
      <w:pPr>
        <w:pStyle w:val="Prrafodelista"/>
        <w:numPr>
          <w:ilvl w:val="0"/>
          <w:numId w:val="6"/>
        </w:numPr>
        <w:spacing w:after="0" w:line="240" w:lineRule="auto"/>
        <w:jc w:val="both"/>
        <w:rPr>
          <w:rFonts w:eastAsia="Calibri" w:cstheme="minorHAnsi"/>
          <w:b/>
          <w:u w:val="single"/>
        </w:rPr>
      </w:pPr>
      <w:r w:rsidRPr="002078FB">
        <w:rPr>
          <w:rFonts w:eastAsia="Calibri" w:cstheme="minorHAnsi"/>
          <w:b/>
          <w:u w:val="single"/>
        </w:rPr>
        <w:t>LIMITACIÓN EN CREACIÓN DE EMPRESAS PÚBLICAS</w:t>
      </w:r>
    </w:p>
    <w:p w14:paraId="6E4AD89D" w14:textId="77777777" w:rsidR="00784D5D" w:rsidRPr="002078FB" w:rsidRDefault="00784D5D" w:rsidP="00C412FF">
      <w:pPr>
        <w:spacing w:after="0" w:line="240" w:lineRule="auto"/>
        <w:jc w:val="both"/>
        <w:rPr>
          <w:rFonts w:eastAsia="Calibri" w:cstheme="minorHAnsi"/>
          <w:b/>
          <w:u w:val="single"/>
        </w:rPr>
      </w:pPr>
    </w:p>
    <w:p w14:paraId="4864FFD6" w14:textId="77777777" w:rsidR="00784D5D" w:rsidRPr="002078FB" w:rsidRDefault="00784D5D" w:rsidP="00C412FF">
      <w:pPr>
        <w:spacing w:line="240" w:lineRule="auto"/>
        <w:jc w:val="both"/>
        <w:rPr>
          <w:rFonts w:eastAsia="Calibri" w:cstheme="minorHAnsi"/>
        </w:rPr>
      </w:pPr>
      <w:r w:rsidRPr="002078FB">
        <w:rPr>
          <w:rFonts w:eastAsia="Calibri" w:cstheme="minorHAnsi"/>
        </w:rPr>
        <w:t>Se ha señalado que el CPTPP limitaría la creación de empresas públicas.</w:t>
      </w:r>
    </w:p>
    <w:tbl>
      <w:tblPr>
        <w:tblStyle w:val="Tablaconcuadrcula2"/>
        <w:tblW w:w="5000" w:type="pct"/>
        <w:tblLook w:val="04A0" w:firstRow="1" w:lastRow="0" w:firstColumn="1" w:lastColumn="0" w:noHBand="0" w:noVBand="1"/>
      </w:tblPr>
      <w:tblGrid>
        <w:gridCol w:w="10070"/>
      </w:tblGrid>
      <w:tr w:rsidR="00784D5D" w:rsidRPr="002078FB" w14:paraId="4F4A2BC4" w14:textId="77777777" w:rsidTr="00066133">
        <w:tc>
          <w:tcPr>
            <w:tcW w:w="5000" w:type="pct"/>
          </w:tcPr>
          <w:p w14:paraId="4F178F10" w14:textId="18D9DA8E" w:rsidR="00784D5D" w:rsidRPr="002078FB" w:rsidRDefault="00784D5D" w:rsidP="00C412FF">
            <w:pPr>
              <w:jc w:val="both"/>
              <w:rPr>
                <w:rFonts w:eastAsia="Calibri" w:cstheme="minorHAnsi"/>
              </w:rPr>
            </w:pPr>
            <w:r w:rsidRPr="002078FB">
              <w:rPr>
                <w:rFonts w:eastAsia="Calibri" w:cstheme="minorHAnsi"/>
              </w:rPr>
              <w:t>Ninguna disposición del CPTPP – especialmente el capítulo 17 referente a Empresas del Estado – prohíbe la creación de nuevas empresas del Estado.</w:t>
            </w:r>
          </w:p>
          <w:p w14:paraId="78A23513" w14:textId="77777777" w:rsidR="002E480F" w:rsidRPr="002078FB" w:rsidRDefault="002E480F" w:rsidP="00C412FF">
            <w:pPr>
              <w:jc w:val="both"/>
              <w:rPr>
                <w:rFonts w:eastAsia="Calibri" w:cstheme="minorHAnsi"/>
              </w:rPr>
            </w:pPr>
          </w:p>
          <w:p w14:paraId="55D836B2" w14:textId="01DB22A7" w:rsidR="002E480F" w:rsidRPr="002078FB" w:rsidRDefault="002E480F" w:rsidP="00C412FF">
            <w:pPr>
              <w:widowControl w:val="0"/>
              <w:tabs>
                <w:tab w:val="left" w:pos="462"/>
              </w:tabs>
              <w:autoSpaceDE w:val="0"/>
              <w:autoSpaceDN w:val="0"/>
              <w:spacing w:before="1"/>
              <w:ind w:right="116"/>
              <w:jc w:val="both"/>
              <w:rPr>
                <w:rFonts w:eastAsia="Calibri" w:cstheme="minorHAnsi"/>
              </w:rPr>
            </w:pPr>
            <w:r w:rsidRPr="002078FB">
              <w:rPr>
                <w:rFonts w:eastAsia="Calibri" w:cstheme="minorHAnsi"/>
              </w:rPr>
              <w:t xml:space="preserve">La entrega de subsidios a las empresas públicas en sí no está prohibida. La obligación se refiere a los efectos </w:t>
            </w:r>
            <w:r w:rsidRPr="002078FB">
              <w:rPr>
                <w:rFonts w:eastAsia="Calibri" w:cstheme="minorHAnsi"/>
              </w:rPr>
              <w:lastRenderedPageBreak/>
              <w:t>del subsidio, el compromiso es no perjudicar a empresas de socios CPTPP, sean éstas públicas o privadas.</w:t>
            </w:r>
          </w:p>
          <w:p w14:paraId="4ECD00D0" w14:textId="77777777" w:rsidR="002E480F" w:rsidRPr="002078FB" w:rsidRDefault="002E480F" w:rsidP="00C412FF">
            <w:pPr>
              <w:widowControl w:val="0"/>
              <w:tabs>
                <w:tab w:val="left" w:pos="462"/>
              </w:tabs>
              <w:autoSpaceDE w:val="0"/>
              <w:autoSpaceDN w:val="0"/>
              <w:spacing w:before="1"/>
              <w:ind w:right="116"/>
              <w:jc w:val="both"/>
              <w:rPr>
                <w:rFonts w:eastAsia="Calibri" w:cstheme="minorHAnsi"/>
              </w:rPr>
            </w:pPr>
          </w:p>
          <w:p w14:paraId="65B797DF" w14:textId="0477176F" w:rsidR="002E480F" w:rsidRPr="002078FB" w:rsidRDefault="002E480F" w:rsidP="00C412FF">
            <w:pPr>
              <w:widowControl w:val="0"/>
              <w:tabs>
                <w:tab w:val="left" w:pos="461"/>
                <w:tab w:val="left" w:pos="462"/>
              </w:tabs>
              <w:autoSpaceDE w:val="0"/>
              <w:autoSpaceDN w:val="0"/>
              <w:jc w:val="both"/>
              <w:rPr>
                <w:rFonts w:cstheme="minorHAnsi"/>
              </w:rPr>
            </w:pPr>
            <w:r w:rsidRPr="002078FB">
              <w:rPr>
                <w:rFonts w:eastAsia="Calibri" w:cstheme="minorHAnsi"/>
              </w:rPr>
              <w:t>Además, no se impide la capitalización de empresas, nuevas o antiguas. Tampoco existen obligaciones sobre subsidios para empresas que prestan servicios en el mercado doméstico, incluidas las que prestan servicios sociales, tales como salud y educación (dentro del país). La mayoría de las empresas públicas chilenas provee servicios dentro del país.</w:t>
            </w:r>
          </w:p>
        </w:tc>
      </w:tr>
    </w:tbl>
    <w:p w14:paraId="6B7DCB4D" w14:textId="77777777" w:rsidR="00784D5D" w:rsidRPr="002078FB" w:rsidRDefault="00784D5D" w:rsidP="00C412FF">
      <w:pPr>
        <w:spacing w:after="0" w:line="240" w:lineRule="auto"/>
        <w:jc w:val="both"/>
        <w:rPr>
          <w:rFonts w:eastAsia="Calibri" w:cstheme="minorHAnsi"/>
          <w:b/>
          <w:u w:val="single"/>
        </w:rPr>
      </w:pPr>
    </w:p>
    <w:p w14:paraId="53ED45A7" w14:textId="24EF0979" w:rsidR="00784D5D" w:rsidRPr="002078FB" w:rsidRDefault="00E34C5D" w:rsidP="00C412FF">
      <w:pPr>
        <w:pStyle w:val="Prrafodelista"/>
        <w:numPr>
          <w:ilvl w:val="0"/>
          <w:numId w:val="6"/>
        </w:numPr>
        <w:spacing w:after="0" w:line="240" w:lineRule="auto"/>
        <w:jc w:val="both"/>
        <w:rPr>
          <w:rFonts w:eastAsia="Calibri" w:cstheme="minorHAnsi"/>
          <w:b/>
          <w:u w:val="single"/>
        </w:rPr>
      </w:pPr>
      <w:r w:rsidRPr="002078FB">
        <w:rPr>
          <w:rFonts w:eastAsia="Calibri" w:cstheme="minorHAnsi"/>
          <w:b/>
          <w:u w:val="single"/>
        </w:rPr>
        <w:t>COSTO</w:t>
      </w:r>
      <w:r w:rsidR="00784D5D" w:rsidRPr="002078FB">
        <w:rPr>
          <w:rFonts w:eastAsia="Calibri" w:cstheme="minorHAnsi"/>
          <w:b/>
          <w:u w:val="single"/>
        </w:rPr>
        <w:t xml:space="preserve"> DE LOS MEDICAMENTOS</w:t>
      </w:r>
      <w:r w:rsidR="00AA0A1E" w:rsidRPr="002078FB">
        <w:rPr>
          <w:rFonts w:eastAsia="Calibri" w:cstheme="minorHAnsi"/>
          <w:b/>
          <w:u w:val="single"/>
        </w:rPr>
        <w:t xml:space="preserve"> Y </w:t>
      </w:r>
      <w:r w:rsidRPr="002078FB">
        <w:rPr>
          <w:rFonts w:eastAsia="Calibri" w:cstheme="minorHAnsi"/>
          <w:b/>
          <w:u w:val="single"/>
        </w:rPr>
        <w:t>LINKAGE</w:t>
      </w:r>
    </w:p>
    <w:p w14:paraId="055259B1" w14:textId="2BE9B235" w:rsidR="00E34C5D" w:rsidRPr="002078FB" w:rsidRDefault="00784D5D" w:rsidP="00C412FF">
      <w:pPr>
        <w:spacing w:before="240" w:after="0" w:line="240" w:lineRule="auto"/>
        <w:jc w:val="both"/>
        <w:rPr>
          <w:rFonts w:cstheme="minorHAnsi"/>
        </w:rPr>
      </w:pPr>
      <w:r w:rsidRPr="002078FB">
        <w:rPr>
          <w:rFonts w:eastAsia="Calibri" w:cstheme="minorHAnsi"/>
        </w:rPr>
        <w:t xml:space="preserve">Se ha señalado que el CPTPP fortalece los monopolios de las empresas farmacéuticas transnacionales, impidiendo/retrasando la entrada de medicamentos genéricos.  </w:t>
      </w:r>
      <w:r w:rsidR="00E34C5D" w:rsidRPr="002078FB">
        <w:rPr>
          <w:rFonts w:cstheme="minorHAnsi"/>
        </w:rPr>
        <w:t>También, se ha dicho que, respecto de los segundos usos de patentes y la extensión de la protección de la información no divulgada para productos biológicos, la propuesta original de TPP exigía otorgar protección de información no divulgada por un período adicional de tres años a la nueva información clínica de seguridad y eficacia en una nueva indicación terapéutica de un producto farmacéutico ya conocido.</w:t>
      </w:r>
    </w:p>
    <w:p w14:paraId="3F66638F" w14:textId="77777777" w:rsidR="00E34C5D" w:rsidRPr="002078FB" w:rsidRDefault="00E34C5D" w:rsidP="00C412FF">
      <w:pPr>
        <w:spacing w:after="0" w:line="240" w:lineRule="auto"/>
        <w:jc w:val="both"/>
        <w:rPr>
          <w:rFonts w:cstheme="minorHAnsi"/>
        </w:rPr>
      </w:pPr>
    </w:p>
    <w:tbl>
      <w:tblPr>
        <w:tblStyle w:val="Tablaconcuadrcula2"/>
        <w:tblW w:w="5000" w:type="pct"/>
        <w:tblLook w:val="04A0" w:firstRow="1" w:lastRow="0" w:firstColumn="1" w:lastColumn="0" w:noHBand="0" w:noVBand="1"/>
      </w:tblPr>
      <w:tblGrid>
        <w:gridCol w:w="10070"/>
      </w:tblGrid>
      <w:tr w:rsidR="00784D5D" w:rsidRPr="002078FB" w14:paraId="5A169D18" w14:textId="77777777" w:rsidTr="00066133">
        <w:tc>
          <w:tcPr>
            <w:tcW w:w="5000" w:type="pct"/>
          </w:tcPr>
          <w:p w14:paraId="10785373" w14:textId="77777777" w:rsidR="00784D5D" w:rsidRPr="002078FB" w:rsidRDefault="00784D5D" w:rsidP="00C412FF">
            <w:pPr>
              <w:jc w:val="both"/>
              <w:rPr>
                <w:rFonts w:eastAsia="Calibri" w:cstheme="minorHAnsi"/>
              </w:rPr>
            </w:pPr>
            <w:r w:rsidRPr="002078FB">
              <w:rPr>
                <w:rFonts w:eastAsia="Calibri" w:cstheme="minorHAnsi"/>
                <w:b/>
              </w:rPr>
              <w:t>Ninguna disposición del CPTPP</w:t>
            </w:r>
            <w:r w:rsidRPr="002078FB">
              <w:rPr>
                <w:rFonts w:eastAsia="Calibri" w:cstheme="minorHAnsi"/>
              </w:rPr>
              <w:t xml:space="preserve"> – Subsección B del Capítulo 18 (Propiedad Intelectual) – tendrá un </w:t>
            </w:r>
            <w:r w:rsidRPr="002078FB">
              <w:rPr>
                <w:rFonts w:eastAsia="Calibri" w:cstheme="minorHAnsi"/>
                <w:b/>
              </w:rPr>
              <w:t>efecto en el precio de los medicamentos en el mercado chileno.</w:t>
            </w:r>
            <w:r w:rsidRPr="002078FB">
              <w:rPr>
                <w:rFonts w:eastAsia="Calibri" w:cstheme="minorHAnsi"/>
              </w:rPr>
              <w:t xml:space="preserve"> El régimen legal existente se mantiene intacto. </w:t>
            </w:r>
          </w:p>
          <w:p w14:paraId="78229E1C" w14:textId="77777777" w:rsidR="00E34C5D" w:rsidRPr="002078FB" w:rsidRDefault="00E34C5D" w:rsidP="00C412FF">
            <w:pPr>
              <w:jc w:val="both"/>
              <w:rPr>
                <w:rFonts w:eastAsia="Calibri" w:cstheme="minorHAnsi"/>
              </w:rPr>
            </w:pPr>
          </w:p>
          <w:p w14:paraId="2C0F17F3" w14:textId="0A7A3ACA" w:rsidR="00E34C5D" w:rsidRPr="002078FB" w:rsidRDefault="00E34C5D" w:rsidP="00C412FF">
            <w:pPr>
              <w:jc w:val="both"/>
              <w:rPr>
                <w:rFonts w:eastAsia="Calibri" w:cstheme="minorHAnsi"/>
              </w:rPr>
            </w:pPr>
            <w:r w:rsidRPr="002078FB">
              <w:rPr>
                <w:rFonts w:cstheme="minorHAnsi"/>
                <w:b/>
              </w:rPr>
              <w:t xml:space="preserve">La norma de segundos usos para patentes está suspendida. Asimismo, la norma que exigía otorgar una protección especial a la información no divulgada de productos farmacéuticos de síntesis biológica también fue suspendida. </w:t>
            </w:r>
            <w:r w:rsidRPr="002078FB">
              <w:rPr>
                <w:rFonts w:cstheme="minorHAnsi"/>
              </w:rPr>
              <w:t>La suspensión permite entonces que cada país si así lo desee excluya a dichos productos de protección.</w:t>
            </w:r>
          </w:p>
        </w:tc>
      </w:tr>
    </w:tbl>
    <w:p w14:paraId="5EFFF7C4" w14:textId="4C7A443C" w:rsidR="00784D5D" w:rsidRPr="002078FB" w:rsidRDefault="00784D5D" w:rsidP="00C412FF">
      <w:pPr>
        <w:spacing w:after="0" w:line="240" w:lineRule="auto"/>
        <w:jc w:val="both"/>
        <w:rPr>
          <w:rFonts w:eastAsia="Calibri" w:cstheme="minorHAnsi"/>
          <w:b/>
        </w:rPr>
      </w:pPr>
      <w:r w:rsidRPr="002078FB">
        <w:rPr>
          <w:rFonts w:eastAsia="Calibri" w:cstheme="minorHAnsi"/>
          <w:b/>
          <w:u w:val="single"/>
        </w:rPr>
        <w:t xml:space="preserve"> </w:t>
      </w:r>
    </w:p>
    <w:p w14:paraId="18152854" w14:textId="77777777" w:rsidR="00784D5D" w:rsidRPr="002078FB" w:rsidRDefault="00784D5D" w:rsidP="00C412FF">
      <w:pPr>
        <w:spacing w:line="240" w:lineRule="auto"/>
        <w:jc w:val="both"/>
        <w:rPr>
          <w:rFonts w:eastAsia="Calibri" w:cstheme="minorHAnsi"/>
        </w:rPr>
      </w:pPr>
      <w:r w:rsidRPr="002078FB">
        <w:rPr>
          <w:rFonts w:eastAsia="Calibri" w:cstheme="minorHAnsi"/>
        </w:rPr>
        <w:t xml:space="preserve">Algunos de los argumentos que se han esgrimido en relación al linkage, señalan que el CPTPP exigiría contar con un sistema de notificación al titular de la patente, para que recurra a los tribunales previo a la comercialización del producto (linkage automático). </w:t>
      </w:r>
    </w:p>
    <w:tbl>
      <w:tblPr>
        <w:tblStyle w:val="Tablaconcuadrcula1"/>
        <w:tblW w:w="5000" w:type="pct"/>
        <w:tblLook w:val="04A0" w:firstRow="1" w:lastRow="0" w:firstColumn="1" w:lastColumn="0" w:noHBand="0" w:noVBand="1"/>
      </w:tblPr>
      <w:tblGrid>
        <w:gridCol w:w="10070"/>
      </w:tblGrid>
      <w:tr w:rsidR="00784D5D" w:rsidRPr="002078FB" w14:paraId="079F7FD9" w14:textId="77777777" w:rsidTr="00066133">
        <w:tc>
          <w:tcPr>
            <w:tcW w:w="5000" w:type="pct"/>
          </w:tcPr>
          <w:p w14:paraId="7EB8D80F" w14:textId="36DA8393" w:rsidR="00784D5D" w:rsidRPr="002078FB" w:rsidRDefault="004923D9" w:rsidP="00C412FF">
            <w:pPr>
              <w:spacing w:after="240"/>
              <w:jc w:val="both"/>
              <w:rPr>
                <w:rFonts w:eastAsia="Calibri" w:cstheme="minorHAnsi"/>
                <w:sz w:val="22"/>
                <w:szCs w:val="22"/>
              </w:rPr>
            </w:pPr>
            <w:r w:rsidRPr="002078FB">
              <w:rPr>
                <w:rFonts w:eastAsia="Calibri" w:cstheme="minorHAnsi"/>
                <w:sz w:val="22"/>
                <w:szCs w:val="22"/>
              </w:rPr>
              <w:t>El linkage</w:t>
            </w:r>
            <w:r w:rsidR="00784D5D" w:rsidRPr="002078FB">
              <w:rPr>
                <w:rFonts w:eastAsia="Calibri" w:cstheme="minorHAnsi"/>
                <w:sz w:val="22"/>
                <w:szCs w:val="22"/>
              </w:rPr>
              <w:t xml:space="preserve"> </w:t>
            </w:r>
            <w:proofErr w:type="spellStart"/>
            <w:r w:rsidR="00784D5D" w:rsidRPr="002078FB">
              <w:rPr>
                <w:rFonts w:eastAsia="Calibri" w:cstheme="minorHAnsi"/>
                <w:sz w:val="22"/>
                <w:szCs w:val="22"/>
              </w:rPr>
              <w:t>consiste</w:t>
            </w:r>
            <w:proofErr w:type="spellEnd"/>
            <w:r w:rsidR="00784D5D" w:rsidRPr="002078FB">
              <w:rPr>
                <w:rFonts w:eastAsia="Calibri" w:cstheme="minorHAnsi"/>
                <w:sz w:val="22"/>
                <w:szCs w:val="22"/>
              </w:rPr>
              <w:t xml:space="preserve"> en </w:t>
            </w:r>
            <w:proofErr w:type="spellStart"/>
            <w:r w:rsidR="00784D5D" w:rsidRPr="002078FB">
              <w:rPr>
                <w:rFonts w:eastAsia="Calibri" w:cstheme="minorHAnsi"/>
                <w:sz w:val="22"/>
                <w:szCs w:val="22"/>
              </w:rPr>
              <w:t>vincular</w:t>
            </w:r>
            <w:proofErr w:type="spellEnd"/>
            <w:r w:rsidR="00784D5D" w:rsidRPr="002078FB">
              <w:rPr>
                <w:rFonts w:eastAsia="Calibri" w:cstheme="minorHAnsi"/>
                <w:sz w:val="22"/>
                <w:szCs w:val="22"/>
              </w:rPr>
              <w:t xml:space="preserve"> la labor de las </w:t>
            </w:r>
            <w:proofErr w:type="spellStart"/>
            <w:r w:rsidR="00784D5D" w:rsidRPr="002078FB">
              <w:rPr>
                <w:rFonts w:eastAsia="Calibri" w:cstheme="minorHAnsi"/>
                <w:sz w:val="22"/>
                <w:szCs w:val="22"/>
              </w:rPr>
              <w:t>autoridades</w:t>
            </w:r>
            <w:proofErr w:type="spellEnd"/>
            <w:r w:rsidR="00784D5D" w:rsidRPr="002078FB">
              <w:rPr>
                <w:rFonts w:eastAsia="Calibri" w:cstheme="minorHAnsi"/>
                <w:sz w:val="22"/>
                <w:szCs w:val="22"/>
              </w:rPr>
              <w:t xml:space="preserve"> </w:t>
            </w:r>
            <w:proofErr w:type="spellStart"/>
            <w:r w:rsidR="00784D5D" w:rsidRPr="002078FB">
              <w:rPr>
                <w:rFonts w:eastAsia="Calibri" w:cstheme="minorHAnsi"/>
                <w:sz w:val="22"/>
                <w:szCs w:val="22"/>
              </w:rPr>
              <w:t>sanitarias</w:t>
            </w:r>
            <w:proofErr w:type="spellEnd"/>
            <w:r w:rsidR="00784D5D" w:rsidRPr="002078FB">
              <w:rPr>
                <w:rFonts w:eastAsia="Calibri" w:cstheme="minorHAnsi"/>
                <w:sz w:val="22"/>
                <w:szCs w:val="22"/>
              </w:rPr>
              <w:t xml:space="preserve"> que </w:t>
            </w:r>
            <w:proofErr w:type="spellStart"/>
            <w:r w:rsidR="00784D5D" w:rsidRPr="002078FB">
              <w:rPr>
                <w:rFonts w:eastAsia="Calibri" w:cstheme="minorHAnsi"/>
                <w:sz w:val="22"/>
                <w:szCs w:val="22"/>
              </w:rPr>
              <w:t>aprueban</w:t>
            </w:r>
            <w:proofErr w:type="spellEnd"/>
            <w:r w:rsidR="00784D5D" w:rsidRPr="002078FB">
              <w:rPr>
                <w:rFonts w:eastAsia="Calibri" w:cstheme="minorHAnsi"/>
                <w:sz w:val="22"/>
                <w:szCs w:val="22"/>
              </w:rPr>
              <w:t xml:space="preserve"> los </w:t>
            </w:r>
            <w:proofErr w:type="spellStart"/>
            <w:r w:rsidR="00784D5D" w:rsidRPr="002078FB">
              <w:rPr>
                <w:rFonts w:eastAsia="Calibri" w:cstheme="minorHAnsi"/>
                <w:sz w:val="22"/>
                <w:szCs w:val="22"/>
              </w:rPr>
              <w:t>permisos</w:t>
            </w:r>
            <w:proofErr w:type="spellEnd"/>
            <w:r w:rsidR="00784D5D" w:rsidRPr="002078FB">
              <w:rPr>
                <w:rFonts w:eastAsia="Calibri" w:cstheme="minorHAnsi"/>
                <w:sz w:val="22"/>
                <w:szCs w:val="22"/>
              </w:rPr>
              <w:t xml:space="preserve"> </w:t>
            </w:r>
            <w:proofErr w:type="spellStart"/>
            <w:r w:rsidR="00784D5D" w:rsidRPr="002078FB">
              <w:rPr>
                <w:rFonts w:eastAsia="Calibri" w:cstheme="minorHAnsi"/>
                <w:sz w:val="22"/>
                <w:szCs w:val="22"/>
              </w:rPr>
              <w:t>sanitarios</w:t>
            </w:r>
            <w:proofErr w:type="spellEnd"/>
            <w:r w:rsidR="00784D5D" w:rsidRPr="002078FB">
              <w:rPr>
                <w:rFonts w:eastAsia="Calibri" w:cstheme="minorHAnsi"/>
                <w:sz w:val="22"/>
                <w:szCs w:val="22"/>
              </w:rPr>
              <w:t xml:space="preserve"> de </w:t>
            </w:r>
            <w:proofErr w:type="spellStart"/>
            <w:r w:rsidR="00784D5D" w:rsidRPr="002078FB">
              <w:rPr>
                <w:rFonts w:eastAsia="Calibri" w:cstheme="minorHAnsi"/>
                <w:sz w:val="22"/>
                <w:szCs w:val="22"/>
              </w:rPr>
              <w:t>medicamentos</w:t>
            </w:r>
            <w:proofErr w:type="spellEnd"/>
            <w:r w:rsidR="00784D5D" w:rsidRPr="002078FB">
              <w:rPr>
                <w:rFonts w:eastAsia="Calibri" w:cstheme="minorHAnsi"/>
                <w:sz w:val="22"/>
                <w:szCs w:val="22"/>
              </w:rPr>
              <w:t xml:space="preserve"> y la labor que </w:t>
            </w:r>
            <w:proofErr w:type="spellStart"/>
            <w:r w:rsidR="00784D5D" w:rsidRPr="002078FB">
              <w:rPr>
                <w:rFonts w:eastAsia="Calibri" w:cstheme="minorHAnsi"/>
                <w:sz w:val="22"/>
                <w:szCs w:val="22"/>
              </w:rPr>
              <w:t>hace</w:t>
            </w:r>
            <w:proofErr w:type="spellEnd"/>
            <w:r w:rsidR="00784D5D" w:rsidRPr="002078FB">
              <w:rPr>
                <w:rFonts w:eastAsia="Calibri" w:cstheme="minorHAnsi"/>
                <w:sz w:val="22"/>
                <w:szCs w:val="22"/>
              </w:rPr>
              <w:t xml:space="preserve"> la </w:t>
            </w:r>
            <w:proofErr w:type="spellStart"/>
            <w:r w:rsidR="00784D5D" w:rsidRPr="002078FB">
              <w:rPr>
                <w:rFonts w:eastAsia="Calibri" w:cstheme="minorHAnsi"/>
                <w:sz w:val="22"/>
                <w:szCs w:val="22"/>
              </w:rPr>
              <w:t>oficina</w:t>
            </w:r>
            <w:proofErr w:type="spellEnd"/>
            <w:r w:rsidR="00784D5D" w:rsidRPr="002078FB">
              <w:rPr>
                <w:rFonts w:eastAsia="Calibri" w:cstheme="minorHAnsi"/>
                <w:sz w:val="22"/>
                <w:szCs w:val="22"/>
              </w:rPr>
              <w:t xml:space="preserve"> de </w:t>
            </w:r>
            <w:proofErr w:type="spellStart"/>
            <w:r w:rsidR="00784D5D" w:rsidRPr="002078FB">
              <w:rPr>
                <w:rFonts w:eastAsia="Calibri" w:cstheme="minorHAnsi"/>
                <w:sz w:val="22"/>
                <w:szCs w:val="22"/>
              </w:rPr>
              <w:t>patentes</w:t>
            </w:r>
            <w:proofErr w:type="spellEnd"/>
            <w:r w:rsidR="00784D5D" w:rsidRPr="002078FB">
              <w:rPr>
                <w:rFonts w:eastAsia="Calibri" w:cstheme="minorHAnsi"/>
                <w:sz w:val="22"/>
                <w:szCs w:val="22"/>
              </w:rPr>
              <w:t xml:space="preserve"> </w:t>
            </w:r>
            <w:proofErr w:type="spellStart"/>
            <w:r w:rsidR="00784D5D" w:rsidRPr="002078FB">
              <w:rPr>
                <w:rFonts w:eastAsia="Calibri" w:cstheme="minorHAnsi"/>
                <w:sz w:val="22"/>
                <w:szCs w:val="22"/>
              </w:rPr>
              <w:t>cuando</w:t>
            </w:r>
            <w:proofErr w:type="spellEnd"/>
            <w:r w:rsidR="00784D5D" w:rsidRPr="002078FB">
              <w:rPr>
                <w:rFonts w:eastAsia="Calibri" w:cstheme="minorHAnsi"/>
                <w:sz w:val="22"/>
                <w:szCs w:val="22"/>
              </w:rPr>
              <w:t xml:space="preserve"> concede la </w:t>
            </w:r>
            <w:proofErr w:type="spellStart"/>
            <w:r w:rsidR="00784D5D" w:rsidRPr="002078FB">
              <w:rPr>
                <w:rFonts w:eastAsia="Calibri" w:cstheme="minorHAnsi"/>
                <w:sz w:val="22"/>
                <w:szCs w:val="22"/>
              </w:rPr>
              <w:t>patente</w:t>
            </w:r>
            <w:proofErr w:type="spellEnd"/>
            <w:r w:rsidR="00784D5D" w:rsidRPr="002078FB">
              <w:rPr>
                <w:rFonts w:eastAsia="Calibri" w:cstheme="minorHAnsi"/>
                <w:sz w:val="22"/>
                <w:szCs w:val="22"/>
              </w:rPr>
              <w:t xml:space="preserve"> a un </w:t>
            </w:r>
            <w:proofErr w:type="spellStart"/>
            <w:r w:rsidR="00784D5D" w:rsidRPr="002078FB">
              <w:rPr>
                <w:rFonts w:eastAsia="Calibri" w:cstheme="minorHAnsi"/>
                <w:sz w:val="22"/>
                <w:szCs w:val="22"/>
              </w:rPr>
              <w:t>producto</w:t>
            </w:r>
            <w:proofErr w:type="spellEnd"/>
            <w:r w:rsidR="00784D5D" w:rsidRPr="002078FB">
              <w:rPr>
                <w:rFonts w:eastAsia="Calibri" w:cstheme="minorHAnsi"/>
                <w:sz w:val="22"/>
                <w:szCs w:val="22"/>
              </w:rPr>
              <w:t xml:space="preserve"> </w:t>
            </w:r>
            <w:proofErr w:type="spellStart"/>
            <w:r w:rsidR="00784D5D" w:rsidRPr="002078FB">
              <w:rPr>
                <w:rFonts w:eastAsia="Calibri" w:cstheme="minorHAnsi"/>
                <w:sz w:val="22"/>
                <w:szCs w:val="22"/>
              </w:rPr>
              <w:t>farmacéutico</w:t>
            </w:r>
            <w:proofErr w:type="spellEnd"/>
            <w:r w:rsidR="00784D5D" w:rsidRPr="002078FB">
              <w:rPr>
                <w:rFonts w:eastAsia="Calibri" w:cstheme="minorHAnsi"/>
                <w:sz w:val="22"/>
                <w:szCs w:val="22"/>
              </w:rPr>
              <w:t xml:space="preserve">. A </w:t>
            </w:r>
            <w:proofErr w:type="spellStart"/>
            <w:r w:rsidR="00784D5D" w:rsidRPr="002078FB">
              <w:rPr>
                <w:rFonts w:eastAsia="Calibri" w:cstheme="minorHAnsi"/>
                <w:sz w:val="22"/>
                <w:szCs w:val="22"/>
              </w:rPr>
              <w:t>través</w:t>
            </w:r>
            <w:proofErr w:type="spellEnd"/>
            <w:r w:rsidR="00784D5D" w:rsidRPr="002078FB">
              <w:rPr>
                <w:rFonts w:eastAsia="Calibri" w:cstheme="minorHAnsi"/>
                <w:sz w:val="22"/>
                <w:szCs w:val="22"/>
              </w:rPr>
              <w:t xml:space="preserve"> del “linkage”, lo que se </w:t>
            </w:r>
            <w:proofErr w:type="spellStart"/>
            <w:r w:rsidR="00784D5D" w:rsidRPr="002078FB">
              <w:rPr>
                <w:rFonts w:eastAsia="Calibri" w:cstheme="minorHAnsi"/>
                <w:sz w:val="22"/>
                <w:szCs w:val="22"/>
              </w:rPr>
              <w:t>busca</w:t>
            </w:r>
            <w:proofErr w:type="spellEnd"/>
            <w:r w:rsidR="00784D5D" w:rsidRPr="002078FB">
              <w:rPr>
                <w:rFonts w:eastAsia="Calibri" w:cstheme="minorHAnsi"/>
                <w:sz w:val="22"/>
                <w:szCs w:val="22"/>
              </w:rPr>
              <w:t xml:space="preserve"> es que la </w:t>
            </w:r>
            <w:proofErr w:type="spellStart"/>
            <w:r w:rsidR="00784D5D" w:rsidRPr="002078FB">
              <w:rPr>
                <w:rFonts w:eastAsia="Calibri" w:cstheme="minorHAnsi"/>
                <w:sz w:val="22"/>
                <w:szCs w:val="22"/>
              </w:rPr>
              <w:t>autoridad</w:t>
            </w:r>
            <w:proofErr w:type="spellEnd"/>
            <w:r w:rsidR="00784D5D" w:rsidRPr="002078FB">
              <w:rPr>
                <w:rFonts w:eastAsia="Calibri" w:cstheme="minorHAnsi"/>
                <w:sz w:val="22"/>
                <w:szCs w:val="22"/>
              </w:rPr>
              <w:t xml:space="preserve"> sanitaria no </w:t>
            </w:r>
            <w:proofErr w:type="spellStart"/>
            <w:r w:rsidR="00784D5D" w:rsidRPr="002078FB">
              <w:rPr>
                <w:rFonts w:eastAsia="Calibri" w:cstheme="minorHAnsi"/>
                <w:sz w:val="22"/>
                <w:szCs w:val="22"/>
              </w:rPr>
              <w:t>otorgue</w:t>
            </w:r>
            <w:proofErr w:type="spellEnd"/>
            <w:r w:rsidR="00784D5D" w:rsidRPr="002078FB">
              <w:rPr>
                <w:rFonts w:eastAsia="Calibri" w:cstheme="minorHAnsi"/>
                <w:sz w:val="22"/>
                <w:szCs w:val="22"/>
              </w:rPr>
              <w:t xml:space="preserve"> </w:t>
            </w:r>
            <w:proofErr w:type="spellStart"/>
            <w:r w:rsidR="00784D5D" w:rsidRPr="002078FB">
              <w:rPr>
                <w:rFonts w:eastAsia="Calibri" w:cstheme="minorHAnsi"/>
                <w:sz w:val="22"/>
                <w:szCs w:val="22"/>
              </w:rPr>
              <w:t>permisos</w:t>
            </w:r>
            <w:proofErr w:type="spellEnd"/>
            <w:r w:rsidR="00784D5D" w:rsidRPr="002078FB">
              <w:rPr>
                <w:rFonts w:eastAsia="Calibri" w:cstheme="minorHAnsi"/>
                <w:sz w:val="22"/>
                <w:szCs w:val="22"/>
              </w:rPr>
              <w:t xml:space="preserve"> </w:t>
            </w:r>
            <w:proofErr w:type="spellStart"/>
            <w:r w:rsidR="00784D5D" w:rsidRPr="002078FB">
              <w:rPr>
                <w:rFonts w:eastAsia="Calibri" w:cstheme="minorHAnsi"/>
                <w:sz w:val="22"/>
                <w:szCs w:val="22"/>
              </w:rPr>
              <w:t>sanitarios</w:t>
            </w:r>
            <w:proofErr w:type="spellEnd"/>
            <w:r w:rsidR="00784D5D" w:rsidRPr="002078FB">
              <w:rPr>
                <w:rFonts w:eastAsia="Calibri" w:cstheme="minorHAnsi"/>
                <w:sz w:val="22"/>
                <w:szCs w:val="22"/>
              </w:rPr>
              <w:t xml:space="preserve"> a </w:t>
            </w:r>
            <w:proofErr w:type="spellStart"/>
            <w:r w:rsidR="00784D5D" w:rsidRPr="002078FB">
              <w:rPr>
                <w:rFonts w:eastAsia="Calibri" w:cstheme="minorHAnsi"/>
                <w:sz w:val="22"/>
                <w:szCs w:val="22"/>
              </w:rPr>
              <w:t>productos</w:t>
            </w:r>
            <w:proofErr w:type="spellEnd"/>
            <w:r w:rsidR="00784D5D" w:rsidRPr="002078FB">
              <w:rPr>
                <w:rFonts w:eastAsia="Calibri" w:cstheme="minorHAnsi"/>
                <w:sz w:val="22"/>
                <w:szCs w:val="22"/>
              </w:rPr>
              <w:t xml:space="preserve"> </w:t>
            </w:r>
            <w:proofErr w:type="spellStart"/>
            <w:r w:rsidR="00784D5D" w:rsidRPr="002078FB">
              <w:rPr>
                <w:rFonts w:eastAsia="Calibri" w:cstheme="minorHAnsi"/>
                <w:sz w:val="22"/>
                <w:szCs w:val="22"/>
              </w:rPr>
              <w:t>farmacéuticos</w:t>
            </w:r>
            <w:proofErr w:type="spellEnd"/>
            <w:r w:rsidR="00784D5D" w:rsidRPr="002078FB">
              <w:rPr>
                <w:rFonts w:eastAsia="Calibri" w:cstheme="minorHAnsi"/>
                <w:sz w:val="22"/>
                <w:szCs w:val="22"/>
              </w:rPr>
              <w:t xml:space="preserve"> </w:t>
            </w:r>
            <w:proofErr w:type="spellStart"/>
            <w:r w:rsidR="00784D5D" w:rsidRPr="002078FB">
              <w:rPr>
                <w:rFonts w:eastAsia="Calibri" w:cstheme="minorHAnsi"/>
                <w:sz w:val="22"/>
                <w:szCs w:val="22"/>
              </w:rPr>
              <w:t>genéricos</w:t>
            </w:r>
            <w:proofErr w:type="spellEnd"/>
            <w:r w:rsidR="00784D5D" w:rsidRPr="002078FB">
              <w:rPr>
                <w:rFonts w:eastAsia="Calibri" w:cstheme="minorHAnsi"/>
                <w:sz w:val="22"/>
                <w:szCs w:val="22"/>
              </w:rPr>
              <w:t xml:space="preserve"> hasta la </w:t>
            </w:r>
            <w:proofErr w:type="spellStart"/>
            <w:r w:rsidR="00784D5D" w:rsidRPr="002078FB">
              <w:rPr>
                <w:rFonts w:eastAsia="Calibri" w:cstheme="minorHAnsi"/>
                <w:sz w:val="22"/>
                <w:szCs w:val="22"/>
              </w:rPr>
              <w:t>expiración</w:t>
            </w:r>
            <w:proofErr w:type="spellEnd"/>
            <w:r w:rsidR="00784D5D" w:rsidRPr="002078FB">
              <w:rPr>
                <w:rFonts w:eastAsia="Calibri" w:cstheme="minorHAnsi"/>
                <w:sz w:val="22"/>
                <w:szCs w:val="22"/>
              </w:rPr>
              <w:t xml:space="preserve"> de la </w:t>
            </w:r>
            <w:proofErr w:type="spellStart"/>
            <w:r w:rsidR="00784D5D" w:rsidRPr="002078FB">
              <w:rPr>
                <w:rFonts w:eastAsia="Calibri" w:cstheme="minorHAnsi"/>
                <w:sz w:val="22"/>
                <w:szCs w:val="22"/>
              </w:rPr>
              <w:t>patente</w:t>
            </w:r>
            <w:proofErr w:type="spellEnd"/>
            <w:r w:rsidR="00784D5D" w:rsidRPr="002078FB">
              <w:rPr>
                <w:rFonts w:eastAsia="Calibri" w:cstheme="minorHAnsi"/>
                <w:sz w:val="22"/>
                <w:szCs w:val="22"/>
              </w:rPr>
              <w:t>.</w:t>
            </w:r>
          </w:p>
          <w:p w14:paraId="1445A479" w14:textId="77777777" w:rsidR="00784D5D" w:rsidRPr="002078FB" w:rsidRDefault="00784D5D" w:rsidP="00C412FF">
            <w:pPr>
              <w:jc w:val="both"/>
              <w:rPr>
                <w:rFonts w:eastAsia="Calibri" w:cstheme="minorHAnsi"/>
                <w:b/>
                <w:sz w:val="22"/>
                <w:szCs w:val="22"/>
              </w:rPr>
            </w:pPr>
            <w:r w:rsidRPr="002078FB">
              <w:rPr>
                <w:rFonts w:eastAsia="Calibri" w:cstheme="minorHAnsi"/>
                <w:sz w:val="22"/>
                <w:szCs w:val="22"/>
              </w:rPr>
              <w:t xml:space="preserve">El </w:t>
            </w:r>
            <w:proofErr w:type="spellStart"/>
            <w:r w:rsidRPr="002078FB">
              <w:rPr>
                <w:rFonts w:eastAsia="Calibri" w:cstheme="minorHAnsi"/>
                <w:b/>
                <w:sz w:val="22"/>
                <w:szCs w:val="22"/>
              </w:rPr>
              <w:t>artículo</w:t>
            </w:r>
            <w:proofErr w:type="spellEnd"/>
            <w:r w:rsidRPr="002078FB">
              <w:rPr>
                <w:rFonts w:eastAsia="Calibri" w:cstheme="minorHAnsi"/>
                <w:b/>
                <w:sz w:val="22"/>
                <w:szCs w:val="22"/>
              </w:rPr>
              <w:t xml:space="preserve"> 18.53 del CPTPP </w:t>
            </w:r>
            <w:proofErr w:type="spellStart"/>
            <w:r w:rsidRPr="002078FB">
              <w:rPr>
                <w:rFonts w:eastAsia="Calibri" w:cstheme="minorHAnsi"/>
                <w:b/>
                <w:sz w:val="22"/>
                <w:szCs w:val="22"/>
              </w:rPr>
              <w:t>contempla</w:t>
            </w:r>
            <w:proofErr w:type="spellEnd"/>
            <w:r w:rsidRPr="002078FB">
              <w:rPr>
                <w:rFonts w:eastAsia="Calibri" w:cstheme="minorHAnsi"/>
                <w:b/>
                <w:sz w:val="22"/>
                <w:szCs w:val="22"/>
              </w:rPr>
              <w:t xml:space="preserve"> dos </w:t>
            </w:r>
            <w:proofErr w:type="spellStart"/>
            <w:r w:rsidRPr="002078FB">
              <w:rPr>
                <w:rFonts w:eastAsia="Calibri" w:cstheme="minorHAnsi"/>
                <w:b/>
                <w:sz w:val="22"/>
                <w:szCs w:val="22"/>
              </w:rPr>
              <w:t>estándares</w:t>
            </w:r>
            <w:proofErr w:type="spellEnd"/>
            <w:r w:rsidRPr="002078FB">
              <w:rPr>
                <w:rFonts w:eastAsia="Calibri" w:cstheme="minorHAnsi"/>
                <w:b/>
                <w:sz w:val="22"/>
                <w:szCs w:val="22"/>
              </w:rPr>
              <w:t xml:space="preserve"> </w:t>
            </w:r>
            <w:proofErr w:type="spellStart"/>
            <w:r w:rsidRPr="002078FB">
              <w:rPr>
                <w:rFonts w:eastAsia="Calibri" w:cstheme="minorHAnsi"/>
                <w:b/>
                <w:sz w:val="22"/>
                <w:szCs w:val="22"/>
              </w:rPr>
              <w:t>alternativos</w:t>
            </w:r>
            <w:proofErr w:type="spellEnd"/>
            <w:r w:rsidRPr="002078FB">
              <w:rPr>
                <w:rFonts w:eastAsia="Calibri" w:cstheme="minorHAnsi"/>
                <w:b/>
                <w:sz w:val="22"/>
                <w:szCs w:val="22"/>
              </w:rPr>
              <w:t xml:space="preserve"> de “linkage” (judicial y </w:t>
            </w:r>
            <w:proofErr w:type="spellStart"/>
            <w:r w:rsidRPr="002078FB">
              <w:rPr>
                <w:rFonts w:eastAsia="Calibri" w:cstheme="minorHAnsi"/>
                <w:b/>
                <w:sz w:val="22"/>
                <w:szCs w:val="22"/>
              </w:rPr>
              <w:t>automático</w:t>
            </w:r>
            <w:proofErr w:type="spellEnd"/>
            <w:r w:rsidRPr="002078FB">
              <w:rPr>
                <w:rFonts w:eastAsia="Calibri" w:cstheme="minorHAnsi"/>
                <w:b/>
                <w:sz w:val="22"/>
                <w:szCs w:val="22"/>
              </w:rPr>
              <w:t>)</w:t>
            </w:r>
            <w:r w:rsidRPr="002078FB">
              <w:rPr>
                <w:rFonts w:eastAsia="Calibri" w:cstheme="minorHAnsi"/>
                <w:sz w:val="22"/>
                <w:szCs w:val="22"/>
              </w:rPr>
              <w:t xml:space="preserve"> para regular la </w:t>
            </w:r>
            <w:proofErr w:type="spellStart"/>
            <w:r w:rsidRPr="002078FB">
              <w:rPr>
                <w:rFonts w:eastAsia="Calibri" w:cstheme="minorHAnsi"/>
                <w:sz w:val="22"/>
                <w:szCs w:val="22"/>
              </w:rPr>
              <w:t>relación</w:t>
            </w:r>
            <w:proofErr w:type="spellEnd"/>
            <w:r w:rsidRPr="002078FB">
              <w:rPr>
                <w:rFonts w:eastAsia="Calibri" w:cstheme="minorHAnsi"/>
                <w:sz w:val="22"/>
                <w:szCs w:val="22"/>
              </w:rPr>
              <w:t xml:space="preserve"> entre el </w:t>
            </w:r>
            <w:proofErr w:type="spellStart"/>
            <w:r w:rsidRPr="002078FB">
              <w:rPr>
                <w:rFonts w:eastAsia="Calibri" w:cstheme="minorHAnsi"/>
                <w:sz w:val="22"/>
                <w:szCs w:val="22"/>
              </w:rPr>
              <w:t>otorgamiento</w:t>
            </w:r>
            <w:proofErr w:type="spellEnd"/>
            <w:r w:rsidRPr="002078FB">
              <w:rPr>
                <w:rFonts w:eastAsia="Calibri" w:cstheme="minorHAnsi"/>
                <w:sz w:val="22"/>
                <w:szCs w:val="22"/>
              </w:rPr>
              <w:t xml:space="preserve"> de la </w:t>
            </w:r>
            <w:proofErr w:type="spellStart"/>
            <w:r w:rsidRPr="002078FB">
              <w:rPr>
                <w:rFonts w:eastAsia="Calibri" w:cstheme="minorHAnsi"/>
                <w:sz w:val="22"/>
                <w:szCs w:val="22"/>
              </w:rPr>
              <w:t>patente</w:t>
            </w:r>
            <w:proofErr w:type="spellEnd"/>
            <w:r w:rsidRPr="002078FB">
              <w:rPr>
                <w:rFonts w:eastAsia="Calibri" w:cstheme="minorHAnsi"/>
                <w:sz w:val="22"/>
                <w:szCs w:val="22"/>
              </w:rPr>
              <w:t xml:space="preserve"> de un </w:t>
            </w:r>
            <w:proofErr w:type="spellStart"/>
            <w:r w:rsidRPr="002078FB">
              <w:rPr>
                <w:rFonts w:eastAsia="Calibri" w:cstheme="minorHAnsi"/>
                <w:sz w:val="22"/>
                <w:szCs w:val="22"/>
              </w:rPr>
              <w:t>medicamento</w:t>
            </w:r>
            <w:proofErr w:type="spellEnd"/>
            <w:r w:rsidRPr="002078FB">
              <w:rPr>
                <w:rFonts w:eastAsia="Calibri" w:cstheme="minorHAnsi"/>
                <w:sz w:val="22"/>
                <w:szCs w:val="22"/>
              </w:rPr>
              <w:t xml:space="preserve"> y el </w:t>
            </w:r>
            <w:proofErr w:type="spellStart"/>
            <w:r w:rsidRPr="002078FB">
              <w:rPr>
                <w:rFonts w:eastAsia="Calibri" w:cstheme="minorHAnsi"/>
                <w:sz w:val="22"/>
                <w:szCs w:val="22"/>
              </w:rPr>
              <w:t>permiso</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sanitario</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correspondiente</w:t>
            </w:r>
            <w:proofErr w:type="spellEnd"/>
            <w:r w:rsidRPr="002078FB">
              <w:rPr>
                <w:rFonts w:eastAsia="Calibri" w:cstheme="minorHAnsi"/>
                <w:sz w:val="22"/>
                <w:szCs w:val="22"/>
              </w:rPr>
              <w:t xml:space="preserve">. </w:t>
            </w:r>
            <w:proofErr w:type="spellStart"/>
            <w:r w:rsidRPr="002078FB">
              <w:rPr>
                <w:rFonts w:eastAsia="Calibri" w:cstheme="minorHAnsi"/>
                <w:b/>
                <w:sz w:val="22"/>
                <w:szCs w:val="22"/>
              </w:rPr>
              <w:t>Cada</w:t>
            </w:r>
            <w:proofErr w:type="spellEnd"/>
            <w:r w:rsidRPr="002078FB">
              <w:rPr>
                <w:rFonts w:eastAsia="Calibri" w:cstheme="minorHAnsi"/>
                <w:b/>
                <w:sz w:val="22"/>
                <w:szCs w:val="22"/>
              </w:rPr>
              <w:t xml:space="preserve"> </w:t>
            </w:r>
            <w:proofErr w:type="spellStart"/>
            <w:r w:rsidRPr="002078FB">
              <w:rPr>
                <w:rFonts w:eastAsia="Calibri" w:cstheme="minorHAnsi"/>
                <w:b/>
                <w:sz w:val="22"/>
                <w:szCs w:val="22"/>
              </w:rPr>
              <w:t>país</w:t>
            </w:r>
            <w:proofErr w:type="spellEnd"/>
            <w:r w:rsidRPr="002078FB">
              <w:rPr>
                <w:rFonts w:eastAsia="Calibri" w:cstheme="minorHAnsi"/>
                <w:b/>
                <w:sz w:val="22"/>
                <w:szCs w:val="22"/>
              </w:rPr>
              <w:t xml:space="preserve"> </w:t>
            </w:r>
            <w:proofErr w:type="spellStart"/>
            <w:r w:rsidRPr="002078FB">
              <w:rPr>
                <w:rFonts w:eastAsia="Calibri" w:cstheme="minorHAnsi"/>
                <w:b/>
                <w:sz w:val="22"/>
                <w:szCs w:val="22"/>
              </w:rPr>
              <w:t>elige</w:t>
            </w:r>
            <w:proofErr w:type="spellEnd"/>
            <w:r w:rsidRPr="002078FB">
              <w:rPr>
                <w:rFonts w:eastAsia="Calibri" w:cstheme="minorHAnsi"/>
                <w:b/>
                <w:sz w:val="22"/>
                <w:szCs w:val="22"/>
              </w:rPr>
              <w:t xml:space="preserve"> el </w:t>
            </w:r>
            <w:proofErr w:type="spellStart"/>
            <w:r w:rsidRPr="002078FB">
              <w:rPr>
                <w:rFonts w:eastAsia="Calibri" w:cstheme="minorHAnsi"/>
                <w:b/>
                <w:sz w:val="22"/>
                <w:szCs w:val="22"/>
              </w:rPr>
              <w:t>estándar</w:t>
            </w:r>
            <w:proofErr w:type="spellEnd"/>
            <w:r w:rsidRPr="002078FB">
              <w:rPr>
                <w:rFonts w:eastAsia="Calibri" w:cstheme="minorHAnsi"/>
                <w:b/>
                <w:sz w:val="22"/>
                <w:szCs w:val="22"/>
              </w:rPr>
              <w:t xml:space="preserve"> que se </w:t>
            </w:r>
            <w:proofErr w:type="spellStart"/>
            <w:r w:rsidRPr="002078FB">
              <w:rPr>
                <w:rFonts w:eastAsia="Calibri" w:cstheme="minorHAnsi"/>
                <w:b/>
                <w:sz w:val="22"/>
                <w:szCs w:val="22"/>
              </w:rPr>
              <w:t>adecúe</w:t>
            </w:r>
            <w:proofErr w:type="spellEnd"/>
            <w:r w:rsidRPr="002078FB">
              <w:rPr>
                <w:rFonts w:eastAsia="Calibri" w:cstheme="minorHAnsi"/>
                <w:b/>
                <w:sz w:val="22"/>
                <w:szCs w:val="22"/>
              </w:rPr>
              <w:t xml:space="preserve"> a </w:t>
            </w:r>
            <w:proofErr w:type="spellStart"/>
            <w:r w:rsidRPr="002078FB">
              <w:rPr>
                <w:rFonts w:eastAsia="Calibri" w:cstheme="minorHAnsi"/>
                <w:b/>
                <w:sz w:val="22"/>
                <w:szCs w:val="22"/>
              </w:rPr>
              <w:t>su</w:t>
            </w:r>
            <w:proofErr w:type="spellEnd"/>
            <w:r w:rsidRPr="002078FB">
              <w:rPr>
                <w:rFonts w:eastAsia="Calibri" w:cstheme="minorHAnsi"/>
                <w:b/>
                <w:sz w:val="22"/>
                <w:szCs w:val="22"/>
              </w:rPr>
              <w:t xml:space="preserve"> </w:t>
            </w:r>
            <w:proofErr w:type="spellStart"/>
            <w:r w:rsidRPr="002078FB">
              <w:rPr>
                <w:rFonts w:eastAsia="Calibri" w:cstheme="minorHAnsi"/>
                <w:b/>
                <w:sz w:val="22"/>
                <w:szCs w:val="22"/>
              </w:rPr>
              <w:t>realidad</w:t>
            </w:r>
            <w:proofErr w:type="spellEnd"/>
            <w:r w:rsidRPr="002078FB">
              <w:rPr>
                <w:rFonts w:eastAsia="Calibri" w:cstheme="minorHAnsi"/>
                <w:b/>
                <w:sz w:val="22"/>
                <w:szCs w:val="22"/>
              </w:rPr>
              <w:t xml:space="preserve"> </w:t>
            </w:r>
            <w:proofErr w:type="spellStart"/>
            <w:r w:rsidRPr="002078FB">
              <w:rPr>
                <w:rFonts w:eastAsia="Calibri" w:cstheme="minorHAnsi"/>
                <w:b/>
                <w:sz w:val="22"/>
                <w:szCs w:val="22"/>
              </w:rPr>
              <w:t>normativa</w:t>
            </w:r>
            <w:proofErr w:type="spellEnd"/>
            <w:r w:rsidRPr="002078FB">
              <w:rPr>
                <w:rFonts w:eastAsia="Calibri" w:cstheme="minorHAnsi"/>
                <w:b/>
                <w:sz w:val="22"/>
                <w:szCs w:val="22"/>
              </w:rPr>
              <w:t>.</w:t>
            </w:r>
            <w:r w:rsidRPr="002078FB">
              <w:rPr>
                <w:rFonts w:eastAsia="Calibri" w:cstheme="minorHAnsi"/>
                <w:sz w:val="22"/>
                <w:szCs w:val="22"/>
              </w:rPr>
              <w:t xml:space="preserve"> Uno de </w:t>
            </w:r>
            <w:proofErr w:type="spellStart"/>
            <w:r w:rsidRPr="002078FB">
              <w:rPr>
                <w:rFonts w:eastAsia="Calibri" w:cstheme="minorHAnsi"/>
                <w:sz w:val="22"/>
                <w:szCs w:val="22"/>
              </w:rPr>
              <w:t>esos</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estándares</w:t>
            </w:r>
            <w:proofErr w:type="spellEnd"/>
            <w:r w:rsidRPr="002078FB">
              <w:rPr>
                <w:rFonts w:eastAsia="Calibri" w:cstheme="minorHAnsi"/>
                <w:sz w:val="22"/>
                <w:szCs w:val="22"/>
              </w:rPr>
              <w:t xml:space="preserve"> dispone que </w:t>
            </w:r>
            <w:proofErr w:type="spellStart"/>
            <w:r w:rsidRPr="002078FB">
              <w:rPr>
                <w:rFonts w:eastAsia="Calibri" w:cstheme="minorHAnsi"/>
                <w:b/>
                <w:sz w:val="22"/>
                <w:szCs w:val="22"/>
              </w:rPr>
              <w:t>sólo</w:t>
            </w:r>
            <w:proofErr w:type="spellEnd"/>
            <w:r w:rsidRPr="002078FB">
              <w:rPr>
                <w:rFonts w:eastAsia="Calibri" w:cstheme="minorHAnsi"/>
                <w:b/>
                <w:sz w:val="22"/>
                <w:szCs w:val="22"/>
              </w:rPr>
              <w:t xml:space="preserve"> </w:t>
            </w:r>
            <w:proofErr w:type="spellStart"/>
            <w:r w:rsidRPr="002078FB">
              <w:rPr>
                <w:rFonts w:eastAsia="Calibri" w:cstheme="minorHAnsi"/>
                <w:b/>
                <w:sz w:val="22"/>
                <w:szCs w:val="22"/>
              </w:rPr>
              <w:t>mediante</w:t>
            </w:r>
            <w:proofErr w:type="spellEnd"/>
            <w:r w:rsidRPr="002078FB">
              <w:rPr>
                <w:rFonts w:eastAsia="Calibri" w:cstheme="minorHAnsi"/>
                <w:b/>
                <w:sz w:val="22"/>
                <w:szCs w:val="22"/>
              </w:rPr>
              <w:t xml:space="preserve"> una </w:t>
            </w:r>
            <w:proofErr w:type="spellStart"/>
            <w:r w:rsidRPr="002078FB">
              <w:rPr>
                <w:rFonts w:eastAsia="Calibri" w:cstheme="minorHAnsi"/>
                <w:b/>
                <w:sz w:val="22"/>
                <w:szCs w:val="22"/>
              </w:rPr>
              <w:t>resolución</w:t>
            </w:r>
            <w:proofErr w:type="spellEnd"/>
            <w:r w:rsidRPr="002078FB">
              <w:rPr>
                <w:rFonts w:eastAsia="Calibri" w:cstheme="minorHAnsi"/>
                <w:b/>
                <w:sz w:val="22"/>
                <w:szCs w:val="22"/>
              </w:rPr>
              <w:t xml:space="preserve"> judicial</w:t>
            </w:r>
            <w:r w:rsidRPr="002078FB">
              <w:rPr>
                <w:rFonts w:eastAsia="Calibri" w:cstheme="minorHAnsi"/>
                <w:sz w:val="22"/>
                <w:szCs w:val="22"/>
              </w:rPr>
              <w:t xml:space="preserve"> la </w:t>
            </w:r>
            <w:proofErr w:type="spellStart"/>
            <w:r w:rsidRPr="002078FB">
              <w:rPr>
                <w:rFonts w:eastAsia="Calibri" w:cstheme="minorHAnsi"/>
                <w:sz w:val="22"/>
                <w:szCs w:val="22"/>
              </w:rPr>
              <w:t>autoridad</w:t>
            </w:r>
            <w:proofErr w:type="spellEnd"/>
            <w:r w:rsidRPr="002078FB">
              <w:rPr>
                <w:rFonts w:eastAsia="Calibri" w:cstheme="minorHAnsi"/>
                <w:sz w:val="22"/>
                <w:szCs w:val="22"/>
              </w:rPr>
              <w:t xml:space="preserve"> sanitaria no </w:t>
            </w:r>
            <w:proofErr w:type="spellStart"/>
            <w:r w:rsidRPr="002078FB">
              <w:rPr>
                <w:rFonts w:eastAsia="Calibri" w:cstheme="minorHAnsi"/>
                <w:sz w:val="22"/>
                <w:szCs w:val="22"/>
              </w:rPr>
              <w:t>pueda</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otorgar</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permisos</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sanitarios</w:t>
            </w:r>
            <w:proofErr w:type="spellEnd"/>
            <w:r w:rsidRPr="002078FB">
              <w:rPr>
                <w:rFonts w:eastAsia="Calibri" w:cstheme="minorHAnsi"/>
                <w:sz w:val="22"/>
                <w:szCs w:val="22"/>
              </w:rPr>
              <w:t xml:space="preserve"> a </w:t>
            </w:r>
            <w:proofErr w:type="spellStart"/>
            <w:r w:rsidRPr="002078FB">
              <w:rPr>
                <w:rFonts w:eastAsia="Calibri" w:cstheme="minorHAnsi"/>
                <w:sz w:val="22"/>
                <w:szCs w:val="22"/>
              </w:rPr>
              <w:t>productos</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farmacéuticos</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genéricos</w:t>
            </w:r>
            <w:proofErr w:type="spellEnd"/>
            <w:r w:rsidRPr="002078FB">
              <w:rPr>
                <w:rFonts w:eastAsia="Calibri" w:cstheme="minorHAnsi"/>
                <w:sz w:val="22"/>
                <w:szCs w:val="22"/>
              </w:rPr>
              <w:t xml:space="preserve"> hasta la </w:t>
            </w:r>
            <w:proofErr w:type="spellStart"/>
            <w:r w:rsidRPr="002078FB">
              <w:rPr>
                <w:rFonts w:eastAsia="Calibri" w:cstheme="minorHAnsi"/>
                <w:sz w:val="22"/>
                <w:szCs w:val="22"/>
              </w:rPr>
              <w:t>expiración</w:t>
            </w:r>
            <w:proofErr w:type="spellEnd"/>
            <w:r w:rsidRPr="002078FB">
              <w:rPr>
                <w:rFonts w:eastAsia="Calibri" w:cstheme="minorHAnsi"/>
                <w:sz w:val="22"/>
                <w:szCs w:val="22"/>
              </w:rPr>
              <w:t xml:space="preserve"> de la </w:t>
            </w:r>
            <w:proofErr w:type="spellStart"/>
            <w:r w:rsidRPr="002078FB">
              <w:rPr>
                <w:rFonts w:eastAsia="Calibri" w:cstheme="minorHAnsi"/>
                <w:sz w:val="22"/>
                <w:szCs w:val="22"/>
              </w:rPr>
              <w:t>patente</w:t>
            </w:r>
            <w:proofErr w:type="spellEnd"/>
            <w:r w:rsidRPr="002078FB">
              <w:rPr>
                <w:rFonts w:eastAsia="Calibri" w:cstheme="minorHAnsi"/>
                <w:sz w:val="22"/>
                <w:szCs w:val="22"/>
              </w:rPr>
              <w:t xml:space="preserve"> (linkage judicial). </w:t>
            </w:r>
            <w:r w:rsidRPr="002078FB">
              <w:rPr>
                <w:rFonts w:eastAsia="Calibri" w:cstheme="minorHAnsi"/>
                <w:b/>
                <w:sz w:val="22"/>
                <w:szCs w:val="22"/>
              </w:rPr>
              <w:t xml:space="preserve">Chile </w:t>
            </w:r>
            <w:proofErr w:type="spellStart"/>
            <w:r w:rsidRPr="002078FB">
              <w:rPr>
                <w:rFonts w:eastAsia="Calibri" w:cstheme="minorHAnsi"/>
                <w:b/>
                <w:sz w:val="22"/>
                <w:szCs w:val="22"/>
              </w:rPr>
              <w:t>aplica</w:t>
            </w:r>
            <w:proofErr w:type="spellEnd"/>
            <w:r w:rsidRPr="002078FB">
              <w:rPr>
                <w:rFonts w:eastAsia="Calibri" w:cstheme="minorHAnsi"/>
                <w:b/>
                <w:sz w:val="22"/>
                <w:szCs w:val="22"/>
              </w:rPr>
              <w:t xml:space="preserve"> </w:t>
            </w:r>
            <w:proofErr w:type="spellStart"/>
            <w:r w:rsidRPr="002078FB">
              <w:rPr>
                <w:rFonts w:eastAsia="Calibri" w:cstheme="minorHAnsi"/>
                <w:b/>
                <w:sz w:val="22"/>
                <w:szCs w:val="22"/>
              </w:rPr>
              <w:t>este</w:t>
            </w:r>
            <w:proofErr w:type="spellEnd"/>
            <w:r w:rsidRPr="002078FB">
              <w:rPr>
                <w:rFonts w:eastAsia="Calibri" w:cstheme="minorHAnsi"/>
                <w:b/>
                <w:sz w:val="22"/>
                <w:szCs w:val="22"/>
              </w:rPr>
              <w:t xml:space="preserve"> </w:t>
            </w:r>
            <w:proofErr w:type="spellStart"/>
            <w:r w:rsidRPr="002078FB">
              <w:rPr>
                <w:rFonts w:eastAsia="Calibri" w:cstheme="minorHAnsi"/>
                <w:b/>
                <w:sz w:val="22"/>
                <w:szCs w:val="22"/>
              </w:rPr>
              <w:t>estándar</w:t>
            </w:r>
            <w:proofErr w:type="spellEnd"/>
            <w:r w:rsidRPr="002078FB">
              <w:rPr>
                <w:rFonts w:eastAsia="Calibri" w:cstheme="minorHAnsi"/>
                <w:b/>
                <w:sz w:val="22"/>
                <w:szCs w:val="22"/>
              </w:rPr>
              <w:t xml:space="preserve"> </w:t>
            </w:r>
            <w:proofErr w:type="spellStart"/>
            <w:r w:rsidRPr="002078FB">
              <w:rPr>
                <w:rFonts w:eastAsia="Calibri" w:cstheme="minorHAnsi"/>
                <w:b/>
                <w:sz w:val="22"/>
                <w:szCs w:val="22"/>
              </w:rPr>
              <w:t>desde</w:t>
            </w:r>
            <w:proofErr w:type="spellEnd"/>
            <w:r w:rsidRPr="002078FB">
              <w:rPr>
                <w:rFonts w:eastAsia="Calibri" w:cstheme="minorHAnsi"/>
                <w:b/>
                <w:sz w:val="22"/>
                <w:szCs w:val="22"/>
              </w:rPr>
              <w:t xml:space="preserve"> </w:t>
            </w:r>
            <w:proofErr w:type="spellStart"/>
            <w:r w:rsidRPr="002078FB">
              <w:rPr>
                <w:rFonts w:eastAsia="Calibri" w:cstheme="minorHAnsi"/>
                <w:b/>
                <w:sz w:val="22"/>
                <w:szCs w:val="22"/>
              </w:rPr>
              <w:t>hace</w:t>
            </w:r>
            <w:proofErr w:type="spellEnd"/>
            <w:r w:rsidRPr="002078FB">
              <w:rPr>
                <w:rFonts w:eastAsia="Calibri" w:cstheme="minorHAnsi"/>
                <w:b/>
                <w:sz w:val="22"/>
                <w:szCs w:val="22"/>
              </w:rPr>
              <w:t xml:space="preserve"> </w:t>
            </w:r>
            <w:proofErr w:type="spellStart"/>
            <w:r w:rsidRPr="002078FB">
              <w:rPr>
                <w:rFonts w:eastAsia="Calibri" w:cstheme="minorHAnsi"/>
                <w:b/>
                <w:sz w:val="22"/>
                <w:szCs w:val="22"/>
              </w:rPr>
              <w:t>más</w:t>
            </w:r>
            <w:proofErr w:type="spellEnd"/>
            <w:r w:rsidRPr="002078FB">
              <w:rPr>
                <w:rFonts w:eastAsia="Calibri" w:cstheme="minorHAnsi"/>
                <w:b/>
                <w:sz w:val="22"/>
                <w:szCs w:val="22"/>
              </w:rPr>
              <w:t xml:space="preserve"> de 15 </w:t>
            </w:r>
            <w:proofErr w:type="spellStart"/>
            <w:r w:rsidRPr="002078FB">
              <w:rPr>
                <w:rFonts w:eastAsia="Calibri" w:cstheme="minorHAnsi"/>
                <w:b/>
                <w:sz w:val="22"/>
                <w:szCs w:val="22"/>
              </w:rPr>
              <w:t>años</w:t>
            </w:r>
            <w:proofErr w:type="spellEnd"/>
            <w:r w:rsidRPr="002078FB">
              <w:rPr>
                <w:rFonts w:eastAsia="Calibri" w:cstheme="minorHAnsi"/>
                <w:b/>
                <w:sz w:val="22"/>
                <w:szCs w:val="22"/>
              </w:rPr>
              <w:t xml:space="preserve">, </w:t>
            </w:r>
            <w:proofErr w:type="spellStart"/>
            <w:r w:rsidRPr="002078FB">
              <w:rPr>
                <w:rFonts w:eastAsia="Calibri" w:cstheme="minorHAnsi"/>
                <w:b/>
                <w:sz w:val="22"/>
                <w:szCs w:val="22"/>
              </w:rPr>
              <w:t>asegurando</w:t>
            </w:r>
            <w:proofErr w:type="spellEnd"/>
            <w:r w:rsidRPr="002078FB">
              <w:rPr>
                <w:rFonts w:eastAsia="Calibri" w:cstheme="minorHAnsi"/>
                <w:b/>
                <w:sz w:val="22"/>
                <w:szCs w:val="22"/>
              </w:rPr>
              <w:t xml:space="preserve"> el </w:t>
            </w:r>
            <w:proofErr w:type="spellStart"/>
            <w:r w:rsidRPr="002078FB">
              <w:rPr>
                <w:rFonts w:eastAsia="Calibri" w:cstheme="minorHAnsi"/>
                <w:b/>
                <w:sz w:val="22"/>
                <w:szCs w:val="22"/>
              </w:rPr>
              <w:t>pleno</w:t>
            </w:r>
            <w:proofErr w:type="spellEnd"/>
            <w:r w:rsidRPr="002078FB">
              <w:rPr>
                <w:rFonts w:eastAsia="Calibri" w:cstheme="minorHAnsi"/>
                <w:b/>
                <w:sz w:val="22"/>
                <w:szCs w:val="22"/>
              </w:rPr>
              <w:t xml:space="preserve"> </w:t>
            </w:r>
            <w:proofErr w:type="spellStart"/>
            <w:r w:rsidRPr="002078FB">
              <w:rPr>
                <w:rFonts w:eastAsia="Calibri" w:cstheme="minorHAnsi"/>
                <w:b/>
                <w:sz w:val="22"/>
                <w:szCs w:val="22"/>
              </w:rPr>
              <w:t>acceso</w:t>
            </w:r>
            <w:proofErr w:type="spellEnd"/>
            <w:r w:rsidRPr="002078FB">
              <w:rPr>
                <w:rFonts w:eastAsia="Calibri" w:cstheme="minorHAnsi"/>
                <w:b/>
                <w:sz w:val="22"/>
                <w:szCs w:val="22"/>
              </w:rPr>
              <w:t xml:space="preserve"> de la </w:t>
            </w:r>
            <w:proofErr w:type="spellStart"/>
            <w:r w:rsidRPr="002078FB">
              <w:rPr>
                <w:rFonts w:eastAsia="Calibri" w:cstheme="minorHAnsi"/>
                <w:b/>
                <w:sz w:val="22"/>
                <w:szCs w:val="22"/>
              </w:rPr>
              <w:t>población</w:t>
            </w:r>
            <w:proofErr w:type="spellEnd"/>
            <w:r w:rsidRPr="002078FB">
              <w:rPr>
                <w:rFonts w:eastAsia="Calibri" w:cstheme="minorHAnsi"/>
                <w:b/>
                <w:sz w:val="22"/>
                <w:szCs w:val="22"/>
              </w:rPr>
              <w:t xml:space="preserve"> a los </w:t>
            </w:r>
            <w:proofErr w:type="spellStart"/>
            <w:r w:rsidRPr="002078FB">
              <w:rPr>
                <w:rFonts w:eastAsia="Calibri" w:cstheme="minorHAnsi"/>
                <w:b/>
                <w:sz w:val="22"/>
                <w:szCs w:val="22"/>
              </w:rPr>
              <w:t>medicamentos</w:t>
            </w:r>
            <w:proofErr w:type="spellEnd"/>
            <w:r w:rsidRPr="002078FB">
              <w:rPr>
                <w:rFonts w:eastAsia="Calibri" w:cstheme="minorHAnsi"/>
                <w:b/>
                <w:sz w:val="22"/>
                <w:szCs w:val="22"/>
              </w:rPr>
              <w:t xml:space="preserve"> </w:t>
            </w:r>
            <w:proofErr w:type="spellStart"/>
            <w:r w:rsidRPr="002078FB">
              <w:rPr>
                <w:rFonts w:eastAsia="Calibri" w:cstheme="minorHAnsi"/>
                <w:b/>
                <w:sz w:val="22"/>
                <w:szCs w:val="22"/>
              </w:rPr>
              <w:t>genéricos</w:t>
            </w:r>
            <w:proofErr w:type="spellEnd"/>
            <w:r w:rsidRPr="002078FB">
              <w:rPr>
                <w:rFonts w:eastAsia="Calibri" w:cstheme="minorHAnsi"/>
                <w:b/>
                <w:sz w:val="22"/>
                <w:szCs w:val="22"/>
              </w:rPr>
              <w:t>.</w:t>
            </w:r>
          </w:p>
          <w:p w14:paraId="4EC37486" w14:textId="77777777" w:rsidR="00E9444D" w:rsidRPr="002078FB" w:rsidRDefault="00E9444D" w:rsidP="00C412FF">
            <w:pPr>
              <w:jc w:val="both"/>
              <w:rPr>
                <w:rFonts w:eastAsia="Calibri" w:cstheme="minorHAnsi"/>
                <w:sz w:val="22"/>
                <w:szCs w:val="22"/>
              </w:rPr>
            </w:pPr>
          </w:p>
          <w:p w14:paraId="3B5A05DB" w14:textId="77777777" w:rsidR="00E9444D" w:rsidRPr="002078FB" w:rsidRDefault="00547751" w:rsidP="00C412FF">
            <w:pPr>
              <w:jc w:val="both"/>
              <w:rPr>
                <w:rFonts w:eastAsia="Calibri" w:cstheme="minorHAnsi"/>
                <w:sz w:val="22"/>
                <w:szCs w:val="22"/>
              </w:rPr>
            </w:pPr>
            <w:r w:rsidRPr="002078FB">
              <w:rPr>
                <w:rFonts w:eastAsia="Calibri" w:cstheme="minorHAnsi"/>
                <w:sz w:val="22"/>
                <w:szCs w:val="22"/>
              </w:rPr>
              <w:t xml:space="preserve">En la </w:t>
            </w:r>
            <w:proofErr w:type="spellStart"/>
            <w:r w:rsidRPr="002078FB">
              <w:rPr>
                <w:rFonts w:eastAsia="Calibri" w:cstheme="minorHAnsi"/>
                <w:sz w:val="22"/>
                <w:szCs w:val="22"/>
              </w:rPr>
              <w:t>misma</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línea</w:t>
            </w:r>
            <w:proofErr w:type="spellEnd"/>
            <w:r w:rsidRPr="002078FB">
              <w:rPr>
                <w:rFonts w:eastAsia="Calibri" w:cstheme="minorHAnsi"/>
                <w:sz w:val="22"/>
                <w:szCs w:val="22"/>
              </w:rPr>
              <w:t xml:space="preserve"> anterior</w:t>
            </w:r>
            <w:r w:rsidR="00E9444D" w:rsidRPr="002078FB">
              <w:rPr>
                <w:rFonts w:eastAsia="Calibri" w:cstheme="minorHAnsi"/>
                <w:sz w:val="22"/>
                <w:szCs w:val="22"/>
              </w:rPr>
              <w:t xml:space="preserve">, </w:t>
            </w:r>
            <w:proofErr w:type="spellStart"/>
            <w:r w:rsidR="00E9444D" w:rsidRPr="002078FB">
              <w:rPr>
                <w:rFonts w:eastAsia="Calibri" w:cstheme="minorHAnsi"/>
                <w:b/>
                <w:sz w:val="22"/>
                <w:szCs w:val="22"/>
              </w:rPr>
              <w:t>este</w:t>
            </w:r>
            <w:proofErr w:type="spellEnd"/>
            <w:r w:rsidR="00E9444D" w:rsidRPr="002078FB">
              <w:rPr>
                <w:rFonts w:eastAsia="Calibri" w:cstheme="minorHAnsi"/>
                <w:b/>
                <w:sz w:val="22"/>
                <w:szCs w:val="22"/>
              </w:rPr>
              <w:t xml:space="preserve"> </w:t>
            </w:r>
            <w:proofErr w:type="spellStart"/>
            <w:r w:rsidR="00E9444D" w:rsidRPr="002078FB">
              <w:rPr>
                <w:rFonts w:eastAsia="Calibri" w:cstheme="minorHAnsi"/>
                <w:b/>
                <w:sz w:val="22"/>
                <w:szCs w:val="22"/>
              </w:rPr>
              <w:t>sistema</w:t>
            </w:r>
            <w:proofErr w:type="spellEnd"/>
            <w:r w:rsidR="00E9444D" w:rsidRPr="002078FB">
              <w:rPr>
                <w:rFonts w:eastAsia="Calibri" w:cstheme="minorHAnsi"/>
                <w:b/>
                <w:sz w:val="22"/>
                <w:szCs w:val="22"/>
              </w:rPr>
              <w:t xml:space="preserve"> de </w:t>
            </w:r>
            <w:proofErr w:type="spellStart"/>
            <w:r w:rsidR="00E9444D" w:rsidRPr="002078FB">
              <w:rPr>
                <w:rFonts w:eastAsia="Calibri" w:cstheme="minorHAnsi"/>
                <w:b/>
                <w:sz w:val="22"/>
                <w:szCs w:val="22"/>
              </w:rPr>
              <w:t>publicación</w:t>
            </w:r>
            <w:proofErr w:type="spellEnd"/>
            <w:r w:rsidR="00E9444D" w:rsidRPr="002078FB">
              <w:rPr>
                <w:rFonts w:eastAsia="Calibri" w:cstheme="minorHAnsi"/>
                <w:b/>
                <w:sz w:val="22"/>
                <w:szCs w:val="22"/>
              </w:rPr>
              <w:t xml:space="preserve"> de solicitudes de </w:t>
            </w:r>
            <w:proofErr w:type="spellStart"/>
            <w:r w:rsidR="00E9444D" w:rsidRPr="002078FB">
              <w:rPr>
                <w:rFonts w:eastAsia="Calibri" w:cstheme="minorHAnsi"/>
                <w:b/>
                <w:sz w:val="22"/>
                <w:szCs w:val="22"/>
              </w:rPr>
              <w:t>permisos</w:t>
            </w:r>
            <w:proofErr w:type="spellEnd"/>
            <w:r w:rsidR="00E9444D" w:rsidRPr="002078FB">
              <w:rPr>
                <w:rFonts w:eastAsia="Calibri" w:cstheme="minorHAnsi"/>
                <w:b/>
                <w:sz w:val="22"/>
                <w:szCs w:val="22"/>
              </w:rPr>
              <w:t xml:space="preserve"> de </w:t>
            </w:r>
            <w:proofErr w:type="spellStart"/>
            <w:r w:rsidR="00E9444D" w:rsidRPr="002078FB">
              <w:rPr>
                <w:rFonts w:eastAsia="Calibri" w:cstheme="minorHAnsi"/>
                <w:b/>
                <w:sz w:val="22"/>
                <w:szCs w:val="22"/>
              </w:rPr>
              <w:t>comercialización</w:t>
            </w:r>
            <w:proofErr w:type="spellEnd"/>
            <w:r w:rsidR="00E9444D" w:rsidRPr="002078FB">
              <w:rPr>
                <w:rFonts w:eastAsia="Calibri" w:cstheme="minorHAnsi"/>
                <w:b/>
                <w:sz w:val="22"/>
                <w:szCs w:val="22"/>
              </w:rPr>
              <w:t xml:space="preserve">, </w:t>
            </w:r>
            <w:proofErr w:type="spellStart"/>
            <w:r w:rsidR="00E9444D" w:rsidRPr="002078FB">
              <w:rPr>
                <w:rFonts w:eastAsia="Calibri" w:cstheme="minorHAnsi"/>
                <w:b/>
                <w:sz w:val="22"/>
                <w:szCs w:val="22"/>
              </w:rPr>
              <w:t>ya</w:t>
            </w:r>
            <w:proofErr w:type="spellEnd"/>
            <w:r w:rsidR="00E9444D" w:rsidRPr="002078FB">
              <w:rPr>
                <w:rFonts w:eastAsia="Calibri" w:cstheme="minorHAnsi"/>
                <w:b/>
                <w:sz w:val="22"/>
                <w:szCs w:val="22"/>
              </w:rPr>
              <w:t xml:space="preserve"> </w:t>
            </w:r>
            <w:proofErr w:type="spellStart"/>
            <w:r w:rsidR="00E9444D" w:rsidRPr="002078FB">
              <w:rPr>
                <w:rFonts w:eastAsia="Calibri" w:cstheme="minorHAnsi"/>
                <w:b/>
                <w:sz w:val="22"/>
                <w:szCs w:val="22"/>
              </w:rPr>
              <w:t>está</w:t>
            </w:r>
            <w:proofErr w:type="spellEnd"/>
            <w:r w:rsidR="00E9444D" w:rsidRPr="002078FB">
              <w:rPr>
                <w:rFonts w:eastAsia="Calibri" w:cstheme="minorHAnsi"/>
                <w:b/>
                <w:sz w:val="22"/>
                <w:szCs w:val="22"/>
              </w:rPr>
              <w:t xml:space="preserve"> </w:t>
            </w:r>
            <w:proofErr w:type="spellStart"/>
            <w:r w:rsidR="00E9444D" w:rsidRPr="002078FB">
              <w:rPr>
                <w:rFonts w:eastAsia="Calibri" w:cstheme="minorHAnsi"/>
                <w:b/>
                <w:sz w:val="22"/>
                <w:szCs w:val="22"/>
              </w:rPr>
              <w:t>implementado</w:t>
            </w:r>
            <w:proofErr w:type="spellEnd"/>
            <w:r w:rsidR="00E9444D" w:rsidRPr="002078FB">
              <w:rPr>
                <w:rFonts w:eastAsia="Calibri" w:cstheme="minorHAnsi"/>
                <w:b/>
                <w:sz w:val="22"/>
                <w:szCs w:val="22"/>
              </w:rPr>
              <w:t xml:space="preserve"> por el Instituto de </w:t>
            </w:r>
            <w:proofErr w:type="spellStart"/>
            <w:r w:rsidR="00E9444D" w:rsidRPr="002078FB">
              <w:rPr>
                <w:rFonts w:eastAsia="Calibri" w:cstheme="minorHAnsi"/>
                <w:b/>
                <w:sz w:val="22"/>
                <w:szCs w:val="22"/>
              </w:rPr>
              <w:t>Salud</w:t>
            </w:r>
            <w:proofErr w:type="spellEnd"/>
            <w:r w:rsidR="00E9444D" w:rsidRPr="002078FB">
              <w:rPr>
                <w:rFonts w:eastAsia="Calibri" w:cstheme="minorHAnsi"/>
                <w:b/>
                <w:sz w:val="22"/>
                <w:szCs w:val="22"/>
              </w:rPr>
              <w:t xml:space="preserve"> </w:t>
            </w:r>
            <w:proofErr w:type="spellStart"/>
            <w:r w:rsidR="00E9444D" w:rsidRPr="002078FB">
              <w:rPr>
                <w:rFonts w:eastAsia="Calibri" w:cstheme="minorHAnsi"/>
                <w:b/>
                <w:sz w:val="22"/>
                <w:szCs w:val="22"/>
              </w:rPr>
              <w:t>Pública</w:t>
            </w:r>
            <w:proofErr w:type="spellEnd"/>
            <w:r w:rsidR="00E9444D" w:rsidRPr="002078FB">
              <w:rPr>
                <w:rFonts w:eastAsia="Calibri" w:cstheme="minorHAnsi"/>
                <w:b/>
                <w:sz w:val="22"/>
                <w:szCs w:val="22"/>
              </w:rPr>
              <w:t xml:space="preserve"> </w:t>
            </w:r>
            <w:proofErr w:type="spellStart"/>
            <w:r w:rsidR="00E9444D" w:rsidRPr="002078FB">
              <w:rPr>
                <w:rFonts w:eastAsia="Calibri" w:cstheme="minorHAnsi"/>
                <w:b/>
                <w:sz w:val="22"/>
                <w:szCs w:val="22"/>
              </w:rPr>
              <w:t>desde</w:t>
            </w:r>
            <w:proofErr w:type="spellEnd"/>
            <w:r w:rsidR="00E9444D" w:rsidRPr="002078FB">
              <w:rPr>
                <w:rFonts w:eastAsia="Calibri" w:cstheme="minorHAnsi"/>
                <w:b/>
                <w:sz w:val="22"/>
                <w:szCs w:val="22"/>
              </w:rPr>
              <w:t xml:space="preserve"> el </w:t>
            </w:r>
            <w:proofErr w:type="spellStart"/>
            <w:r w:rsidR="00E9444D" w:rsidRPr="002078FB">
              <w:rPr>
                <w:rFonts w:eastAsia="Calibri" w:cstheme="minorHAnsi"/>
                <w:b/>
                <w:sz w:val="22"/>
                <w:szCs w:val="22"/>
              </w:rPr>
              <w:t>año</w:t>
            </w:r>
            <w:proofErr w:type="spellEnd"/>
            <w:r w:rsidR="00E9444D" w:rsidRPr="002078FB">
              <w:rPr>
                <w:rFonts w:eastAsia="Calibri" w:cstheme="minorHAnsi"/>
                <w:b/>
                <w:sz w:val="22"/>
                <w:szCs w:val="22"/>
              </w:rPr>
              <w:t xml:space="preserve"> 2004</w:t>
            </w:r>
            <w:r w:rsidR="00E9444D" w:rsidRPr="002078FB">
              <w:rPr>
                <w:rFonts w:eastAsia="Calibri" w:cstheme="minorHAnsi"/>
                <w:sz w:val="22"/>
                <w:szCs w:val="22"/>
              </w:rPr>
              <w:t xml:space="preserve"> (</w:t>
            </w:r>
            <w:proofErr w:type="spellStart"/>
            <w:r w:rsidR="00E9444D" w:rsidRPr="002078FB">
              <w:rPr>
                <w:rFonts w:eastAsia="Calibri" w:cstheme="minorHAnsi"/>
                <w:sz w:val="22"/>
                <w:szCs w:val="22"/>
              </w:rPr>
              <w:t>Resolución</w:t>
            </w:r>
            <w:proofErr w:type="spellEnd"/>
            <w:r w:rsidR="00E9444D" w:rsidRPr="002078FB">
              <w:rPr>
                <w:rFonts w:eastAsia="Calibri" w:cstheme="minorHAnsi"/>
                <w:sz w:val="22"/>
                <w:szCs w:val="22"/>
              </w:rPr>
              <w:t xml:space="preserve"> </w:t>
            </w:r>
            <w:proofErr w:type="spellStart"/>
            <w:r w:rsidR="00E9444D" w:rsidRPr="002078FB">
              <w:rPr>
                <w:rFonts w:eastAsia="Calibri" w:cstheme="minorHAnsi"/>
                <w:sz w:val="22"/>
                <w:szCs w:val="22"/>
              </w:rPr>
              <w:t>Exenta</w:t>
            </w:r>
            <w:proofErr w:type="spellEnd"/>
            <w:r w:rsidR="00E9444D" w:rsidRPr="002078FB">
              <w:rPr>
                <w:rFonts w:eastAsia="Calibri" w:cstheme="minorHAnsi"/>
                <w:sz w:val="22"/>
                <w:szCs w:val="22"/>
              </w:rPr>
              <w:t xml:space="preserve"> Nº 5572, 12.07.2004), que </w:t>
            </w:r>
            <w:proofErr w:type="spellStart"/>
            <w:r w:rsidR="00E9444D" w:rsidRPr="002078FB">
              <w:rPr>
                <w:rFonts w:eastAsia="Calibri" w:cstheme="minorHAnsi"/>
                <w:sz w:val="22"/>
                <w:szCs w:val="22"/>
              </w:rPr>
              <w:t>permite</w:t>
            </w:r>
            <w:proofErr w:type="spellEnd"/>
            <w:r w:rsidR="00E9444D" w:rsidRPr="002078FB">
              <w:rPr>
                <w:rFonts w:eastAsia="Calibri" w:cstheme="minorHAnsi"/>
                <w:sz w:val="22"/>
                <w:szCs w:val="22"/>
              </w:rPr>
              <w:t xml:space="preserve"> </w:t>
            </w:r>
            <w:proofErr w:type="spellStart"/>
            <w:r w:rsidR="00E9444D" w:rsidRPr="002078FB">
              <w:rPr>
                <w:rFonts w:eastAsia="Calibri" w:cstheme="minorHAnsi"/>
                <w:sz w:val="22"/>
                <w:szCs w:val="22"/>
              </w:rPr>
              <w:t>solucionar</w:t>
            </w:r>
            <w:proofErr w:type="spellEnd"/>
            <w:r w:rsidR="00E9444D" w:rsidRPr="002078FB">
              <w:rPr>
                <w:rFonts w:eastAsia="Calibri" w:cstheme="minorHAnsi"/>
                <w:sz w:val="22"/>
                <w:szCs w:val="22"/>
              </w:rPr>
              <w:t xml:space="preserve"> las </w:t>
            </w:r>
            <w:proofErr w:type="spellStart"/>
            <w:r w:rsidR="00E9444D" w:rsidRPr="002078FB">
              <w:rPr>
                <w:rFonts w:eastAsia="Calibri" w:cstheme="minorHAnsi"/>
                <w:sz w:val="22"/>
                <w:szCs w:val="22"/>
              </w:rPr>
              <w:t>diferencias</w:t>
            </w:r>
            <w:proofErr w:type="spellEnd"/>
            <w:r w:rsidR="00E9444D" w:rsidRPr="002078FB">
              <w:rPr>
                <w:rFonts w:eastAsia="Calibri" w:cstheme="minorHAnsi"/>
                <w:sz w:val="22"/>
                <w:szCs w:val="22"/>
              </w:rPr>
              <w:t xml:space="preserve"> por medio de la </w:t>
            </w:r>
            <w:proofErr w:type="spellStart"/>
            <w:r w:rsidR="00E9444D" w:rsidRPr="002078FB">
              <w:rPr>
                <w:rFonts w:eastAsia="Calibri" w:cstheme="minorHAnsi"/>
                <w:sz w:val="22"/>
                <w:szCs w:val="22"/>
              </w:rPr>
              <w:t>vía</w:t>
            </w:r>
            <w:proofErr w:type="spellEnd"/>
            <w:r w:rsidR="00E9444D" w:rsidRPr="002078FB">
              <w:rPr>
                <w:rFonts w:eastAsia="Calibri" w:cstheme="minorHAnsi"/>
                <w:sz w:val="22"/>
                <w:szCs w:val="22"/>
              </w:rPr>
              <w:t xml:space="preserve"> </w:t>
            </w:r>
            <w:proofErr w:type="spellStart"/>
            <w:r w:rsidR="00E9444D" w:rsidRPr="002078FB">
              <w:rPr>
                <w:rFonts w:eastAsia="Calibri" w:cstheme="minorHAnsi"/>
                <w:sz w:val="22"/>
                <w:szCs w:val="22"/>
              </w:rPr>
              <w:t>jurisdiccional</w:t>
            </w:r>
            <w:proofErr w:type="spellEnd"/>
            <w:r w:rsidR="00E9444D" w:rsidRPr="002078FB">
              <w:rPr>
                <w:rFonts w:eastAsia="Calibri" w:cstheme="minorHAnsi"/>
                <w:sz w:val="22"/>
                <w:szCs w:val="22"/>
              </w:rPr>
              <w:t xml:space="preserve">, por lo </w:t>
            </w:r>
            <w:proofErr w:type="spellStart"/>
            <w:r w:rsidR="00E9444D" w:rsidRPr="002078FB">
              <w:rPr>
                <w:rFonts w:eastAsia="Calibri" w:cstheme="minorHAnsi"/>
                <w:sz w:val="22"/>
                <w:szCs w:val="22"/>
              </w:rPr>
              <w:t>cual</w:t>
            </w:r>
            <w:proofErr w:type="spellEnd"/>
            <w:r w:rsidR="00E9444D" w:rsidRPr="002078FB">
              <w:rPr>
                <w:rFonts w:eastAsia="Calibri" w:cstheme="minorHAnsi"/>
                <w:sz w:val="22"/>
                <w:szCs w:val="22"/>
              </w:rPr>
              <w:t xml:space="preserve"> </w:t>
            </w:r>
            <w:r w:rsidR="00E9444D" w:rsidRPr="002078FB">
              <w:rPr>
                <w:rFonts w:eastAsia="Calibri" w:cstheme="minorHAnsi"/>
                <w:b/>
                <w:sz w:val="22"/>
                <w:szCs w:val="22"/>
              </w:rPr>
              <w:t xml:space="preserve">no </w:t>
            </w:r>
            <w:proofErr w:type="spellStart"/>
            <w:r w:rsidR="00E9444D" w:rsidRPr="002078FB">
              <w:rPr>
                <w:rFonts w:eastAsia="Calibri" w:cstheme="minorHAnsi"/>
                <w:b/>
                <w:sz w:val="22"/>
                <w:szCs w:val="22"/>
              </w:rPr>
              <w:t>tiene</w:t>
            </w:r>
            <w:proofErr w:type="spellEnd"/>
            <w:r w:rsidR="00E9444D" w:rsidRPr="002078FB">
              <w:rPr>
                <w:rFonts w:eastAsia="Calibri" w:cstheme="minorHAnsi"/>
                <w:b/>
                <w:sz w:val="22"/>
                <w:szCs w:val="22"/>
              </w:rPr>
              <w:t xml:space="preserve"> </w:t>
            </w:r>
            <w:proofErr w:type="spellStart"/>
            <w:r w:rsidR="00E9444D" w:rsidRPr="002078FB">
              <w:rPr>
                <w:rFonts w:eastAsia="Calibri" w:cstheme="minorHAnsi"/>
                <w:b/>
                <w:sz w:val="22"/>
                <w:szCs w:val="22"/>
              </w:rPr>
              <w:t>mayores</w:t>
            </w:r>
            <w:proofErr w:type="spellEnd"/>
            <w:r w:rsidR="00E9444D" w:rsidRPr="002078FB">
              <w:rPr>
                <w:rFonts w:eastAsia="Calibri" w:cstheme="minorHAnsi"/>
                <w:b/>
                <w:sz w:val="22"/>
                <w:szCs w:val="22"/>
              </w:rPr>
              <w:t xml:space="preserve"> </w:t>
            </w:r>
            <w:proofErr w:type="spellStart"/>
            <w:r w:rsidR="00E9444D" w:rsidRPr="002078FB">
              <w:rPr>
                <w:rFonts w:eastAsia="Calibri" w:cstheme="minorHAnsi"/>
                <w:b/>
                <w:sz w:val="22"/>
                <w:szCs w:val="22"/>
              </w:rPr>
              <w:t>obligaciones</w:t>
            </w:r>
            <w:proofErr w:type="spellEnd"/>
            <w:r w:rsidR="00E9444D" w:rsidRPr="002078FB">
              <w:rPr>
                <w:rFonts w:eastAsia="Calibri" w:cstheme="minorHAnsi"/>
                <w:b/>
                <w:sz w:val="22"/>
                <w:szCs w:val="22"/>
              </w:rPr>
              <w:t xml:space="preserve"> </w:t>
            </w:r>
            <w:proofErr w:type="spellStart"/>
            <w:r w:rsidR="00E9444D" w:rsidRPr="002078FB">
              <w:rPr>
                <w:rFonts w:eastAsia="Calibri" w:cstheme="minorHAnsi"/>
                <w:b/>
                <w:sz w:val="22"/>
                <w:szCs w:val="22"/>
              </w:rPr>
              <w:t>distintas</w:t>
            </w:r>
            <w:proofErr w:type="spellEnd"/>
            <w:r w:rsidR="00E9444D" w:rsidRPr="002078FB">
              <w:rPr>
                <w:rFonts w:eastAsia="Calibri" w:cstheme="minorHAnsi"/>
                <w:b/>
                <w:sz w:val="22"/>
                <w:szCs w:val="22"/>
              </w:rPr>
              <w:t xml:space="preserve"> a las </w:t>
            </w:r>
            <w:proofErr w:type="spellStart"/>
            <w:r w:rsidR="00E9444D" w:rsidRPr="002078FB">
              <w:rPr>
                <w:rFonts w:eastAsia="Calibri" w:cstheme="minorHAnsi"/>
                <w:b/>
                <w:sz w:val="22"/>
                <w:szCs w:val="22"/>
              </w:rPr>
              <w:t>actualmente</w:t>
            </w:r>
            <w:proofErr w:type="spellEnd"/>
            <w:r w:rsidR="00E9444D" w:rsidRPr="002078FB">
              <w:rPr>
                <w:rFonts w:eastAsia="Calibri" w:cstheme="minorHAnsi"/>
                <w:b/>
                <w:sz w:val="22"/>
                <w:szCs w:val="22"/>
              </w:rPr>
              <w:t xml:space="preserve"> </w:t>
            </w:r>
            <w:proofErr w:type="spellStart"/>
            <w:r w:rsidR="00E9444D" w:rsidRPr="002078FB">
              <w:rPr>
                <w:rFonts w:eastAsia="Calibri" w:cstheme="minorHAnsi"/>
                <w:b/>
                <w:sz w:val="22"/>
                <w:szCs w:val="22"/>
              </w:rPr>
              <w:t>contenidas</w:t>
            </w:r>
            <w:proofErr w:type="spellEnd"/>
            <w:r w:rsidR="00E9444D" w:rsidRPr="002078FB">
              <w:rPr>
                <w:rFonts w:eastAsia="Calibri" w:cstheme="minorHAnsi"/>
                <w:b/>
                <w:sz w:val="22"/>
                <w:szCs w:val="22"/>
              </w:rPr>
              <w:t xml:space="preserve"> en la </w:t>
            </w:r>
            <w:proofErr w:type="spellStart"/>
            <w:r w:rsidR="00E9444D" w:rsidRPr="002078FB">
              <w:rPr>
                <w:rFonts w:eastAsia="Calibri" w:cstheme="minorHAnsi"/>
                <w:b/>
                <w:sz w:val="22"/>
                <w:szCs w:val="22"/>
              </w:rPr>
              <w:t>legislación</w:t>
            </w:r>
            <w:proofErr w:type="spellEnd"/>
            <w:r w:rsidR="00E9444D" w:rsidRPr="002078FB">
              <w:rPr>
                <w:rFonts w:eastAsia="Calibri" w:cstheme="minorHAnsi"/>
                <w:b/>
                <w:sz w:val="22"/>
                <w:szCs w:val="22"/>
              </w:rPr>
              <w:t xml:space="preserve"> </w:t>
            </w:r>
            <w:proofErr w:type="spellStart"/>
            <w:r w:rsidR="00E9444D" w:rsidRPr="002078FB">
              <w:rPr>
                <w:rFonts w:eastAsia="Calibri" w:cstheme="minorHAnsi"/>
                <w:b/>
                <w:sz w:val="22"/>
                <w:szCs w:val="22"/>
              </w:rPr>
              <w:t>vigente</w:t>
            </w:r>
            <w:proofErr w:type="spellEnd"/>
            <w:r w:rsidR="00E9444D" w:rsidRPr="002078FB">
              <w:rPr>
                <w:rFonts w:eastAsia="Calibri" w:cstheme="minorHAnsi"/>
                <w:sz w:val="22"/>
                <w:szCs w:val="22"/>
              </w:rPr>
              <w:t>.</w:t>
            </w:r>
          </w:p>
        </w:tc>
      </w:tr>
    </w:tbl>
    <w:p w14:paraId="672CF93A" w14:textId="77777777" w:rsidR="0049694F" w:rsidRPr="002078FB" w:rsidRDefault="0049694F" w:rsidP="00C412FF">
      <w:pPr>
        <w:spacing w:after="0" w:line="240" w:lineRule="auto"/>
        <w:jc w:val="both"/>
        <w:rPr>
          <w:rFonts w:eastAsia="Calibri" w:cstheme="minorHAnsi"/>
          <w:b/>
          <w:u w:val="single"/>
        </w:rPr>
      </w:pPr>
    </w:p>
    <w:p w14:paraId="2BD12CB6" w14:textId="77777777" w:rsidR="0050521C" w:rsidRPr="002078FB" w:rsidRDefault="0050521C" w:rsidP="00C412FF">
      <w:pPr>
        <w:pStyle w:val="Prrafodelista"/>
        <w:numPr>
          <w:ilvl w:val="0"/>
          <w:numId w:val="6"/>
        </w:numPr>
        <w:spacing w:after="0" w:line="240" w:lineRule="auto"/>
        <w:jc w:val="both"/>
        <w:rPr>
          <w:rFonts w:cstheme="minorHAnsi"/>
          <w:b/>
        </w:rPr>
      </w:pPr>
      <w:r w:rsidRPr="002078FB">
        <w:rPr>
          <w:rFonts w:cstheme="minorHAnsi"/>
          <w:b/>
          <w:u w:val="single"/>
        </w:rPr>
        <w:lastRenderedPageBreak/>
        <w:t>CAPÍTULO DE INVERSIONES</w:t>
      </w:r>
    </w:p>
    <w:p w14:paraId="12AD0FAC" w14:textId="77777777" w:rsidR="0050521C" w:rsidRPr="002078FB" w:rsidRDefault="0050521C" w:rsidP="00C412FF">
      <w:pPr>
        <w:spacing w:after="0" w:line="240" w:lineRule="auto"/>
        <w:jc w:val="both"/>
        <w:rPr>
          <w:rFonts w:cstheme="minorHAnsi"/>
          <w:b/>
        </w:rPr>
      </w:pPr>
    </w:p>
    <w:p w14:paraId="143EECE3" w14:textId="77777777" w:rsidR="0050521C" w:rsidRPr="002078FB" w:rsidRDefault="0050521C" w:rsidP="00C412FF">
      <w:pPr>
        <w:spacing w:after="0" w:line="240" w:lineRule="auto"/>
        <w:jc w:val="both"/>
        <w:rPr>
          <w:rFonts w:cstheme="minorHAnsi"/>
        </w:rPr>
      </w:pPr>
      <w:r w:rsidRPr="002078FB">
        <w:rPr>
          <w:rFonts w:cstheme="minorHAnsi"/>
        </w:rPr>
        <w:t>Se ha señalado que el capítulo de Inversiones facilitaría a los inversionistas demandar al Estado a través del sistema de solución de controversias del Capítulo, lo anterior conllevaría a que el Estado no implemente nuevas regulaciones con el objeto de evitar demandas.</w:t>
      </w:r>
    </w:p>
    <w:p w14:paraId="4D128B2B" w14:textId="77777777" w:rsidR="0050521C" w:rsidRPr="002078FB" w:rsidRDefault="0050521C" w:rsidP="00C412FF">
      <w:pPr>
        <w:spacing w:after="0" w:line="240" w:lineRule="auto"/>
        <w:jc w:val="both"/>
        <w:rPr>
          <w:rFonts w:cstheme="minorHAnsi"/>
        </w:rPr>
      </w:pPr>
    </w:p>
    <w:tbl>
      <w:tblPr>
        <w:tblStyle w:val="Tablaconcuadrcula"/>
        <w:tblW w:w="5000" w:type="pct"/>
        <w:tblLook w:val="04A0" w:firstRow="1" w:lastRow="0" w:firstColumn="1" w:lastColumn="0" w:noHBand="0" w:noVBand="1"/>
      </w:tblPr>
      <w:tblGrid>
        <w:gridCol w:w="10070"/>
      </w:tblGrid>
      <w:tr w:rsidR="0050521C" w:rsidRPr="002078FB" w14:paraId="16D4B3DE" w14:textId="77777777" w:rsidTr="00066133">
        <w:tc>
          <w:tcPr>
            <w:tcW w:w="5000" w:type="pct"/>
          </w:tcPr>
          <w:p w14:paraId="1C29E62B" w14:textId="7770AED8" w:rsidR="0050521C" w:rsidRPr="002078FB" w:rsidRDefault="0050521C" w:rsidP="00C412FF">
            <w:pPr>
              <w:jc w:val="both"/>
              <w:rPr>
                <w:rFonts w:cstheme="minorHAnsi"/>
              </w:rPr>
            </w:pPr>
            <w:r w:rsidRPr="002078FB">
              <w:rPr>
                <w:rFonts w:cstheme="minorHAnsi"/>
                <w:b/>
                <w:bCs/>
                <w:lang w:val="es-ES_tradnl" w:eastAsia="es-ES_tradnl"/>
              </w:rPr>
              <w:t xml:space="preserve">El Capítulo reafirma expresamente el </w:t>
            </w:r>
            <w:r w:rsidRPr="002078FB">
              <w:rPr>
                <w:rFonts w:cstheme="minorHAnsi"/>
                <w:b/>
                <w:lang w:val="es-ES_tradnl" w:eastAsia="es-ES_tradnl"/>
              </w:rPr>
              <w:t>derecho de los Estados para regular sobre sus objetivos legítimos de política pública</w:t>
            </w:r>
            <w:r w:rsidRPr="002078FB">
              <w:rPr>
                <w:rFonts w:cstheme="minorHAnsi"/>
                <w:lang w:val="es-ES_tradnl" w:eastAsia="es-ES_tradnl"/>
              </w:rPr>
              <w:t>, tales como la protección de la salud, seguridad, el medio ambiente, moral pública, protección social y protección al consumidor, o la protección de la diversidad cultural.</w:t>
            </w:r>
            <w:r w:rsidR="00C412FF" w:rsidRPr="002078FB">
              <w:rPr>
                <w:rFonts w:cstheme="minorHAnsi"/>
                <w:lang w:val="es-ES_tradnl" w:eastAsia="es-ES_tradnl"/>
              </w:rPr>
              <w:t xml:space="preserve"> </w:t>
            </w:r>
            <w:r w:rsidRPr="002078FB">
              <w:rPr>
                <w:rFonts w:cstheme="minorHAnsi"/>
                <w:lang w:val="es-ES_tradnl" w:eastAsia="es-ES_tradnl"/>
              </w:rPr>
              <w:t xml:space="preserve">El </w:t>
            </w:r>
            <w:r w:rsidRPr="002078FB">
              <w:rPr>
                <w:rFonts w:cstheme="minorHAnsi"/>
                <w:b/>
                <w:lang w:val="es-ES_tradnl" w:eastAsia="es-ES_tradnl"/>
              </w:rPr>
              <w:t xml:space="preserve">Capítulo contiene anexos donde Chile </w:t>
            </w:r>
            <w:r w:rsidRPr="002078FB">
              <w:rPr>
                <w:rFonts w:cstheme="minorHAnsi"/>
                <w:b/>
              </w:rPr>
              <w:t>se ha reservado espacio regulatorio para proteger sectores sensibles</w:t>
            </w:r>
            <w:r w:rsidRPr="002078FB">
              <w:rPr>
                <w:rFonts w:cstheme="minorHAnsi"/>
              </w:rPr>
              <w:t xml:space="preserve"> como la educación, cultura, servicios sociales y medioambiente, derechos indígenas, derechos de minorías.</w:t>
            </w:r>
          </w:p>
          <w:p w14:paraId="0E6FB9D8" w14:textId="77777777" w:rsidR="0050521C" w:rsidRPr="002078FB" w:rsidRDefault="0050521C" w:rsidP="00C412FF">
            <w:pPr>
              <w:jc w:val="both"/>
              <w:rPr>
                <w:rFonts w:cstheme="minorHAnsi"/>
              </w:rPr>
            </w:pPr>
          </w:p>
          <w:p w14:paraId="6F394C1D" w14:textId="77777777" w:rsidR="0050521C" w:rsidRPr="002078FB" w:rsidRDefault="0050521C" w:rsidP="00C412FF">
            <w:pPr>
              <w:jc w:val="both"/>
              <w:rPr>
                <w:rFonts w:cstheme="minorHAnsi"/>
              </w:rPr>
            </w:pPr>
            <w:r w:rsidRPr="002078FB">
              <w:rPr>
                <w:rFonts w:cstheme="minorHAnsi"/>
                <w:b/>
              </w:rPr>
              <w:t>Chile no es usuario activo del sistema de solución de controversias entre inversionistas y Estado</w:t>
            </w:r>
            <w:r w:rsidRPr="002078FB">
              <w:rPr>
                <w:rFonts w:cstheme="minorHAnsi"/>
              </w:rPr>
              <w:t xml:space="preserve">, a la fecha sólo ha sido demandado una vez bajo este sistema en un TLC. Sumado a lo anterior, </w:t>
            </w:r>
            <w:r w:rsidRPr="002078FB">
              <w:rPr>
                <w:rFonts w:cstheme="minorHAnsi"/>
                <w:b/>
              </w:rPr>
              <w:t>este Capítulo contiene salvaguardias para evitar el recurso al arbitraje y se promueven además medios alternativos como las consultas obligatorias, mediación y conciliación</w:t>
            </w:r>
            <w:r w:rsidRPr="002078FB">
              <w:rPr>
                <w:rFonts w:cstheme="minorHAnsi"/>
              </w:rPr>
              <w:t>.</w:t>
            </w:r>
          </w:p>
          <w:p w14:paraId="0429DAAB" w14:textId="77777777" w:rsidR="0050521C" w:rsidRPr="002078FB" w:rsidRDefault="0050521C" w:rsidP="00C412FF">
            <w:pPr>
              <w:jc w:val="both"/>
              <w:rPr>
                <w:rFonts w:cstheme="minorHAnsi"/>
              </w:rPr>
            </w:pPr>
          </w:p>
          <w:p w14:paraId="54B67569" w14:textId="77777777" w:rsidR="0050521C" w:rsidRPr="002078FB" w:rsidRDefault="0050521C" w:rsidP="00C412FF">
            <w:pPr>
              <w:jc w:val="both"/>
              <w:rPr>
                <w:rFonts w:cstheme="minorHAnsi"/>
              </w:rPr>
            </w:pPr>
            <w:r w:rsidRPr="002078FB">
              <w:rPr>
                <w:rFonts w:cstheme="minorHAnsi"/>
              </w:rPr>
              <w:t>Respecto de la crítica general sobre el diseño del sistema en favor de los inversionistas, cabe indicar que las estadísticas internacionales han demostrado consistentemente que los tribunales bajo este sistema fallan la mayoría de las veces en favor del Estado. Además, cabe recordar que es sistema puede ser utilizado por nuestros inversionistas chilenos en el exterior, en caso de una violación grave de sus derechos por otros Estados del CPTPP.</w:t>
            </w:r>
          </w:p>
          <w:p w14:paraId="76C32C2F" w14:textId="77777777" w:rsidR="0050521C" w:rsidRPr="002078FB" w:rsidRDefault="0050521C" w:rsidP="00C412FF">
            <w:pPr>
              <w:jc w:val="both"/>
              <w:rPr>
                <w:rFonts w:cstheme="minorHAnsi"/>
              </w:rPr>
            </w:pPr>
          </w:p>
          <w:p w14:paraId="38830E9F" w14:textId="77777777" w:rsidR="0050521C" w:rsidRPr="002078FB" w:rsidRDefault="0050521C" w:rsidP="00C412FF">
            <w:pPr>
              <w:jc w:val="both"/>
              <w:rPr>
                <w:rFonts w:cstheme="minorHAnsi"/>
                <w:b/>
              </w:rPr>
            </w:pPr>
            <w:r w:rsidRPr="002078FB">
              <w:rPr>
                <w:rFonts w:cstheme="minorHAnsi"/>
                <w:b/>
              </w:rPr>
              <w:t>Finalmente, cabe recordar que el mecanismo de solución de controversias Inversionista-Estado, sólo puede aplicarse a aquello regulado en este capítulo.</w:t>
            </w:r>
          </w:p>
        </w:tc>
      </w:tr>
    </w:tbl>
    <w:p w14:paraId="790517C6" w14:textId="77777777" w:rsidR="0050521C" w:rsidRPr="002078FB" w:rsidRDefault="0050521C" w:rsidP="00C412FF">
      <w:pPr>
        <w:spacing w:after="0" w:line="240" w:lineRule="auto"/>
        <w:jc w:val="both"/>
        <w:rPr>
          <w:rFonts w:cstheme="minorHAnsi"/>
          <w:b/>
        </w:rPr>
      </w:pPr>
    </w:p>
    <w:p w14:paraId="536DF5BF" w14:textId="77777777" w:rsidR="0050521C" w:rsidRPr="002078FB" w:rsidRDefault="0050521C" w:rsidP="00C412FF">
      <w:pPr>
        <w:spacing w:after="0" w:line="240" w:lineRule="auto"/>
        <w:jc w:val="both"/>
        <w:rPr>
          <w:rFonts w:cstheme="minorHAnsi"/>
        </w:rPr>
      </w:pPr>
      <w:r w:rsidRPr="002078FB">
        <w:rPr>
          <w:rFonts w:cstheme="minorHAnsi"/>
        </w:rPr>
        <w:t>Se ha dicho que el Capítulo de Inversiones asegura la expectativa de ganancia al inversionista extranjero, quién podría demandar al Estado en caso de no obtenerla.</w:t>
      </w:r>
    </w:p>
    <w:p w14:paraId="3C79931A" w14:textId="77777777" w:rsidR="0050521C" w:rsidRPr="002078FB" w:rsidRDefault="0050521C" w:rsidP="00C412FF">
      <w:pPr>
        <w:spacing w:after="0" w:line="240" w:lineRule="auto"/>
        <w:jc w:val="both"/>
        <w:rPr>
          <w:rFonts w:cstheme="minorHAnsi"/>
        </w:rPr>
      </w:pPr>
    </w:p>
    <w:tbl>
      <w:tblPr>
        <w:tblStyle w:val="Tablaconcuadrcula"/>
        <w:tblW w:w="5000" w:type="pct"/>
        <w:tblLook w:val="04A0" w:firstRow="1" w:lastRow="0" w:firstColumn="1" w:lastColumn="0" w:noHBand="0" w:noVBand="1"/>
      </w:tblPr>
      <w:tblGrid>
        <w:gridCol w:w="10070"/>
      </w:tblGrid>
      <w:tr w:rsidR="0050521C" w:rsidRPr="002078FB" w14:paraId="3124A111" w14:textId="77777777" w:rsidTr="00066133">
        <w:tc>
          <w:tcPr>
            <w:tcW w:w="5000" w:type="pct"/>
          </w:tcPr>
          <w:p w14:paraId="1F0D29CF" w14:textId="77777777" w:rsidR="0050521C" w:rsidRPr="002078FB" w:rsidRDefault="0050521C" w:rsidP="00C412FF">
            <w:pPr>
              <w:jc w:val="both"/>
              <w:rPr>
                <w:rFonts w:cstheme="minorHAnsi"/>
              </w:rPr>
            </w:pPr>
            <w:r w:rsidRPr="002078FB">
              <w:rPr>
                <w:rFonts w:cstheme="minorHAnsi"/>
              </w:rPr>
              <w:t xml:space="preserve">Chile ha incorporado desde el año 2004 en todos su Capítulos de Inversiones, incluyendo el CPTPP, una definición amplia del término “inversión”, donde se hace una referencia general y a modo ejemplar de las características de una inversión, incluyendo como elemento </w:t>
            </w:r>
            <w:r w:rsidRPr="002078FB">
              <w:rPr>
                <w:rFonts w:cstheme="minorHAnsi"/>
                <w:i/>
              </w:rPr>
              <w:t>“la expectativa de obtener ganancias o utilidades”</w:t>
            </w:r>
            <w:r w:rsidRPr="002078FB">
              <w:rPr>
                <w:rStyle w:val="Refdenotaalpie"/>
                <w:rFonts w:cstheme="minorHAnsi"/>
                <w:i/>
              </w:rPr>
              <w:footnoteReference w:id="1"/>
            </w:r>
            <w:r w:rsidRPr="002078FB">
              <w:rPr>
                <w:rFonts w:cstheme="minorHAnsi"/>
              </w:rPr>
              <w:t xml:space="preserve">. No obstante, la referencia general a este elemento como característica de una inversión, </w:t>
            </w:r>
            <w:r w:rsidRPr="002078FB">
              <w:rPr>
                <w:rFonts w:cstheme="minorHAnsi"/>
                <w:b/>
              </w:rPr>
              <w:t>los Capítulos de Inversiones negociados por Chile NO garantizan al inversionista extranjero que obtendrá utilidades</w:t>
            </w:r>
            <w:r w:rsidRPr="002078FB">
              <w:rPr>
                <w:rFonts w:cstheme="minorHAnsi"/>
              </w:rPr>
              <w:t>.</w:t>
            </w:r>
          </w:p>
          <w:p w14:paraId="5709AA1D" w14:textId="77777777" w:rsidR="0050521C" w:rsidRPr="002078FB" w:rsidRDefault="0050521C" w:rsidP="00C412FF">
            <w:pPr>
              <w:jc w:val="both"/>
              <w:rPr>
                <w:rFonts w:cstheme="minorHAnsi"/>
                <w:b/>
              </w:rPr>
            </w:pPr>
          </w:p>
          <w:p w14:paraId="28CFF20E" w14:textId="77777777" w:rsidR="0050521C" w:rsidRPr="002078FB" w:rsidRDefault="0050521C" w:rsidP="00C412FF">
            <w:pPr>
              <w:pStyle w:val="Textoindependiente"/>
              <w:ind w:right="119"/>
              <w:jc w:val="both"/>
              <w:rPr>
                <w:rFonts w:asciiTheme="minorHAnsi" w:eastAsiaTheme="minorHAnsi" w:hAnsiTheme="minorHAnsi" w:cstheme="minorHAnsi"/>
                <w:sz w:val="22"/>
                <w:szCs w:val="22"/>
                <w:lang w:eastAsia="en-US" w:bidi="ar-SA"/>
              </w:rPr>
            </w:pPr>
            <w:r w:rsidRPr="002078FB">
              <w:rPr>
                <w:rFonts w:asciiTheme="minorHAnsi" w:eastAsiaTheme="minorHAnsi" w:hAnsiTheme="minorHAnsi" w:cstheme="minorHAnsi"/>
                <w:sz w:val="22"/>
                <w:szCs w:val="22"/>
                <w:lang w:eastAsia="en-US" w:bidi="ar-SA"/>
              </w:rPr>
              <w:t>El Capítulo de Inversiones no garantiza ni asegura a los inversionistas extranjeros la obtención de ganancias o utilidades, ni tampoco obliga al Estado a indemnizar al inversionista por no haber obtenido las ganancias que esperaba.</w:t>
            </w:r>
          </w:p>
          <w:p w14:paraId="4C85BC8E" w14:textId="77777777" w:rsidR="0050521C" w:rsidRPr="002078FB" w:rsidRDefault="0050521C" w:rsidP="00C412FF">
            <w:pPr>
              <w:pStyle w:val="Textoindependiente"/>
              <w:spacing w:before="6"/>
              <w:jc w:val="both"/>
              <w:rPr>
                <w:rFonts w:asciiTheme="minorHAnsi" w:eastAsiaTheme="minorHAnsi" w:hAnsiTheme="minorHAnsi" w:cstheme="minorHAnsi"/>
                <w:sz w:val="22"/>
                <w:szCs w:val="22"/>
                <w:lang w:eastAsia="en-US" w:bidi="ar-SA"/>
              </w:rPr>
            </w:pPr>
          </w:p>
          <w:p w14:paraId="419F79A3" w14:textId="77777777" w:rsidR="0050521C" w:rsidRPr="002078FB" w:rsidRDefault="0050521C" w:rsidP="00C412FF">
            <w:pPr>
              <w:ind w:right="117"/>
              <w:jc w:val="both"/>
              <w:rPr>
                <w:rFonts w:cstheme="minorHAnsi"/>
                <w:b/>
              </w:rPr>
            </w:pPr>
            <w:r w:rsidRPr="002078FB">
              <w:rPr>
                <w:rFonts w:cstheme="minorHAnsi"/>
              </w:rPr>
              <w:lastRenderedPageBreak/>
              <w:t xml:space="preserve">Justamente para evitar este tipo de interpretaciones históricamente erradas, por primera vez en la historia de los Capítulos de Inversiones de un Tratado de Libre Comercio, </w:t>
            </w:r>
            <w:r w:rsidRPr="002078FB">
              <w:rPr>
                <w:rFonts w:cstheme="minorHAnsi"/>
                <w:b/>
              </w:rPr>
              <w:t>se incluyeron aclaraciones explícitas sobre el alcance de las expectativas del inversionista:</w:t>
            </w:r>
          </w:p>
          <w:p w14:paraId="1E0A4B31" w14:textId="77777777" w:rsidR="0050521C" w:rsidRPr="002078FB" w:rsidRDefault="0050521C" w:rsidP="00C412FF">
            <w:pPr>
              <w:pStyle w:val="Prrafodelista"/>
              <w:numPr>
                <w:ilvl w:val="0"/>
                <w:numId w:val="13"/>
              </w:numPr>
              <w:ind w:right="120"/>
              <w:jc w:val="both"/>
              <w:rPr>
                <w:rFonts w:cstheme="minorHAnsi"/>
              </w:rPr>
            </w:pPr>
            <w:r w:rsidRPr="002078FB">
              <w:rPr>
                <w:rFonts w:cstheme="minorHAnsi"/>
                <w:b/>
              </w:rPr>
              <w:t xml:space="preserve">Artículo 9.6(4): </w:t>
            </w:r>
            <w:r w:rsidRPr="002078FB">
              <w:rPr>
                <w:rFonts w:cstheme="minorHAnsi"/>
              </w:rPr>
              <w:t xml:space="preserve">El CPTPP </w:t>
            </w:r>
            <w:r w:rsidRPr="002078FB">
              <w:rPr>
                <w:rFonts w:cstheme="minorHAnsi"/>
                <w:b/>
              </w:rPr>
              <w:t>asegura que el Estado puede regular, incluso si como resultado de la introducción de nuevas regulaciones se perjudica a una inversión</w:t>
            </w:r>
            <w:r w:rsidRPr="002078FB">
              <w:rPr>
                <w:rFonts w:cstheme="minorHAnsi"/>
              </w:rPr>
              <w:t>.</w:t>
            </w:r>
          </w:p>
          <w:p w14:paraId="0BF35CA3" w14:textId="77777777" w:rsidR="0050521C" w:rsidRPr="002078FB" w:rsidRDefault="0050521C" w:rsidP="00C412FF">
            <w:pPr>
              <w:jc w:val="both"/>
              <w:rPr>
                <w:rFonts w:cstheme="minorHAnsi"/>
                <w:i/>
              </w:rPr>
            </w:pPr>
            <w:r w:rsidRPr="002078FB">
              <w:rPr>
                <w:rFonts w:cstheme="minorHAnsi"/>
                <w:i/>
              </w:rPr>
              <w:t>“Para mayor certeza, el simple hecho de que una Parte adopte u omita adoptar una acción que pudiera ser incompatible con las expectativas del inversionista, no constituye una violación de este Artículo, incluso si como resultado de ello hay una pérdida o daño en la inversión cubierta.”</w:t>
            </w:r>
          </w:p>
          <w:p w14:paraId="2D0CA0D5" w14:textId="51F149CB" w:rsidR="0050521C" w:rsidRPr="00066133" w:rsidRDefault="0050521C" w:rsidP="00066133">
            <w:pPr>
              <w:pStyle w:val="Ttulo2"/>
              <w:numPr>
                <w:ilvl w:val="0"/>
                <w:numId w:val="13"/>
              </w:numPr>
              <w:tabs>
                <w:tab w:val="left" w:pos="1527"/>
                <w:tab w:val="left" w:pos="1528"/>
              </w:tabs>
              <w:spacing w:after="240"/>
              <w:ind w:right="123"/>
              <w:jc w:val="both"/>
              <w:outlineLvl w:val="1"/>
              <w:rPr>
                <w:rFonts w:asciiTheme="minorHAnsi" w:eastAsiaTheme="minorHAnsi" w:hAnsiTheme="minorHAnsi" w:cstheme="minorHAnsi"/>
                <w:b w:val="0"/>
                <w:bCs w:val="0"/>
                <w:sz w:val="22"/>
                <w:szCs w:val="22"/>
                <w:lang w:eastAsia="en-US" w:bidi="ar-SA"/>
              </w:rPr>
            </w:pPr>
            <w:r w:rsidRPr="002078FB">
              <w:rPr>
                <w:rFonts w:asciiTheme="minorHAnsi" w:eastAsiaTheme="minorHAnsi" w:hAnsiTheme="minorHAnsi" w:cstheme="minorHAnsi"/>
                <w:bCs w:val="0"/>
                <w:sz w:val="22"/>
                <w:szCs w:val="22"/>
                <w:lang w:eastAsia="en-US" w:bidi="ar-SA"/>
              </w:rPr>
              <w:t xml:space="preserve">Expropiación indirecta (pérdida de la inversión no derivada de un acto expropiatorio propiamente tal): </w:t>
            </w:r>
            <w:r w:rsidRPr="002078FB">
              <w:rPr>
                <w:rFonts w:asciiTheme="minorHAnsi" w:eastAsiaTheme="minorHAnsi" w:hAnsiTheme="minorHAnsi" w:cstheme="minorHAnsi"/>
                <w:b w:val="0"/>
                <w:bCs w:val="0"/>
                <w:sz w:val="22"/>
                <w:szCs w:val="22"/>
                <w:lang w:eastAsia="en-US" w:bidi="ar-SA"/>
              </w:rPr>
              <w:t xml:space="preserve">en el Anexo 9-B sobre Expropiación, por primera vez se explica qué se entiende por “expectativas inequívocas y razonables”. Se establece expresamente que estas expectativas requieren “certezas obligatorias por escrito por parte del Estado”, es decir, un contrato vinculante entre el Estado y el inversionista. Sin embargo, el hecho de que exista un contrato no asegura al inversionista la obtención de utilidades. </w:t>
            </w:r>
            <w:r w:rsidRPr="002078FB">
              <w:rPr>
                <w:rFonts w:asciiTheme="minorHAnsi" w:eastAsiaTheme="minorHAnsi" w:hAnsiTheme="minorHAnsi" w:cstheme="minorHAnsi"/>
                <w:bCs w:val="0"/>
                <w:sz w:val="22"/>
                <w:szCs w:val="22"/>
                <w:lang w:eastAsia="en-US" w:bidi="ar-SA"/>
              </w:rPr>
              <w:t>En ningún caso, en un contrato, el Estado se puede comprometer con el inversionista a un retorno de utilidades.</w:t>
            </w:r>
            <w:r w:rsidRPr="002078FB">
              <w:rPr>
                <w:rFonts w:asciiTheme="minorHAnsi" w:eastAsiaTheme="minorHAnsi" w:hAnsiTheme="minorHAnsi" w:cstheme="minorHAnsi"/>
                <w:b w:val="0"/>
                <w:bCs w:val="0"/>
                <w:sz w:val="22"/>
                <w:szCs w:val="22"/>
                <w:lang w:eastAsia="en-US" w:bidi="ar-SA"/>
              </w:rPr>
              <w:t xml:space="preserve"> Adicionalmente, </w:t>
            </w:r>
            <w:r w:rsidRPr="002078FB">
              <w:rPr>
                <w:rFonts w:asciiTheme="minorHAnsi" w:eastAsiaTheme="minorHAnsi" w:hAnsiTheme="minorHAnsi" w:cstheme="minorHAnsi"/>
                <w:bCs w:val="0"/>
                <w:sz w:val="22"/>
                <w:szCs w:val="22"/>
                <w:lang w:eastAsia="en-US" w:bidi="ar-SA"/>
              </w:rPr>
              <w:t>el mismo Anexo explica que los efectos adversos sobre el valor económico de una inversión, por sí solo, no establece que una expropiación indirecta haya ocurrido</w:t>
            </w:r>
            <w:r w:rsidRPr="002078FB">
              <w:rPr>
                <w:rFonts w:asciiTheme="minorHAnsi" w:eastAsiaTheme="minorHAnsi" w:hAnsiTheme="minorHAnsi" w:cstheme="minorHAnsi"/>
                <w:b w:val="0"/>
                <w:bCs w:val="0"/>
                <w:sz w:val="22"/>
                <w:szCs w:val="22"/>
                <w:lang w:eastAsia="en-US" w:bidi="ar-SA"/>
              </w:rPr>
              <w:t>. Asimismo, el referido Anexo (Anexo 9-B, párrafo 3(b)) protege el derecho regular.</w:t>
            </w:r>
          </w:p>
          <w:p w14:paraId="5882E8AA" w14:textId="77777777" w:rsidR="0050521C" w:rsidRPr="002078FB" w:rsidRDefault="0050521C" w:rsidP="00C412FF">
            <w:pPr>
              <w:jc w:val="both"/>
              <w:rPr>
                <w:rFonts w:cstheme="minorHAnsi"/>
                <w:b/>
              </w:rPr>
            </w:pPr>
            <w:r w:rsidRPr="002078FB">
              <w:rPr>
                <w:rFonts w:cstheme="minorHAnsi"/>
                <w:b/>
              </w:rPr>
              <w:t>Por lo tanto, podemos asegurar que el Estado de Chile nunca ha garantizado a través de sus Capítulos de Inversiones la obtención de utilidades a los inversionistas. Para evitar este tipo de inferencias e interpretaciones erradas respecto de las garantías que efectivamente otorga un Estado a través de sus Tratados de Libre Comercio, el Capítulo de Inversiones del CPTPP incluye todas las aclaraciones antes mencionadas. Estas aclaraciones no dan espacio alguno a interpretaciones al respecto y reflejan la posición de Chile: nuestro país NO se ha comprometido en el CPTPP a asegurar al inversionista que recibirá retornos por sus eventuales inversiones en nuestro territorio.</w:t>
            </w:r>
          </w:p>
        </w:tc>
      </w:tr>
    </w:tbl>
    <w:p w14:paraId="6543E4D0" w14:textId="77777777" w:rsidR="0050521C" w:rsidRPr="002078FB" w:rsidRDefault="0050521C" w:rsidP="00C412FF">
      <w:pPr>
        <w:spacing w:before="39" w:after="0" w:line="240" w:lineRule="auto"/>
        <w:ind w:right="117"/>
        <w:jc w:val="both"/>
        <w:rPr>
          <w:rFonts w:cstheme="minorHAnsi"/>
          <w:b/>
        </w:rPr>
      </w:pPr>
    </w:p>
    <w:p w14:paraId="78ADDF05" w14:textId="77777777" w:rsidR="0050521C" w:rsidRPr="002078FB" w:rsidRDefault="0050521C" w:rsidP="00C412FF">
      <w:pPr>
        <w:pStyle w:val="Prrafodelista"/>
        <w:numPr>
          <w:ilvl w:val="0"/>
          <w:numId w:val="6"/>
        </w:numPr>
        <w:spacing w:after="0" w:line="240" w:lineRule="auto"/>
        <w:jc w:val="both"/>
        <w:rPr>
          <w:rFonts w:cstheme="minorHAnsi"/>
          <w:b/>
        </w:rPr>
      </w:pPr>
      <w:r w:rsidRPr="002078FB">
        <w:rPr>
          <w:rFonts w:cstheme="minorHAnsi"/>
          <w:b/>
          <w:u w:val="single"/>
        </w:rPr>
        <w:t>CAPÍTULO LABORAL</w:t>
      </w:r>
    </w:p>
    <w:p w14:paraId="4151AC64" w14:textId="77777777" w:rsidR="0050521C" w:rsidRPr="002078FB" w:rsidRDefault="0050521C" w:rsidP="00C412FF">
      <w:pPr>
        <w:spacing w:after="0" w:line="240" w:lineRule="auto"/>
        <w:jc w:val="both"/>
        <w:rPr>
          <w:rFonts w:cstheme="minorHAnsi"/>
          <w:b/>
        </w:rPr>
      </w:pPr>
    </w:p>
    <w:p w14:paraId="754F4F9E" w14:textId="77777777" w:rsidR="0050521C" w:rsidRPr="002078FB" w:rsidRDefault="0050521C" w:rsidP="00C412FF">
      <w:pPr>
        <w:spacing w:line="240" w:lineRule="auto"/>
        <w:jc w:val="both"/>
        <w:rPr>
          <w:rFonts w:cstheme="minorHAnsi"/>
        </w:rPr>
      </w:pPr>
      <w:r w:rsidRPr="002078FB">
        <w:rPr>
          <w:rFonts w:cstheme="minorHAnsi"/>
        </w:rPr>
        <w:t xml:space="preserve">Algunos actores contrarios al CPTPP han indicado que “El artículo 19.1 del CPTPP establece una definición de leyes laborales absolutamente restrictiva y regresiva. En efecto, el mencionado artículo señala: </w:t>
      </w:r>
    </w:p>
    <w:p w14:paraId="7EAE51B0" w14:textId="77777777" w:rsidR="0050521C" w:rsidRPr="002078FB" w:rsidRDefault="0050521C" w:rsidP="00C412FF">
      <w:pPr>
        <w:spacing w:before="240" w:after="0" w:line="240" w:lineRule="auto"/>
        <w:jc w:val="both"/>
        <w:rPr>
          <w:rFonts w:cstheme="minorHAnsi"/>
          <w:i/>
        </w:rPr>
      </w:pPr>
      <w:r w:rsidRPr="002078FB">
        <w:rPr>
          <w:rFonts w:cstheme="minorHAnsi"/>
          <w:i/>
        </w:rPr>
        <w:t xml:space="preserve">“(…) leyes laborales significa las leyes y regulaciones, o disposiciones de las leyes y regulaciones, de una </w:t>
      </w:r>
      <w:proofErr w:type="gramStart"/>
      <w:r w:rsidRPr="002078FB">
        <w:rPr>
          <w:rFonts w:cstheme="minorHAnsi"/>
          <w:i/>
        </w:rPr>
        <w:t>Parte</w:t>
      </w:r>
      <w:proofErr w:type="gramEnd"/>
      <w:r w:rsidRPr="002078FB">
        <w:rPr>
          <w:rFonts w:cstheme="minorHAnsi"/>
          <w:i/>
        </w:rPr>
        <w:t xml:space="preserve"> que están directamente relacionadas con los siguientes derechos laborales internacionalmente reconocidos: </w:t>
      </w:r>
    </w:p>
    <w:p w14:paraId="0080BF5B" w14:textId="77777777" w:rsidR="0050521C" w:rsidRPr="002078FB" w:rsidRDefault="0050521C" w:rsidP="00C412FF">
      <w:pPr>
        <w:spacing w:after="0" w:line="240" w:lineRule="auto"/>
        <w:jc w:val="both"/>
        <w:rPr>
          <w:rFonts w:cstheme="minorHAnsi"/>
          <w:i/>
        </w:rPr>
      </w:pPr>
      <w:r w:rsidRPr="002078FB">
        <w:rPr>
          <w:rFonts w:cstheme="minorHAnsi"/>
          <w:i/>
        </w:rPr>
        <w:t xml:space="preserve">(a) la libertad de asociación y el reconocimiento efectivo del derecho a la negociación colectiva; </w:t>
      </w:r>
    </w:p>
    <w:p w14:paraId="6639C79E" w14:textId="77777777" w:rsidR="0050521C" w:rsidRPr="002078FB" w:rsidRDefault="0050521C" w:rsidP="00C412FF">
      <w:pPr>
        <w:spacing w:after="0" w:line="240" w:lineRule="auto"/>
        <w:jc w:val="both"/>
        <w:rPr>
          <w:rFonts w:cstheme="minorHAnsi"/>
          <w:i/>
        </w:rPr>
      </w:pPr>
      <w:r w:rsidRPr="002078FB">
        <w:rPr>
          <w:rFonts w:cstheme="minorHAnsi"/>
          <w:i/>
        </w:rPr>
        <w:t xml:space="preserve">(b) la eliminación de todas las formas de trabajo forzoso u obligatorio; </w:t>
      </w:r>
    </w:p>
    <w:p w14:paraId="51ABF621" w14:textId="77777777" w:rsidR="0050521C" w:rsidRPr="002078FB" w:rsidRDefault="0050521C" w:rsidP="00C412FF">
      <w:pPr>
        <w:spacing w:after="0" w:line="240" w:lineRule="auto"/>
        <w:jc w:val="both"/>
        <w:rPr>
          <w:rFonts w:cstheme="minorHAnsi"/>
          <w:i/>
        </w:rPr>
      </w:pPr>
      <w:r w:rsidRPr="002078FB">
        <w:rPr>
          <w:rFonts w:cstheme="minorHAnsi"/>
          <w:i/>
        </w:rPr>
        <w:t xml:space="preserve">(c) la abolición efectiva del trabajo infantil, la prohibición de las peores formas de trabajo infantil y otras protecciones laborales para niños y menores; </w:t>
      </w:r>
    </w:p>
    <w:p w14:paraId="4D0E2D59" w14:textId="77777777" w:rsidR="0050521C" w:rsidRPr="002078FB" w:rsidRDefault="0050521C" w:rsidP="00C412FF">
      <w:pPr>
        <w:spacing w:after="0" w:line="240" w:lineRule="auto"/>
        <w:jc w:val="both"/>
        <w:rPr>
          <w:rFonts w:cstheme="minorHAnsi"/>
          <w:i/>
        </w:rPr>
      </w:pPr>
      <w:r w:rsidRPr="002078FB">
        <w:rPr>
          <w:rFonts w:cstheme="minorHAnsi"/>
          <w:i/>
        </w:rPr>
        <w:t xml:space="preserve">(d) la eliminación de la discriminación en materia de empleo y ocupación; y </w:t>
      </w:r>
    </w:p>
    <w:p w14:paraId="33EE959C" w14:textId="77777777" w:rsidR="0050521C" w:rsidRPr="002078FB" w:rsidRDefault="0050521C" w:rsidP="00C412FF">
      <w:pPr>
        <w:spacing w:line="240" w:lineRule="auto"/>
        <w:jc w:val="both"/>
        <w:rPr>
          <w:rFonts w:cstheme="minorHAnsi"/>
          <w:i/>
        </w:rPr>
      </w:pPr>
      <w:r w:rsidRPr="002078FB">
        <w:rPr>
          <w:rFonts w:cstheme="minorHAnsi"/>
          <w:i/>
        </w:rPr>
        <w:t>(e) condiciones aceptables de trabajo respecto a salarios mínimos, 1 horas de trabajo, y seguridad y salud en el trabajo;</w:t>
      </w:r>
    </w:p>
    <w:p w14:paraId="62EE5930" w14:textId="77777777" w:rsidR="0050521C" w:rsidRPr="002078FB" w:rsidRDefault="0050521C" w:rsidP="00C412FF">
      <w:pPr>
        <w:spacing w:after="0" w:line="240" w:lineRule="auto"/>
        <w:jc w:val="both"/>
        <w:rPr>
          <w:rFonts w:cstheme="minorHAnsi"/>
          <w:i/>
        </w:rPr>
      </w:pPr>
      <w:r w:rsidRPr="002078FB">
        <w:rPr>
          <w:rFonts w:cstheme="minorHAnsi"/>
          <w:i/>
        </w:rPr>
        <w:t xml:space="preserve">De esta forma, </w:t>
      </w:r>
      <w:bookmarkStart w:id="1" w:name="_Hlk5807480"/>
      <w:r w:rsidRPr="002078FB">
        <w:rPr>
          <w:rFonts w:cstheme="minorHAnsi"/>
          <w:i/>
        </w:rPr>
        <w:t xml:space="preserve">para el CPTPP, </w:t>
      </w:r>
      <w:bookmarkEnd w:id="1"/>
      <w:r w:rsidRPr="002078FB">
        <w:rPr>
          <w:rFonts w:cstheme="minorHAnsi"/>
          <w:i/>
        </w:rPr>
        <w:t xml:space="preserve">no son derechos ni leyes laborales la huelga, el derecho a contrato, el derecho a indemnización por años de servicio, el derecho al feriado anual, el derecho a jubilación, a permiso pre y post natal, </w:t>
      </w:r>
      <w:r w:rsidRPr="002078FB">
        <w:rPr>
          <w:rFonts w:cstheme="minorHAnsi"/>
          <w:i/>
        </w:rPr>
        <w:lastRenderedPageBreak/>
        <w:t>a protección contra el acoso laboral y otras que no se deriven directamente de los cinco puntos enunciados en el artículo 19.1 del tratado.”</w:t>
      </w:r>
      <w:r w:rsidRPr="002078FB">
        <w:rPr>
          <w:rStyle w:val="Refdenotaalpie"/>
          <w:rFonts w:cstheme="minorHAnsi"/>
          <w:i/>
        </w:rPr>
        <w:footnoteReference w:id="2"/>
      </w:r>
      <w:r w:rsidRPr="002078FB">
        <w:rPr>
          <w:rFonts w:cstheme="minorHAnsi"/>
          <w:i/>
        </w:rPr>
        <w:t>.</w:t>
      </w:r>
    </w:p>
    <w:p w14:paraId="6CE06645" w14:textId="77777777" w:rsidR="0050521C" w:rsidRPr="002078FB" w:rsidRDefault="0050521C" w:rsidP="00C412FF">
      <w:pPr>
        <w:spacing w:after="0" w:line="240" w:lineRule="auto"/>
        <w:jc w:val="both"/>
        <w:rPr>
          <w:rFonts w:cstheme="minorHAnsi"/>
        </w:rPr>
      </w:pPr>
    </w:p>
    <w:tbl>
      <w:tblPr>
        <w:tblStyle w:val="Tablaconcuadrcula"/>
        <w:tblW w:w="5000" w:type="pct"/>
        <w:tblLook w:val="04A0" w:firstRow="1" w:lastRow="0" w:firstColumn="1" w:lastColumn="0" w:noHBand="0" w:noVBand="1"/>
      </w:tblPr>
      <w:tblGrid>
        <w:gridCol w:w="10070"/>
      </w:tblGrid>
      <w:tr w:rsidR="0050521C" w:rsidRPr="002078FB" w14:paraId="3BE8EA38" w14:textId="77777777" w:rsidTr="00066133">
        <w:tc>
          <w:tcPr>
            <w:tcW w:w="5000" w:type="pct"/>
          </w:tcPr>
          <w:p w14:paraId="77C04B1E" w14:textId="77777777" w:rsidR="0050521C" w:rsidRPr="002078FB" w:rsidRDefault="0050521C" w:rsidP="00C412FF">
            <w:pPr>
              <w:jc w:val="both"/>
              <w:rPr>
                <w:rFonts w:cstheme="minorHAnsi"/>
              </w:rPr>
            </w:pPr>
            <w:r w:rsidRPr="002078FB">
              <w:rPr>
                <w:rFonts w:cstheme="minorHAnsi"/>
              </w:rPr>
              <w:t xml:space="preserve">Lo anterior no es verídico puesto que la definición del Artículo 19.1 CPTPP rige sólo para el Capítulo Laboral. </w:t>
            </w:r>
            <w:r w:rsidRPr="002078FB">
              <w:rPr>
                <w:rFonts w:cstheme="minorHAnsi"/>
                <w:b/>
              </w:rPr>
              <w:t xml:space="preserve">Este Capítulo no busca regular el universo de leyes laborales de cada país del CPTPP sino sólo ciertos aspectos generales relativos al derecho laboral internacional. Que ciertos derechos laborales no estén incluidos en el Artículo 19.1 no significa </w:t>
            </w:r>
            <w:proofErr w:type="gramStart"/>
            <w:r w:rsidRPr="002078FB">
              <w:rPr>
                <w:rFonts w:cstheme="minorHAnsi"/>
                <w:b/>
              </w:rPr>
              <w:t>que</w:t>
            </w:r>
            <w:proofErr w:type="gramEnd"/>
            <w:r w:rsidRPr="002078FB">
              <w:rPr>
                <w:rFonts w:cstheme="minorHAnsi"/>
                <w:b/>
              </w:rPr>
              <w:t xml:space="preserve"> para el CPTPP, no son derechos ni leyes laborales. La legislación laboral de cada país sigue plenamente vigente</w:t>
            </w:r>
            <w:r w:rsidRPr="002078FB">
              <w:rPr>
                <w:rFonts w:cstheme="minorHAnsi"/>
              </w:rPr>
              <w:t>.</w:t>
            </w:r>
          </w:p>
          <w:p w14:paraId="270EA706" w14:textId="77777777" w:rsidR="0050521C" w:rsidRPr="002078FB" w:rsidRDefault="0050521C" w:rsidP="00C412FF">
            <w:pPr>
              <w:jc w:val="both"/>
              <w:rPr>
                <w:rFonts w:cstheme="minorHAnsi"/>
              </w:rPr>
            </w:pPr>
          </w:p>
          <w:p w14:paraId="782A6505" w14:textId="77777777" w:rsidR="0050521C" w:rsidRPr="002078FB" w:rsidRDefault="0050521C" w:rsidP="00C412FF">
            <w:pPr>
              <w:jc w:val="both"/>
              <w:rPr>
                <w:rFonts w:cstheme="minorHAnsi"/>
              </w:rPr>
            </w:pPr>
            <w:r w:rsidRPr="002078FB">
              <w:rPr>
                <w:rFonts w:cstheme="minorHAnsi"/>
              </w:rPr>
              <w:t xml:space="preserve">De hecho, en el marco del CPTPP se proponen fomentar altos estándares de protección laboral y el cumplimiento efectivo de las legislaciones nacionales. Asimismo, se reconocen los principios fundamentales del trabajo consagrados en la Declaración de la OIT, y los integrantes del Acuerdo confirman sus obligaciones como miembros de dicha Organización. Al respecto, el </w:t>
            </w:r>
            <w:r w:rsidRPr="002078FB">
              <w:rPr>
                <w:rFonts w:cstheme="minorHAnsi"/>
                <w:b/>
              </w:rPr>
              <w:t xml:space="preserve">Capítulo Laboral reafirma la eliminación de todas las formas de trabajo forzado, que incluye el trabajo infantil forzado y obligatorio. Además, reconoce la libertad de asociación y el reconocimiento efectivo del derecho a la negociación colectiva. </w:t>
            </w:r>
            <w:r w:rsidRPr="002078FB">
              <w:rPr>
                <w:rFonts w:cstheme="minorHAnsi"/>
              </w:rPr>
              <w:t xml:space="preserve">A pesar de que Chile ya cuenta con el reconocimiento de dichos derechos, su consagración en este Acuerdo, sí es un avance importante puesto que se traduce en una exigencia de cumplimiento de un importante estándar en materia de derechos laborales para que los </w:t>
            </w:r>
            <w:proofErr w:type="gramStart"/>
            <w:r w:rsidRPr="002078FB">
              <w:rPr>
                <w:rFonts w:cstheme="minorHAnsi"/>
              </w:rPr>
              <w:t>países miembro</w:t>
            </w:r>
            <w:proofErr w:type="gramEnd"/>
            <w:r w:rsidRPr="002078FB">
              <w:rPr>
                <w:rFonts w:cstheme="minorHAnsi"/>
              </w:rPr>
              <w:t xml:space="preserve"> puedan gozar de los beneficios del Tratado. En este sentido, el CPTPP significa un avance en materia de reconocimiento y promoción de los derechos humanos.</w:t>
            </w:r>
          </w:p>
          <w:p w14:paraId="0D727AD6" w14:textId="77777777" w:rsidR="0050521C" w:rsidRPr="002078FB" w:rsidRDefault="0050521C" w:rsidP="00C412FF">
            <w:pPr>
              <w:jc w:val="both"/>
              <w:rPr>
                <w:rFonts w:cstheme="minorHAnsi"/>
                <w:b/>
              </w:rPr>
            </w:pPr>
          </w:p>
          <w:p w14:paraId="7BDF2DB1" w14:textId="77777777" w:rsidR="0050521C" w:rsidRPr="002078FB" w:rsidRDefault="0050521C" w:rsidP="00C412FF">
            <w:pPr>
              <w:jc w:val="both"/>
              <w:rPr>
                <w:rFonts w:cstheme="minorHAnsi"/>
                <w:b/>
              </w:rPr>
            </w:pPr>
            <w:r w:rsidRPr="002078FB">
              <w:rPr>
                <w:rFonts w:cstheme="minorHAnsi"/>
                <w:b/>
              </w:rPr>
              <w:t>El Capítulo Laboral exige a los países miembro cumplir estándares mínimos de respeto a los derechos laborales prohibiendo, por ejemplo, el trabajo forzado e infantil, evitando el “dumping social” ya que los países miembros no podrán retroceder en materia de regulación de derechos laborales con el fin de favorecer el comercio. Así, lo mencionado en el capítulo constituye un piso mínimo a cumplir, no un máximo que derogue derechos laborales nacionales.</w:t>
            </w:r>
          </w:p>
        </w:tc>
      </w:tr>
    </w:tbl>
    <w:p w14:paraId="716E3730" w14:textId="77777777" w:rsidR="0050521C" w:rsidRPr="002078FB" w:rsidRDefault="0050521C" w:rsidP="00C412FF">
      <w:pPr>
        <w:spacing w:after="0" w:line="240" w:lineRule="auto"/>
        <w:jc w:val="both"/>
        <w:rPr>
          <w:rFonts w:cstheme="minorHAnsi"/>
          <w:b/>
        </w:rPr>
      </w:pPr>
    </w:p>
    <w:p w14:paraId="2C482C44" w14:textId="77777777" w:rsidR="0050521C" w:rsidRPr="002078FB" w:rsidRDefault="0050521C" w:rsidP="00C412FF">
      <w:pPr>
        <w:pStyle w:val="Prrafodelista"/>
        <w:numPr>
          <w:ilvl w:val="0"/>
          <w:numId w:val="6"/>
        </w:numPr>
        <w:spacing w:after="0" w:line="240" w:lineRule="auto"/>
        <w:jc w:val="both"/>
        <w:rPr>
          <w:rFonts w:cstheme="minorHAnsi"/>
          <w:b/>
        </w:rPr>
      </w:pPr>
      <w:r w:rsidRPr="002078FB">
        <w:rPr>
          <w:rFonts w:cstheme="minorHAnsi"/>
          <w:b/>
          <w:u w:val="single"/>
        </w:rPr>
        <w:t>AFECTACIÓN A LOS DERECHOS INDÍGENAS Y OMISIÓN A CONSULTA INDÍGENA</w:t>
      </w:r>
    </w:p>
    <w:p w14:paraId="67D7020B" w14:textId="77777777" w:rsidR="0050521C" w:rsidRPr="002078FB" w:rsidRDefault="0050521C" w:rsidP="00C412FF">
      <w:pPr>
        <w:spacing w:after="0" w:line="240" w:lineRule="auto"/>
        <w:jc w:val="both"/>
        <w:rPr>
          <w:rFonts w:cstheme="minorHAnsi"/>
          <w:b/>
        </w:rPr>
      </w:pPr>
    </w:p>
    <w:p w14:paraId="3E765BEE" w14:textId="77777777" w:rsidR="0050521C" w:rsidRPr="002078FB" w:rsidRDefault="0050521C" w:rsidP="00C412FF">
      <w:pPr>
        <w:tabs>
          <w:tab w:val="decimal" w:pos="2552"/>
        </w:tabs>
        <w:suppressAutoHyphens/>
        <w:spacing w:after="240" w:line="240" w:lineRule="auto"/>
        <w:jc w:val="both"/>
        <w:rPr>
          <w:rFonts w:eastAsia="Calibri" w:cstheme="minorHAnsi"/>
        </w:rPr>
      </w:pPr>
      <w:r w:rsidRPr="002078FB">
        <w:rPr>
          <w:rFonts w:eastAsia="Calibri" w:cstheme="minorHAnsi"/>
        </w:rPr>
        <w:t>Se ha dicho que el CPTPP no cumplió con el trámite obligatorio de consulta indígena, a pesar de que este afecta directamente los derechos de pueblos originarios.</w:t>
      </w:r>
    </w:p>
    <w:tbl>
      <w:tblPr>
        <w:tblStyle w:val="Tablaconcuadrcula"/>
        <w:tblW w:w="5000" w:type="pct"/>
        <w:tblLook w:val="04A0" w:firstRow="1" w:lastRow="0" w:firstColumn="1" w:lastColumn="0" w:noHBand="0" w:noVBand="1"/>
      </w:tblPr>
      <w:tblGrid>
        <w:gridCol w:w="10070"/>
      </w:tblGrid>
      <w:tr w:rsidR="0050521C" w:rsidRPr="002078FB" w14:paraId="18B55E30" w14:textId="77777777" w:rsidTr="00066133">
        <w:tc>
          <w:tcPr>
            <w:tcW w:w="5000" w:type="pct"/>
          </w:tcPr>
          <w:p w14:paraId="7D2B2825" w14:textId="771AB70B" w:rsidR="0050521C" w:rsidRPr="002078FB" w:rsidRDefault="0050521C" w:rsidP="00C412FF">
            <w:pPr>
              <w:tabs>
                <w:tab w:val="decimal" w:pos="164"/>
              </w:tabs>
              <w:suppressAutoHyphens/>
              <w:spacing w:after="240"/>
              <w:jc w:val="both"/>
              <w:rPr>
                <w:rFonts w:eastAsia="Calibri" w:cstheme="minorHAnsi"/>
              </w:rPr>
            </w:pPr>
            <w:r w:rsidRPr="002078FB">
              <w:rPr>
                <w:rFonts w:eastAsia="Calibri" w:cstheme="minorHAnsi"/>
              </w:rPr>
              <w:t>Esta materia fue abordada durante la etapa de negociación, entre la Dirección General de Relaciones Económicas Internacionales de esta Secretaría de Estado y el Ministerio de Desarrollo Social.</w:t>
            </w:r>
            <w:r w:rsidR="00C412FF" w:rsidRPr="002078FB">
              <w:rPr>
                <w:rFonts w:eastAsia="Calibri" w:cstheme="minorHAnsi"/>
              </w:rPr>
              <w:t xml:space="preserve"> </w:t>
            </w:r>
            <w:r w:rsidRPr="002078FB">
              <w:rPr>
                <w:rFonts w:eastAsia="Calibri" w:cstheme="minorHAnsi"/>
              </w:rPr>
              <w:t xml:space="preserve">En efecto, </w:t>
            </w:r>
            <w:r w:rsidRPr="002078FB">
              <w:rPr>
                <w:rFonts w:eastAsia="Calibri" w:cstheme="minorHAnsi"/>
                <w:b/>
              </w:rPr>
              <w:t>consultada la Subsecretaría de Servicios Sociales y previo estudio de los antecedentes respectivos, por Oficio N°833, de 23 de marzo de 2016, dicha repartición emitió su opinión sobre la procedencia de consulta indígena en el caso del Acuerdo de Asociación Transpacífico (TPP), indicando que éste no requería consulta previa a los pueblos indígenas en esa etapa</w:t>
            </w:r>
            <w:r w:rsidRPr="002078FB">
              <w:rPr>
                <w:rFonts w:eastAsia="Calibri" w:cstheme="minorHAnsi"/>
              </w:rPr>
              <w:t>, sin perjuicio del análisis que corresponda respecto de la normativa interna de implementación y que pueda significar afectación directa a los pueblos indígenas.</w:t>
            </w:r>
          </w:p>
          <w:p w14:paraId="7BB01909" w14:textId="630BEE2C" w:rsidR="0050521C" w:rsidRPr="002078FB" w:rsidRDefault="0050521C" w:rsidP="00066133">
            <w:pPr>
              <w:tabs>
                <w:tab w:val="left" w:pos="164"/>
                <w:tab w:val="decimal" w:pos="2552"/>
              </w:tabs>
              <w:suppressAutoHyphens/>
              <w:spacing w:after="240"/>
              <w:jc w:val="both"/>
              <w:rPr>
                <w:rFonts w:eastAsia="Calibri" w:cstheme="minorHAnsi"/>
              </w:rPr>
            </w:pPr>
            <w:r w:rsidRPr="002078FB">
              <w:rPr>
                <w:rFonts w:eastAsia="Calibri" w:cstheme="minorHAnsi"/>
              </w:rPr>
              <w:t xml:space="preserve">El análisis de la Subsecretaría se basa en distinguir dos grupos de disposiciones en el TPP; una primera categoría se refiere a excepciones que Chile formuló en el Capítulo de Inversiones, Comercio Transfronterizo de Servicios y Empresas del Estado y Monopolios designados, de conformidad con las cuales nuestro país se reservó el pleno derecho de adoptar en el futuro normas contrarias o incompatibles con el tratado cuando aquellas estén </w:t>
            </w:r>
            <w:r w:rsidRPr="002078FB">
              <w:rPr>
                <w:rFonts w:eastAsia="Calibri" w:cstheme="minorHAnsi"/>
              </w:rPr>
              <w:lastRenderedPageBreak/>
              <w:t>destinadas a establecer derechos o preferencias a los pueblos indígenas; y, una segunda categoría, contenida en los Capítulos de Medio Ambiente y Propiedad Intelectual, donde se establece que Chile podrá adoptar o generar, después de la entrada en vigor del acuerdo, diversos cuerpos normativos para implementar o adecuar</w:t>
            </w:r>
            <w:r w:rsidR="00066133">
              <w:rPr>
                <w:rFonts w:eastAsia="Calibri" w:cstheme="minorHAnsi"/>
              </w:rPr>
              <w:t xml:space="preserve"> </w:t>
            </w:r>
            <w:r w:rsidRPr="002078FB">
              <w:rPr>
                <w:rFonts w:eastAsia="Calibri" w:cstheme="minorHAnsi"/>
              </w:rPr>
              <w:t>su derecho interno a éste.</w:t>
            </w:r>
          </w:p>
          <w:p w14:paraId="2DBD6961" w14:textId="77777777" w:rsidR="0050521C" w:rsidRPr="002078FB" w:rsidRDefault="0050521C" w:rsidP="00C412FF">
            <w:pPr>
              <w:suppressAutoHyphens/>
              <w:spacing w:after="240"/>
              <w:jc w:val="both"/>
              <w:rPr>
                <w:rFonts w:eastAsia="Calibri" w:cstheme="minorHAnsi"/>
              </w:rPr>
            </w:pPr>
            <w:r w:rsidRPr="002078FB">
              <w:rPr>
                <w:rFonts w:eastAsia="Calibri" w:cstheme="minorHAnsi"/>
              </w:rPr>
              <w:t xml:space="preserve">En razón de lo expuesto, la Subsecretaría de Servicios Sociales concluyó que cuando se prevea dictar medidas legislativas o administrativas para implementar la segunda categoría de disposiciones del TPP anteriormente aludida, será la oportunidad para realizar el correspondiente análisis de susceptibilidad de afectación directa a los pueblos indígenas, para efectos de determinar la procedencia de consulta indígena contemplada en el artículo 13 del Decreto Supremo N°66 de 2008, del Ministerio de Desarrollo Social. </w:t>
            </w:r>
          </w:p>
          <w:p w14:paraId="5680727F" w14:textId="77777777" w:rsidR="0050521C" w:rsidRPr="002078FB" w:rsidRDefault="0050521C" w:rsidP="00C412FF">
            <w:pPr>
              <w:jc w:val="both"/>
              <w:rPr>
                <w:rFonts w:cstheme="minorHAnsi"/>
                <w:b/>
              </w:rPr>
            </w:pPr>
            <w:r w:rsidRPr="002078FB">
              <w:rPr>
                <w:rFonts w:eastAsia="Calibri" w:cstheme="minorHAnsi"/>
                <w:b/>
              </w:rPr>
              <w:t>Considerando que el CPTPP está constituido a partir de la incorporación de las cláusulas del TPP, dejando sin efecto aquellas que fueron resultado directo de la participación de Estados Unidos en este último, la opinión vertida por el Subsecretario de Servicios Sociales en 2016 es plenamente aplicable al contenido del nuevo acuerdo (CPTPP).</w:t>
            </w:r>
          </w:p>
        </w:tc>
      </w:tr>
    </w:tbl>
    <w:p w14:paraId="00EB0812" w14:textId="77777777" w:rsidR="0050521C" w:rsidRPr="002078FB" w:rsidRDefault="0050521C" w:rsidP="00C412FF">
      <w:pPr>
        <w:spacing w:after="0" w:line="240" w:lineRule="auto"/>
        <w:jc w:val="both"/>
        <w:rPr>
          <w:rFonts w:cstheme="minorHAnsi"/>
        </w:rPr>
      </w:pPr>
    </w:p>
    <w:p w14:paraId="53A14998" w14:textId="77777777" w:rsidR="0050521C" w:rsidRPr="002078FB" w:rsidRDefault="0050521C" w:rsidP="00C412FF">
      <w:pPr>
        <w:spacing w:after="0" w:line="240" w:lineRule="auto"/>
        <w:jc w:val="both"/>
        <w:rPr>
          <w:rFonts w:cstheme="minorHAnsi"/>
        </w:rPr>
      </w:pPr>
      <w:r w:rsidRPr="002078FB">
        <w:rPr>
          <w:rFonts w:cstheme="minorHAnsi"/>
        </w:rPr>
        <w:t>Se ha dicho que el CPTPP no reconocería los derechos de los pueblos indígenas, e incluso contemplaría normas que vulneran sus derechos.</w:t>
      </w:r>
    </w:p>
    <w:p w14:paraId="6D9128C1" w14:textId="77777777" w:rsidR="0050521C" w:rsidRPr="002078FB" w:rsidRDefault="0050521C" w:rsidP="00C412FF">
      <w:pPr>
        <w:spacing w:after="0" w:line="240" w:lineRule="auto"/>
        <w:jc w:val="both"/>
        <w:rPr>
          <w:rFonts w:cstheme="minorHAnsi"/>
        </w:rPr>
      </w:pPr>
    </w:p>
    <w:tbl>
      <w:tblPr>
        <w:tblStyle w:val="Tablaconcuadrcula"/>
        <w:tblW w:w="5000" w:type="pct"/>
        <w:tblLook w:val="04A0" w:firstRow="1" w:lastRow="0" w:firstColumn="1" w:lastColumn="0" w:noHBand="0" w:noVBand="1"/>
      </w:tblPr>
      <w:tblGrid>
        <w:gridCol w:w="10070"/>
      </w:tblGrid>
      <w:tr w:rsidR="0050521C" w:rsidRPr="002078FB" w14:paraId="7579F6BA" w14:textId="77777777" w:rsidTr="00066133">
        <w:tc>
          <w:tcPr>
            <w:tcW w:w="5000" w:type="pct"/>
          </w:tcPr>
          <w:p w14:paraId="74D565ED" w14:textId="77777777" w:rsidR="0050521C" w:rsidRPr="002078FB" w:rsidRDefault="0050521C" w:rsidP="00C412FF">
            <w:pPr>
              <w:jc w:val="both"/>
              <w:rPr>
                <w:rFonts w:cstheme="minorHAnsi"/>
                <w:b/>
              </w:rPr>
            </w:pPr>
            <w:r w:rsidRPr="002078FB">
              <w:rPr>
                <w:rFonts w:cstheme="minorHAnsi"/>
                <w:b/>
              </w:rPr>
              <w:t>El CPTPP incluye diversas disposiciones que expresamente reconocen y protegen los derechos indígenas:</w:t>
            </w:r>
          </w:p>
          <w:p w14:paraId="39B43201" w14:textId="77777777" w:rsidR="0050521C" w:rsidRPr="002078FB" w:rsidRDefault="0050521C" w:rsidP="00C412FF">
            <w:pPr>
              <w:pStyle w:val="Prrafodelista"/>
              <w:numPr>
                <w:ilvl w:val="0"/>
                <w:numId w:val="4"/>
              </w:numPr>
              <w:jc w:val="both"/>
              <w:rPr>
                <w:rFonts w:cstheme="minorHAnsi"/>
              </w:rPr>
            </w:pPr>
            <w:r w:rsidRPr="002078FB">
              <w:rPr>
                <w:rFonts w:cstheme="minorHAnsi"/>
              </w:rPr>
              <w:t>Tratamiento arancelario preferencial para mercancías artesanales tradicionales folclóricas.</w:t>
            </w:r>
          </w:p>
          <w:p w14:paraId="50EF2269" w14:textId="77777777" w:rsidR="0050521C" w:rsidRPr="002078FB" w:rsidRDefault="0050521C" w:rsidP="00C412FF">
            <w:pPr>
              <w:pStyle w:val="Prrafodelista"/>
              <w:numPr>
                <w:ilvl w:val="0"/>
                <w:numId w:val="4"/>
              </w:numPr>
              <w:jc w:val="both"/>
              <w:rPr>
                <w:rFonts w:cstheme="minorHAnsi"/>
              </w:rPr>
            </w:pPr>
            <w:r w:rsidRPr="002078FB">
              <w:rPr>
                <w:rFonts w:cstheme="minorHAnsi"/>
              </w:rPr>
              <w:t>Trato preferente por parte de empresas estatales a los pueblos indígenas y sus comunidades en la compra de bienes y servicios.</w:t>
            </w:r>
          </w:p>
          <w:p w14:paraId="0107EC04" w14:textId="77777777" w:rsidR="0050521C" w:rsidRPr="002078FB" w:rsidRDefault="0050521C" w:rsidP="00C412FF">
            <w:pPr>
              <w:pStyle w:val="Prrafodelista"/>
              <w:numPr>
                <w:ilvl w:val="0"/>
                <w:numId w:val="4"/>
              </w:numPr>
              <w:jc w:val="both"/>
              <w:rPr>
                <w:rFonts w:cstheme="minorHAnsi"/>
              </w:rPr>
            </w:pPr>
            <w:r w:rsidRPr="002078FB">
              <w:rPr>
                <w:rFonts w:cstheme="minorHAnsi"/>
              </w:rPr>
              <w:t>Reconocimiento a la importancia de respetar, preservar y mantener el conocimiento y las prácticas de las comunidades indígenas y locales que entrañen estilos tradicionales de vida que contribuyan a la conservación y uso sostenible de la diversidad biológica.</w:t>
            </w:r>
          </w:p>
          <w:p w14:paraId="27F60F13" w14:textId="77777777" w:rsidR="0050521C" w:rsidRPr="002078FB" w:rsidRDefault="0050521C" w:rsidP="00C412FF">
            <w:pPr>
              <w:pStyle w:val="Prrafodelista"/>
              <w:numPr>
                <w:ilvl w:val="0"/>
                <w:numId w:val="4"/>
              </w:numPr>
              <w:jc w:val="both"/>
              <w:rPr>
                <w:rFonts w:cstheme="minorHAnsi"/>
              </w:rPr>
            </w:pPr>
            <w:r w:rsidRPr="002078FB">
              <w:rPr>
                <w:rFonts w:cstheme="minorHAnsi"/>
              </w:rPr>
              <w:t>Expresa facultad del Estado de aplicar medidas para proteger, preservar y promover Conocimientos Tradicionales y Expresiones Culturales.</w:t>
            </w:r>
          </w:p>
          <w:p w14:paraId="25AD1988" w14:textId="77777777" w:rsidR="0050521C" w:rsidRPr="002078FB" w:rsidRDefault="0050521C" w:rsidP="00C412FF">
            <w:pPr>
              <w:pStyle w:val="Prrafodelista"/>
              <w:numPr>
                <w:ilvl w:val="0"/>
                <w:numId w:val="4"/>
              </w:numPr>
              <w:jc w:val="both"/>
              <w:rPr>
                <w:rFonts w:cstheme="minorHAnsi"/>
              </w:rPr>
            </w:pPr>
            <w:r w:rsidRPr="002078FB">
              <w:rPr>
                <w:rFonts w:cstheme="minorHAnsi"/>
              </w:rPr>
              <w:t>Reconocimiento de la relevancia de los sistemas de propiedad intelectual y de los conocimientos tradicionales ligados a recursos genéticos.</w:t>
            </w:r>
          </w:p>
          <w:p w14:paraId="7CB93C46" w14:textId="77777777" w:rsidR="0050521C" w:rsidRPr="002078FB" w:rsidRDefault="0050521C" w:rsidP="00C412FF">
            <w:pPr>
              <w:pStyle w:val="Prrafodelista"/>
              <w:numPr>
                <w:ilvl w:val="0"/>
                <w:numId w:val="4"/>
              </w:numPr>
              <w:jc w:val="both"/>
              <w:rPr>
                <w:rFonts w:cstheme="minorHAnsi"/>
              </w:rPr>
            </w:pPr>
            <w:r w:rsidRPr="002078FB">
              <w:rPr>
                <w:rFonts w:cstheme="minorHAnsi"/>
              </w:rPr>
              <w:t>Derecho del Estado de Chile de adoptar las políticas públicas que estime necesarias para proteger y promover a los pueblos indígenas y minorías en situación de desventaja económica o social, exceptuándolas de las disposiciones del Capítulo de Inversiones.</w:t>
            </w:r>
          </w:p>
          <w:p w14:paraId="694A4506" w14:textId="77777777" w:rsidR="0050521C" w:rsidRPr="002078FB" w:rsidRDefault="0050521C" w:rsidP="00C412FF">
            <w:pPr>
              <w:pStyle w:val="Prrafodelista"/>
              <w:jc w:val="both"/>
              <w:rPr>
                <w:rFonts w:cstheme="minorHAnsi"/>
              </w:rPr>
            </w:pPr>
          </w:p>
          <w:p w14:paraId="6146D583" w14:textId="77777777" w:rsidR="0050521C" w:rsidRPr="002078FB" w:rsidRDefault="0050521C" w:rsidP="00C412FF">
            <w:pPr>
              <w:jc w:val="both"/>
              <w:rPr>
                <w:rFonts w:cstheme="minorHAnsi"/>
                <w:b/>
              </w:rPr>
            </w:pPr>
            <w:r w:rsidRPr="002078FB">
              <w:rPr>
                <w:rFonts w:cstheme="minorHAnsi"/>
                <w:b/>
              </w:rPr>
              <w:t>Cabe mencionar, además, que estas disposiciones, al constituir tratamientos favorables, no pueden ser considerados como afectación directa para efectos de hacer procedente una consulta indígena.</w:t>
            </w:r>
          </w:p>
        </w:tc>
      </w:tr>
    </w:tbl>
    <w:p w14:paraId="1C6A0F14" w14:textId="77777777" w:rsidR="0050521C" w:rsidRPr="002078FB" w:rsidRDefault="0050521C" w:rsidP="00C412FF">
      <w:pPr>
        <w:spacing w:after="0" w:line="240" w:lineRule="auto"/>
        <w:jc w:val="both"/>
        <w:rPr>
          <w:rFonts w:eastAsia="Calibri" w:cstheme="minorHAnsi"/>
          <w:b/>
          <w:u w:val="single"/>
        </w:rPr>
      </w:pPr>
    </w:p>
    <w:p w14:paraId="12A5F186" w14:textId="41FCDAFE" w:rsidR="00784D5D" w:rsidRPr="002078FB" w:rsidRDefault="00784D5D" w:rsidP="00C412FF">
      <w:pPr>
        <w:pStyle w:val="Prrafodelista"/>
        <w:numPr>
          <w:ilvl w:val="0"/>
          <w:numId w:val="6"/>
        </w:numPr>
        <w:spacing w:after="0" w:line="240" w:lineRule="auto"/>
        <w:jc w:val="both"/>
        <w:rPr>
          <w:rFonts w:eastAsia="Calibri" w:cstheme="minorHAnsi"/>
          <w:b/>
          <w:u w:val="single"/>
        </w:rPr>
      </w:pPr>
      <w:r w:rsidRPr="002078FB">
        <w:rPr>
          <w:rFonts w:eastAsia="Calibri" w:cstheme="minorHAnsi"/>
          <w:b/>
          <w:u w:val="single"/>
        </w:rPr>
        <w:t xml:space="preserve">SECRETISMO EN LAS NEGOCIACIONES </w:t>
      </w:r>
    </w:p>
    <w:p w14:paraId="032F6B0A" w14:textId="77777777" w:rsidR="00784D5D" w:rsidRPr="002078FB" w:rsidRDefault="00784D5D" w:rsidP="00C412FF">
      <w:pPr>
        <w:spacing w:after="0" w:line="240" w:lineRule="auto"/>
        <w:jc w:val="both"/>
        <w:rPr>
          <w:rFonts w:eastAsia="Calibri" w:cstheme="minorHAnsi"/>
          <w:b/>
          <w:u w:val="single"/>
        </w:rPr>
      </w:pPr>
    </w:p>
    <w:p w14:paraId="4D2A0B71" w14:textId="77777777" w:rsidR="00784D5D" w:rsidRPr="002078FB" w:rsidRDefault="00784D5D" w:rsidP="00C412FF">
      <w:pPr>
        <w:spacing w:line="240" w:lineRule="auto"/>
        <w:jc w:val="both"/>
        <w:rPr>
          <w:rFonts w:eastAsia="Calibri" w:cstheme="minorHAnsi"/>
        </w:rPr>
      </w:pPr>
      <w:r w:rsidRPr="002078FB">
        <w:rPr>
          <w:rFonts w:eastAsia="Calibri" w:cstheme="minorHAnsi"/>
        </w:rPr>
        <w:t>Se ha señalado que el CPTPP se negoció bajo un estricto pacto de secreto y a espaldas de la ciudadanía y del Parlamento.</w:t>
      </w:r>
    </w:p>
    <w:tbl>
      <w:tblPr>
        <w:tblStyle w:val="Tablaconcuadrcula2"/>
        <w:tblW w:w="5000" w:type="pct"/>
        <w:tblLook w:val="04A0" w:firstRow="1" w:lastRow="0" w:firstColumn="1" w:lastColumn="0" w:noHBand="0" w:noVBand="1"/>
      </w:tblPr>
      <w:tblGrid>
        <w:gridCol w:w="10070"/>
      </w:tblGrid>
      <w:tr w:rsidR="00784D5D" w:rsidRPr="002078FB" w14:paraId="33A4B798" w14:textId="77777777" w:rsidTr="00066133">
        <w:tc>
          <w:tcPr>
            <w:tcW w:w="5000" w:type="pct"/>
          </w:tcPr>
          <w:p w14:paraId="6105B95B" w14:textId="77777777" w:rsidR="00784D5D" w:rsidRPr="002078FB" w:rsidRDefault="00784D5D" w:rsidP="00C412FF">
            <w:pPr>
              <w:jc w:val="both"/>
              <w:rPr>
                <w:rFonts w:eastAsia="Calibri" w:cstheme="minorHAnsi"/>
              </w:rPr>
            </w:pPr>
            <w:r w:rsidRPr="002078FB">
              <w:rPr>
                <w:rFonts w:eastAsia="Calibri" w:cstheme="minorHAnsi"/>
              </w:rPr>
              <w:t xml:space="preserve">Respetando el marco de confidencialidad y buena fe acordado entre los países que participaron en el proceso de negociación, y que fuera reconocido por el Consejo para la Transparencia; se desplegaron igualmente variados esfuerzos para transparentar el proceso de negociación. La instancia más relevante, en este sentido, </w:t>
            </w:r>
            <w:r w:rsidRPr="002078FB">
              <w:rPr>
                <w:rFonts w:eastAsia="Calibri" w:cstheme="minorHAnsi"/>
              </w:rPr>
              <w:lastRenderedPageBreak/>
              <w:t>fue el denominado, Cuarto Adjunto</w:t>
            </w:r>
            <w:r w:rsidRPr="002078FB">
              <w:rPr>
                <w:rFonts w:eastAsia="Calibri" w:cstheme="minorHAnsi"/>
                <w:vertAlign w:val="superscript"/>
              </w:rPr>
              <w:footnoteReference w:id="3"/>
            </w:r>
            <w:r w:rsidRPr="002078FB">
              <w:rPr>
                <w:rFonts w:eastAsia="Calibri" w:cstheme="minorHAnsi"/>
              </w:rPr>
              <w:t xml:space="preserve">, en el cual se efectuaron reuniones con la sociedad civil, </w:t>
            </w:r>
            <w:proofErr w:type="spellStart"/>
            <w:r w:rsidRPr="002078FB">
              <w:rPr>
                <w:rFonts w:eastAsia="Calibri" w:cstheme="minorHAnsi"/>
              </w:rPr>
              <w:t>ONGs</w:t>
            </w:r>
            <w:proofErr w:type="spellEnd"/>
            <w:r w:rsidRPr="002078FB">
              <w:rPr>
                <w:rFonts w:eastAsia="Calibri" w:cstheme="minorHAnsi"/>
              </w:rPr>
              <w:t xml:space="preserve">, academia y empresarios, que se realizaron previo a las rondas, durante la realización de estas (a través de videoconferencias), y posteriormente, para dar cuenta del estado de avance del proceso y recoger las posiciones de todos los sectores. Fueron cerca de 100 reuniones, y más de 200 organizaciones convocadas, incluidas asociaciones vinculadas a </w:t>
            </w:r>
            <w:proofErr w:type="spellStart"/>
            <w:r w:rsidRPr="002078FB">
              <w:rPr>
                <w:rFonts w:eastAsia="Calibri" w:cstheme="minorHAnsi"/>
              </w:rPr>
              <w:t>ONGs</w:t>
            </w:r>
            <w:proofErr w:type="spellEnd"/>
            <w:r w:rsidRPr="002078FB">
              <w:rPr>
                <w:rFonts w:eastAsia="Calibri" w:cstheme="minorHAnsi"/>
              </w:rPr>
              <w:t xml:space="preserve">, organizaciones de pequeños productores y vinculadas a los pueblos originarios de Chile, por ejemplo, Chile sin TLC, </w:t>
            </w:r>
            <w:proofErr w:type="spellStart"/>
            <w:r w:rsidRPr="002078FB">
              <w:rPr>
                <w:rFonts w:eastAsia="Calibri" w:cstheme="minorHAnsi"/>
              </w:rPr>
              <w:t>Anamuri</w:t>
            </w:r>
            <w:proofErr w:type="spellEnd"/>
            <w:r w:rsidRPr="002078FB">
              <w:rPr>
                <w:rFonts w:eastAsia="Calibri" w:cstheme="minorHAnsi"/>
              </w:rPr>
              <w:t xml:space="preserve"> y </w:t>
            </w:r>
            <w:proofErr w:type="spellStart"/>
            <w:r w:rsidRPr="002078FB">
              <w:rPr>
                <w:rFonts w:eastAsia="Calibri" w:cstheme="minorHAnsi"/>
              </w:rPr>
              <w:t>RaPAL</w:t>
            </w:r>
            <w:proofErr w:type="spellEnd"/>
            <w:r w:rsidRPr="002078FB">
              <w:rPr>
                <w:rFonts w:eastAsia="Calibri" w:cstheme="minorHAnsi"/>
              </w:rPr>
              <w:t>, por nombrar algunas.</w:t>
            </w:r>
          </w:p>
        </w:tc>
      </w:tr>
    </w:tbl>
    <w:p w14:paraId="4FB075FA" w14:textId="77777777" w:rsidR="0050521C" w:rsidRPr="002078FB" w:rsidRDefault="0050521C" w:rsidP="00C412FF">
      <w:pPr>
        <w:spacing w:after="0" w:line="240" w:lineRule="auto"/>
        <w:jc w:val="both"/>
        <w:rPr>
          <w:rFonts w:eastAsia="Calibri" w:cstheme="minorHAnsi"/>
          <w:b/>
          <w:u w:val="single"/>
        </w:rPr>
      </w:pPr>
    </w:p>
    <w:p w14:paraId="3FAAE810" w14:textId="0FC66BE9" w:rsidR="0050521C" w:rsidRPr="002078FB" w:rsidRDefault="0050521C" w:rsidP="00C412FF">
      <w:pPr>
        <w:pStyle w:val="Prrafodelista"/>
        <w:numPr>
          <w:ilvl w:val="0"/>
          <w:numId w:val="6"/>
        </w:numPr>
        <w:spacing w:after="240" w:line="240" w:lineRule="auto"/>
        <w:jc w:val="both"/>
        <w:rPr>
          <w:rFonts w:eastAsia="Calibri" w:cstheme="minorHAnsi"/>
          <w:b/>
        </w:rPr>
      </w:pPr>
      <w:r w:rsidRPr="002078FB">
        <w:rPr>
          <w:rFonts w:eastAsia="Calibri" w:cstheme="minorHAnsi"/>
          <w:b/>
          <w:u w:val="single"/>
        </w:rPr>
        <w:t>DERECHOS DE LOS USUARIOS DE INTERNET</w:t>
      </w:r>
    </w:p>
    <w:p w14:paraId="1A958B67" w14:textId="77777777" w:rsidR="0050521C" w:rsidRPr="002078FB" w:rsidRDefault="0050521C" w:rsidP="00C412FF">
      <w:pPr>
        <w:spacing w:line="240" w:lineRule="auto"/>
        <w:jc w:val="both"/>
        <w:rPr>
          <w:rFonts w:eastAsia="Calibri" w:cstheme="minorHAnsi"/>
        </w:rPr>
      </w:pPr>
      <w:r w:rsidRPr="002078FB">
        <w:rPr>
          <w:rFonts w:eastAsia="Calibri" w:cstheme="minorHAnsi"/>
        </w:rPr>
        <w:t xml:space="preserve">Se ha indicado que existirían tres disposiciones que presentarían conflictos: (1) Libre flujo transfronterizo de datos; (2) Prohibición de establecer requisitos de localización forzada de equipamiento computacional (servidores); (3) Prohibición de exigir la revelación del código fuente de un programa computacional para la importación de un producto o la prestación de un servicio en el territorio de dicha Parte. </w:t>
      </w:r>
    </w:p>
    <w:tbl>
      <w:tblPr>
        <w:tblStyle w:val="Tablaconcuadrcula1"/>
        <w:tblW w:w="5000" w:type="pct"/>
        <w:tblLook w:val="04A0" w:firstRow="1" w:lastRow="0" w:firstColumn="1" w:lastColumn="0" w:noHBand="0" w:noVBand="1"/>
      </w:tblPr>
      <w:tblGrid>
        <w:gridCol w:w="10070"/>
      </w:tblGrid>
      <w:tr w:rsidR="0050521C" w:rsidRPr="002078FB" w14:paraId="4BCE488F" w14:textId="77777777" w:rsidTr="00066133">
        <w:tc>
          <w:tcPr>
            <w:tcW w:w="5000" w:type="pct"/>
          </w:tcPr>
          <w:p w14:paraId="76119CDF" w14:textId="77777777" w:rsidR="0050521C" w:rsidRPr="002078FB" w:rsidRDefault="0050521C" w:rsidP="00C412FF">
            <w:pPr>
              <w:jc w:val="both"/>
              <w:rPr>
                <w:rFonts w:eastAsia="Calibri" w:cstheme="minorHAnsi"/>
                <w:sz w:val="22"/>
                <w:szCs w:val="22"/>
              </w:rPr>
            </w:pPr>
            <w:r w:rsidRPr="002078FB">
              <w:rPr>
                <w:rFonts w:eastAsia="Calibri" w:cstheme="minorHAnsi"/>
                <w:sz w:val="22"/>
                <w:szCs w:val="22"/>
              </w:rPr>
              <w:t xml:space="preserve">En </w:t>
            </w:r>
            <w:proofErr w:type="spellStart"/>
            <w:r w:rsidRPr="002078FB">
              <w:rPr>
                <w:rFonts w:eastAsia="Calibri" w:cstheme="minorHAnsi"/>
                <w:sz w:val="22"/>
                <w:szCs w:val="22"/>
              </w:rPr>
              <w:t>materia</w:t>
            </w:r>
            <w:proofErr w:type="spellEnd"/>
            <w:r w:rsidRPr="002078FB">
              <w:rPr>
                <w:rFonts w:eastAsia="Calibri" w:cstheme="minorHAnsi"/>
                <w:sz w:val="22"/>
                <w:szCs w:val="22"/>
              </w:rPr>
              <w:t xml:space="preserve"> de </w:t>
            </w:r>
            <w:proofErr w:type="spellStart"/>
            <w:r w:rsidRPr="002078FB">
              <w:rPr>
                <w:rFonts w:eastAsia="Calibri" w:cstheme="minorHAnsi"/>
                <w:sz w:val="22"/>
                <w:szCs w:val="22"/>
              </w:rPr>
              <w:t>comercio</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electrónico</w:t>
            </w:r>
            <w:proofErr w:type="spellEnd"/>
            <w:r w:rsidRPr="002078FB">
              <w:rPr>
                <w:rFonts w:eastAsia="Calibri" w:cstheme="minorHAnsi"/>
                <w:sz w:val="22"/>
                <w:szCs w:val="22"/>
              </w:rPr>
              <w:t xml:space="preserve"> y en lo </w:t>
            </w:r>
            <w:proofErr w:type="spellStart"/>
            <w:r w:rsidRPr="002078FB">
              <w:rPr>
                <w:rFonts w:eastAsia="Calibri" w:cstheme="minorHAnsi"/>
                <w:sz w:val="22"/>
                <w:szCs w:val="22"/>
              </w:rPr>
              <w:t>relativo</w:t>
            </w:r>
            <w:proofErr w:type="spellEnd"/>
            <w:r w:rsidRPr="002078FB">
              <w:rPr>
                <w:rFonts w:eastAsia="Calibri" w:cstheme="minorHAnsi"/>
                <w:sz w:val="22"/>
                <w:szCs w:val="22"/>
              </w:rPr>
              <w:t xml:space="preserve"> a la </w:t>
            </w:r>
            <w:proofErr w:type="spellStart"/>
            <w:r w:rsidRPr="002078FB">
              <w:rPr>
                <w:rFonts w:eastAsia="Calibri" w:cstheme="minorHAnsi"/>
                <w:sz w:val="22"/>
                <w:szCs w:val="22"/>
              </w:rPr>
              <w:t>protección</w:t>
            </w:r>
            <w:proofErr w:type="spellEnd"/>
            <w:r w:rsidRPr="002078FB">
              <w:rPr>
                <w:rFonts w:eastAsia="Calibri" w:cstheme="minorHAnsi"/>
                <w:sz w:val="22"/>
                <w:szCs w:val="22"/>
              </w:rPr>
              <w:t xml:space="preserve"> de los derechos de los </w:t>
            </w:r>
            <w:proofErr w:type="spellStart"/>
            <w:r w:rsidRPr="002078FB">
              <w:rPr>
                <w:rFonts w:eastAsia="Calibri" w:cstheme="minorHAnsi"/>
                <w:sz w:val="22"/>
                <w:szCs w:val="22"/>
              </w:rPr>
              <w:t>usuarios</w:t>
            </w:r>
            <w:proofErr w:type="spellEnd"/>
            <w:r w:rsidRPr="002078FB">
              <w:rPr>
                <w:rFonts w:eastAsia="Calibri" w:cstheme="minorHAnsi"/>
                <w:sz w:val="22"/>
                <w:szCs w:val="22"/>
              </w:rPr>
              <w:t xml:space="preserve"> en internet, el CPTPP </w:t>
            </w:r>
            <w:proofErr w:type="spellStart"/>
            <w:r w:rsidRPr="002078FB">
              <w:rPr>
                <w:rFonts w:eastAsia="Calibri" w:cstheme="minorHAnsi"/>
                <w:sz w:val="22"/>
                <w:szCs w:val="22"/>
              </w:rPr>
              <w:t>preserva</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todas</w:t>
            </w:r>
            <w:proofErr w:type="spellEnd"/>
            <w:r w:rsidRPr="002078FB">
              <w:rPr>
                <w:rFonts w:eastAsia="Calibri" w:cstheme="minorHAnsi"/>
                <w:sz w:val="22"/>
                <w:szCs w:val="22"/>
              </w:rPr>
              <w:t xml:space="preserve"> las </w:t>
            </w:r>
            <w:proofErr w:type="spellStart"/>
            <w:r w:rsidRPr="002078FB">
              <w:rPr>
                <w:rFonts w:eastAsia="Calibri" w:cstheme="minorHAnsi"/>
                <w:sz w:val="22"/>
                <w:szCs w:val="22"/>
              </w:rPr>
              <w:t>facultades</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regulatorias</w:t>
            </w:r>
            <w:proofErr w:type="spellEnd"/>
            <w:r w:rsidRPr="002078FB">
              <w:rPr>
                <w:rFonts w:eastAsia="Calibri" w:cstheme="minorHAnsi"/>
                <w:sz w:val="22"/>
                <w:szCs w:val="22"/>
              </w:rPr>
              <w:t xml:space="preserve"> del Estado, con el </w:t>
            </w:r>
            <w:proofErr w:type="spellStart"/>
            <w:r w:rsidRPr="002078FB">
              <w:rPr>
                <w:rFonts w:eastAsia="Calibri" w:cstheme="minorHAnsi"/>
                <w:sz w:val="22"/>
                <w:szCs w:val="22"/>
              </w:rPr>
              <w:t>propósito</w:t>
            </w:r>
            <w:proofErr w:type="spellEnd"/>
            <w:r w:rsidRPr="002078FB">
              <w:rPr>
                <w:rFonts w:eastAsia="Calibri" w:cstheme="minorHAnsi"/>
                <w:sz w:val="22"/>
                <w:szCs w:val="22"/>
              </w:rPr>
              <w:t xml:space="preserve"> de </w:t>
            </w:r>
            <w:proofErr w:type="spellStart"/>
            <w:r w:rsidRPr="002078FB">
              <w:rPr>
                <w:rFonts w:eastAsia="Calibri" w:cstheme="minorHAnsi"/>
                <w:sz w:val="22"/>
                <w:szCs w:val="22"/>
              </w:rPr>
              <w:t>cumplir</w:t>
            </w:r>
            <w:proofErr w:type="spellEnd"/>
            <w:r w:rsidRPr="002078FB">
              <w:rPr>
                <w:rFonts w:eastAsia="Calibri" w:cstheme="minorHAnsi"/>
                <w:sz w:val="22"/>
                <w:szCs w:val="22"/>
              </w:rPr>
              <w:t xml:space="preserve"> con sus </w:t>
            </w:r>
            <w:proofErr w:type="spellStart"/>
            <w:r w:rsidRPr="002078FB">
              <w:rPr>
                <w:rFonts w:eastAsia="Calibri" w:cstheme="minorHAnsi"/>
                <w:sz w:val="22"/>
                <w:szCs w:val="22"/>
              </w:rPr>
              <w:t>objetivos</w:t>
            </w:r>
            <w:proofErr w:type="spellEnd"/>
            <w:r w:rsidRPr="002078FB">
              <w:rPr>
                <w:rFonts w:eastAsia="Calibri" w:cstheme="minorHAnsi"/>
                <w:sz w:val="22"/>
                <w:szCs w:val="22"/>
              </w:rPr>
              <w:t xml:space="preserve"> de </w:t>
            </w:r>
            <w:proofErr w:type="spellStart"/>
            <w:r w:rsidRPr="002078FB">
              <w:rPr>
                <w:rFonts w:eastAsia="Calibri" w:cstheme="minorHAnsi"/>
                <w:sz w:val="22"/>
                <w:szCs w:val="22"/>
              </w:rPr>
              <w:t>protección</w:t>
            </w:r>
            <w:proofErr w:type="spellEnd"/>
            <w:r w:rsidRPr="002078FB">
              <w:rPr>
                <w:rFonts w:eastAsia="Calibri" w:cstheme="minorHAnsi"/>
                <w:sz w:val="22"/>
                <w:szCs w:val="22"/>
              </w:rPr>
              <w:t xml:space="preserve"> del derecho de las personas. Al </w:t>
            </w:r>
            <w:proofErr w:type="spellStart"/>
            <w:r w:rsidRPr="002078FB">
              <w:rPr>
                <w:rFonts w:eastAsia="Calibri" w:cstheme="minorHAnsi"/>
                <w:sz w:val="22"/>
                <w:szCs w:val="22"/>
              </w:rPr>
              <w:t>respecto</w:t>
            </w:r>
            <w:proofErr w:type="spellEnd"/>
            <w:r w:rsidRPr="002078FB">
              <w:rPr>
                <w:rFonts w:eastAsia="Calibri" w:cstheme="minorHAnsi"/>
                <w:sz w:val="22"/>
                <w:szCs w:val="22"/>
              </w:rPr>
              <w:t xml:space="preserve">, los </w:t>
            </w:r>
            <w:proofErr w:type="spellStart"/>
            <w:r w:rsidRPr="002078FB">
              <w:rPr>
                <w:rFonts w:eastAsia="Calibri" w:cstheme="minorHAnsi"/>
                <w:sz w:val="22"/>
                <w:szCs w:val="22"/>
              </w:rPr>
              <w:t>artículos</w:t>
            </w:r>
            <w:proofErr w:type="spellEnd"/>
            <w:r w:rsidRPr="002078FB">
              <w:rPr>
                <w:rFonts w:eastAsia="Calibri" w:cstheme="minorHAnsi"/>
                <w:sz w:val="22"/>
                <w:szCs w:val="22"/>
              </w:rPr>
              <w:t xml:space="preserve"> 14.11 y 14.13, de </w:t>
            </w:r>
            <w:proofErr w:type="spellStart"/>
            <w:r w:rsidRPr="002078FB">
              <w:rPr>
                <w:rFonts w:eastAsia="Calibri" w:cstheme="minorHAnsi"/>
                <w:sz w:val="22"/>
                <w:szCs w:val="22"/>
              </w:rPr>
              <w:t>manera</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expresa</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autorizan</w:t>
            </w:r>
            <w:proofErr w:type="spellEnd"/>
            <w:r w:rsidRPr="002078FB">
              <w:rPr>
                <w:rFonts w:eastAsia="Calibri" w:cstheme="minorHAnsi"/>
                <w:sz w:val="22"/>
                <w:szCs w:val="22"/>
              </w:rPr>
              <w:t xml:space="preserve"> a los </w:t>
            </w:r>
            <w:proofErr w:type="spellStart"/>
            <w:r w:rsidRPr="002078FB">
              <w:rPr>
                <w:rFonts w:eastAsia="Calibri" w:cstheme="minorHAnsi"/>
                <w:sz w:val="22"/>
                <w:szCs w:val="22"/>
              </w:rPr>
              <w:t>Estados</w:t>
            </w:r>
            <w:proofErr w:type="spellEnd"/>
            <w:r w:rsidRPr="002078FB">
              <w:rPr>
                <w:rFonts w:eastAsia="Calibri" w:cstheme="minorHAnsi"/>
                <w:sz w:val="22"/>
                <w:szCs w:val="22"/>
              </w:rPr>
              <w:t xml:space="preserve"> a </w:t>
            </w:r>
            <w:proofErr w:type="spellStart"/>
            <w:r w:rsidRPr="002078FB">
              <w:rPr>
                <w:rFonts w:eastAsia="Calibri" w:cstheme="minorHAnsi"/>
                <w:sz w:val="22"/>
                <w:szCs w:val="22"/>
              </w:rPr>
              <w:t>adoptar</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regulaciones</w:t>
            </w:r>
            <w:proofErr w:type="spellEnd"/>
            <w:r w:rsidRPr="002078FB">
              <w:rPr>
                <w:rFonts w:eastAsia="Calibri" w:cstheme="minorHAnsi"/>
                <w:sz w:val="22"/>
                <w:szCs w:val="22"/>
              </w:rPr>
              <w:t xml:space="preserve"> que se </w:t>
            </w:r>
            <w:proofErr w:type="spellStart"/>
            <w:r w:rsidRPr="002078FB">
              <w:rPr>
                <w:rFonts w:eastAsia="Calibri" w:cstheme="minorHAnsi"/>
                <w:sz w:val="22"/>
                <w:szCs w:val="22"/>
              </w:rPr>
              <w:t>aparten</w:t>
            </w:r>
            <w:proofErr w:type="spellEnd"/>
            <w:r w:rsidRPr="002078FB">
              <w:rPr>
                <w:rFonts w:eastAsia="Calibri" w:cstheme="minorHAnsi"/>
                <w:sz w:val="22"/>
                <w:szCs w:val="22"/>
              </w:rPr>
              <w:t xml:space="preserve"> de los </w:t>
            </w:r>
            <w:proofErr w:type="spellStart"/>
            <w:r w:rsidRPr="002078FB">
              <w:rPr>
                <w:rFonts w:eastAsia="Calibri" w:cstheme="minorHAnsi"/>
                <w:sz w:val="22"/>
                <w:szCs w:val="22"/>
              </w:rPr>
              <w:t>compromisos</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sobre</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transferencia</w:t>
            </w:r>
            <w:proofErr w:type="spellEnd"/>
            <w:r w:rsidRPr="002078FB">
              <w:rPr>
                <w:rFonts w:eastAsia="Calibri" w:cstheme="minorHAnsi"/>
                <w:sz w:val="22"/>
                <w:szCs w:val="22"/>
              </w:rPr>
              <w:t xml:space="preserve"> de </w:t>
            </w:r>
            <w:proofErr w:type="spellStart"/>
            <w:r w:rsidRPr="002078FB">
              <w:rPr>
                <w:rFonts w:eastAsia="Calibri" w:cstheme="minorHAnsi"/>
                <w:sz w:val="22"/>
                <w:szCs w:val="22"/>
              </w:rPr>
              <w:t>datos</w:t>
            </w:r>
            <w:proofErr w:type="spellEnd"/>
            <w:r w:rsidRPr="002078FB">
              <w:rPr>
                <w:rFonts w:eastAsia="Calibri" w:cstheme="minorHAnsi"/>
                <w:sz w:val="22"/>
                <w:szCs w:val="22"/>
              </w:rPr>
              <w:t xml:space="preserve"> y </w:t>
            </w:r>
            <w:proofErr w:type="spellStart"/>
            <w:r w:rsidRPr="002078FB">
              <w:rPr>
                <w:rFonts w:eastAsia="Calibri" w:cstheme="minorHAnsi"/>
                <w:sz w:val="22"/>
                <w:szCs w:val="22"/>
              </w:rPr>
              <w:t>localización</w:t>
            </w:r>
            <w:proofErr w:type="spellEnd"/>
            <w:r w:rsidRPr="002078FB">
              <w:rPr>
                <w:rFonts w:eastAsia="Calibri" w:cstheme="minorHAnsi"/>
                <w:sz w:val="22"/>
                <w:szCs w:val="22"/>
              </w:rPr>
              <w:t xml:space="preserve"> de </w:t>
            </w:r>
            <w:proofErr w:type="spellStart"/>
            <w:r w:rsidRPr="002078FB">
              <w:rPr>
                <w:rFonts w:eastAsia="Calibri" w:cstheme="minorHAnsi"/>
                <w:sz w:val="22"/>
                <w:szCs w:val="22"/>
              </w:rPr>
              <w:t>servidores</w:t>
            </w:r>
            <w:proofErr w:type="spellEnd"/>
            <w:r w:rsidRPr="002078FB">
              <w:rPr>
                <w:rFonts w:eastAsia="Calibri" w:cstheme="minorHAnsi"/>
                <w:sz w:val="22"/>
                <w:szCs w:val="22"/>
              </w:rPr>
              <w:t xml:space="preserve">, con el </w:t>
            </w:r>
            <w:proofErr w:type="spellStart"/>
            <w:r w:rsidRPr="002078FB">
              <w:rPr>
                <w:rFonts w:eastAsia="Calibri" w:cstheme="minorHAnsi"/>
                <w:sz w:val="22"/>
                <w:szCs w:val="22"/>
              </w:rPr>
              <w:t>propósito</w:t>
            </w:r>
            <w:proofErr w:type="spellEnd"/>
            <w:r w:rsidRPr="002078FB">
              <w:rPr>
                <w:rFonts w:eastAsia="Calibri" w:cstheme="minorHAnsi"/>
                <w:sz w:val="22"/>
                <w:szCs w:val="22"/>
              </w:rPr>
              <w:t xml:space="preserve"> de </w:t>
            </w:r>
            <w:proofErr w:type="spellStart"/>
            <w:r w:rsidRPr="002078FB">
              <w:rPr>
                <w:rFonts w:eastAsia="Calibri" w:cstheme="minorHAnsi"/>
                <w:sz w:val="22"/>
                <w:szCs w:val="22"/>
              </w:rPr>
              <w:t>perseguir</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objetivos</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legítimos</w:t>
            </w:r>
            <w:proofErr w:type="spellEnd"/>
            <w:r w:rsidRPr="002078FB">
              <w:rPr>
                <w:rFonts w:eastAsia="Calibri" w:cstheme="minorHAnsi"/>
                <w:sz w:val="22"/>
                <w:szCs w:val="22"/>
              </w:rPr>
              <w:t xml:space="preserve"> de </w:t>
            </w:r>
            <w:proofErr w:type="spellStart"/>
            <w:r w:rsidRPr="002078FB">
              <w:rPr>
                <w:rFonts w:eastAsia="Calibri" w:cstheme="minorHAnsi"/>
                <w:sz w:val="22"/>
                <w:szCs w:val="22"/>
              </w:rPr>
              <w:t>políticas</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públicas</w:t>
            </w:r>
            <w:proofErr w:type="spellEnd"/>
            <w:r w:rsidRPr="002078FB">
              <w:rPr>
                <w:rFonts w:eastAsia="Calibri" w:cstheme="minorHAnsi"/>
                <w:sz w:val="22"/>
                <w:szCs w:val="22"/>
              </w:rPr>
              <w:t xml:space="preserve">, los </w:t>
            </w:r>
            <w:proofErr w:type="spellStart"/>
            <w:r w:rsidRPr="002078FB">
              <w:rPr>
                <w:rFonts w:eastAsia="Calibri" w:cstheme="minorHAnsi"/>
                <w:sz w:val="22"/>
                <w:szCs w:val="22"/>
              </w:rPr>
              <w:t>cuales</w:t>
            </w:r>
            <w:proofErr w:type="spellEnd"/>
            <w:r w:rsidRPr="002078FB">
              <w:rPr>
                <w:rFonts w:eastAsia="Calibri" w:cstheme="minorHAnsi"/>
                <w:sz w:val="22"/>
                <w:szCs w:val="22"/>
              </w:rPr>
              <w:t xml:space="preserve"> son </w:t>
            </w:r>
            <w:proofErr w:type="spellStart"/>
            <w:r w:rsidRPr="002078FB">
              <w:rPr>
                <w:rFonts w:eastAsia="Calibri" w:cstheme="minorHAnsi"/>
                <w:sz w:val="22"/>
                <w:szCs w:val="22"/>
              </w:rPr>
              <w:t>definidos</w:t>
            </w:r>
            <w:proofErr w:type="spellEnd"/>
            <w:r w:rsidRPr="002078FB">
              <w:rPr>
                <w:rFonts w:eastAsia="Calibri" w:cstheme="minorHAnsi"/>
                <w:sz w:val="22"/>
                <w:szCs w:val="22"/>
              </w:rPr>
              <w:t xml:space="preserve"> por </w:t>
            </w:r>
            <w:proofErr w:type="spellStart"/>
            <w:r w:rsidRPr="002078FB">
              <w:rPr>
                <w:rFonts w:eastAsia="Calibri" w:cstheme="minorHAnsi"/>
                <w:sz w:val="22"/>
                <w:szCs w:val="22"/>
              </w:rPr>
              <w:t>cada</w:t>
            </w:r>
            <w:proofErr w:type="spellEnd"/>
            <w:r w:rsidRPr="002078FB">
              <w:rPr>
                <w:rFonts w:eastAsia="Calibri" w:cstheme="minorHAnsi"/>
                <w:sz w:val="22"/>
                <w:szCs w:val="22"/>
              </w:rPr>
              <w:t xml:space="preserve"> Estado.</w:t>
            </w:r>
          </w:p>
          <w:p w14:paraId="74A00412" w14:textId="24757312" w:rsidR="0050521C" w:rsidRPr="002078FB" w:rsidRDefault="0050521C" w:rsidP="00C412FF">
            <w:pPr>
              <w:jc w:val="both"/>
              <w:rPr>
                <w:rFonts w:eastAsia="Calibri" w:cstheme="minorHAnsi"/>
                <w:b/>
                <w:sz w:val="22"/>
                <w:szCs w:val="22"/>
              </w:rPr>
            </w:pPr>
            <w:proofErr w:type="spellStart"/>
            <w:r w:rsidRPr="002078FB">
              <w:rPr>
                <w:rFonts w:eastAsia="Calibri" w:cstheme="minorHAnsi"/>
                <w:b/>
                <w:sz w:val="22"/>
                <w:szCs w:val="22"/>
              </w:rPr>
              <w:t>Asimismo</w:t>
            </w:r>
            <w:proofErr w:type="spellEnd"/>
            <w:r w:rsidRPr="002078FB">
              <w:rPr>
                <w:rFonts w:eastAsia="Calibri" w:cstheme="minorHAnsi"/>
                <w:b/>
                <w:sz w:val="22"/>
                <w:szCs w:val="22"/>
              </w:rPr>
              <w:t xml:space="preserve">, se </w:t>
            </w:r>
            <w:proofErr w:type="spellStart"/>
            <w:r w:rsidRPr="002078FB">
              <w:rPr>
                <w:rFonts w:eastAsia="Calibri" w:cstheme="minorHAnsi"/>
                <w:b/>
                <w:sz w:val="22"/>
                <w:szCs w:val="22"/>
              </w:rPr>
              <w:t>consagra</w:t>
            </w:r>
            <w:proofErr w:type="spellEnd"/>
            <w:r w:rsidRPr="002078FB">
              <w:rPr>
                <w:rFonts w:eastAsia="Calibri" w:cstheme="minorHAnsi"/>
                <w:b/>
                <w:sz w:val="22"/>
                <w:szCs w:val="22"/>
              </w:rPr>
              <w:t xml:space="preserve">, </w:t>
            </w:r>
            <w:proofErr w:type="spellStart"/>
            <w:r w:rsidRPr="002078FB">
              <w:rPr>
                <w:rFonts w:eastAsia="Calibri" w:cstheme="minorHAnsi"/>
                <w:b/>
                <w:sz w:val="22"/>
                <w:szCs w:val="22"/>
              </w:rPr>
              <w:t>expresamente</w:t>
            </w:r>
            <w:proofErr w:type="spellEnd"/>
            <w:r w:rsidRPr="002078FB">
              <w:rPr>
                <w:rFonts w:eastAsia="Calibri" w:cstheme="minorHAnsi"/>
                <w:b/>
                <w:sz w:val="22"/>
                <w:szCs w:val="22"/>
              </w:rPr>
              <w:t xml:space="preserve">, en el </w:t>
            </w:r>
            <w:proofErr w:type="spellStart"/>
            <w:r w:rsidRPr="002078FB">
              <w:rPr>
                <w:rFonts w:eastAsia="Calibri" w:cstheme="minorHAnsi"/>
                <w:b/>
                <w:sz w:val="22"/>
                <w:szCs w:val="22"/>
              </w:rPr>
              <w:t>artículo</w:t>
            </w:r>
            <w:proofErr w:type="spellEnd"/>
            <w:r w:rsidRPr="002078FB">
              <w:rPr>
                <w:rFonts w:eastAsia="Calibri" w:cstheme="minorHAnsi"/>
                <w:b/>
                <w:sz w:val="22"/>
                <w:szCs w:val="22"/>
              </w:rPr>
              <w:t xml:space="preserve"> 14.8, la </w:t>
            </w:r>
            <w:proofErr w:type="spellStart"/>
            <w:r w:rsidRPr="002078FB">
              <w:rPr>
                <w:rFonts w:eastAsia="Calibri" w:cstheme="minorHAnsi"/>
                <w:b/>
                <w:sz w:val="22"/>
                <w:szCs w:val="22"/>
              </w:rPr>
              <w:t>protección</w:t>
            </w:r>
            <w:proofErr w:type="spellEnd"/>
            <w:r w:rsidRPr="002078FB">
              <w:rPr>
                <w:rFonts w:eastAsia="Calibri" w:cstheme="minorHAnsi"/>
                <w:b/>
                <w:sz w:val="22"/>
                <w:szCs w:val="22"/>
              </w:rPr>
              <w:t xml:space="preserve"> </w:t>
            </w:r>
            <w:proofErr w:type="spellStart"/>
            <w:r w:rsidRPr="002078FB">
              <w:rPr>
                <w:rFonts w:eastAsia="Calibri" w:cstheme="minorHAnsi"/>
                <w:b/>
                <w:sz w:val="22"/>
                <w:szCs w:val="22"/>
              </w:rPr>
              <w:t>efectiva</w:t>
            </w:r>
            <w:proofErr w:type="spellEnd"/>
            <w:r w:rsidRPr="002078FB">
              <w:rPr>
                <w:rFonts w:eastAsia="Calibri" w:cstheme="minorHAnsi"/>
                <w:b/>
                <w:sz w:val="22"/>
                <w:szCs w:val="22"/>
              </w:rPr>
              <w:t xml:space="preserve"> de la </w:t>
            </w:r>
            <w:proofErr w:type="spellStart"/>
            <w:r w:rsidRPr="002078FB">
              <w:rPr>
                <w:rFonts w:eastAsia="Calibri" w:cstheme="minorHAnsi"/>
                <w:b/>
                <w:sz w:val="22"/>
                <w:szCs w:val="22"/>
              </w:rPr>
              <w:t>información</w:t>
            </w:r>
            <w:proofErr w:type="spellEnd"/>
            <w:r w:rsidRPr="002078FB">
              <w:rPr>
                <w:rFonts w:eastAsia="Calibri" w:cstheme="minorHAnsi"/>
                <w:b/>
                <w:sz w:val="22"/>
                <w:szCs w:val="22"/>
              </w:rPr>
              <w:t xml:space="preserve"> personal. </w:t>
            </w:r>
          </w:p>
          <w:p w14:paraId="39C92F5C" w14:textId="77777777" w:rsidR="0050521C" w:rsidRPr="002078FB" w:rsidRDefault="0050521C" w:rsidP="00C412FF">
            <w:pPr>
              <w:jc w:val="both"/>
              <w:rPr>
                <w:rFonts w:eastAsia="Calibri" w:cstheme="minorHAnsi"/>
                <w:sz w:val="22"/>
                <w:szCs w:val="22"/>
              </w:rPr>
            </w:pPr>
            <w:r w:rsidRPr="002078FB">
              <w:rPr>
                <w:rFonts w:eastAsia="Calibri" w:cstheme="minorHAnsi"/>
                <w:sz w:val="22"/>
                <w:szCs w:val="22"/>
              </w:rPr>
              <w:t xml:space="preserve">El </w:t>
            </w:r>
            <w:proofErr w:type="spellStart"/>
            <w:r w:rsidRPr="002078FB">
              <w:rPr>
                <w:rFonts w:eastAsia="Calibri" w:cstheme="minorHAnsi"/>
                <w:sz w:val="22"/>
                <w:szCs w:val="22"/>
              </w:rPr>
              <w:t>Tratado</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incluye</w:t>
            </w:r>
            <w:proofErr w:type="spellEnd"/>
            <w:r w:rsidRPr="002078FB">
              <w:rPr>
                <w:rFonts w:eastAsia="Calibri" w:cstheme="minorHAnsi"/>
                <w:sz w:val="22"/>
                <w:szCs w:val="22"/>
              </w:rPr>
              <w:t xml:space="preserve"> una </w:t>
            </w:r>
            <w:proofErr w:type="spellStart"/>
            <w:r w:rsidRPr="002078FB">
              <w:rPr>
                <w:rFonts w:eastAsia="Calibri" w:cstheme="minorHAnsi"/>
                <w:sz w:val="22"/>
                <w:szCs w:val="22"/>
              </w:rPr>
              <w:t>norma</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sobre</w:t>
            </w:r>
            <w:proofErr w:type="spellEnd"/>
            <w:r w:rsidRPr="002078FB">
              <w:rPr>
                <w:rFonts w:eastAsia="Calibri" w:cstheme="minorHAnsi"/>
                <w:sz w:val="22"/>
                <w:szCs w:val="22"/>
              </w:rPr>
              <w:t xml:space="preserve"> software con el </w:t>
            </w:r>
            <w:proofErr w:type="spellStart"/>
            <w:r w:rsidRPr="002078FB">
              <w:rPr>
                <w:rFonts w:eastAsia="Calibri" w:cstheme="minorHAnsi"/>
                <w:sz w:val="22"/>
                <w:szCs w:val="22"/>
              </w:rPr>
              <w:t>objetivo</w:t>
            </w:r>
            <w:proofErr w:type="spellEnd"/>
            <w:r w:rsidRPr="002078FB">
              <w:rPr>
                <w:rFonts w:eastAsia="Calibri" w:cstheme="minorHAnsi"/>
                <w:sz w:val="22"/>
                <w:szCs w:val="22"/>
              </w:rPr>
              <w:t xml:space="preserve"> de </w:t>
            </w:r>
            <w:proofErr w:type="spellStart"/>
            <w:r w:rsidRPr="002078FB">
              <w:rPr>
                <w:rFonts w:eastAsia="Calibri" w:cstheme="minorHAnsi"/>
                <w:sz w:val="22"/>
                <w:szCs w:val="22"/>
              </w:rPr>
              <w:t>evitar</w:t>
            </w:r>
            <w:proofErr w:type="spellEnd"/>
            <w:r w:rsidRPr="002078FB">
              <w:rPr>
                <w:rFonts w:eastAsia="Calibri" w:cstheme="minorHAnsi"/>
                <w:sz w:val="22"/>
                <w:szCs w:val="22"/>
              </w:rPr>
              <w:t xml:space="preserve"> que </w:t>
            </w:r>
            <w:proofErr w:type="spellStart"/>
            <w:r w:rsidRPr="002078FB">
              <w:rPr>
                <w:rFonts w:eastAsia="Calibri" w:cstheme="minorHAnsi"/>
                <w:sz w:val="22"/>
                <w:szCs w:val="22"/>
              </w:rPr>
              <w:t>alguno</w:t>
            </w:r>
            <w:proofErr w:type="spellEnd"/>
            <w:r w:rsidRPr="002078FB">
              <w:rPr>
                <w:rFonts w:eastAsia="Calibri" w:cstheme="minorHAnsi"/>
                <w:sz w:val="22"/>
                <w:szCs w:val="22"/>
              </w:rPr>
              <w:t xml:space="preserve"> de los </w:t>
            </w:r>
            <w:proofErr w:type="spellStart"/>
            <w:r w:rsidRPr="002078FB">
              <w:rPr>
                <w:rFonts w:eastAsia="Calibri" w:cstheme="minorHAnsi"/>
                <w:sz w:val="22"/>
                <w:szCs w:val="22"/>
              </w:rPr>
              <w:t>países</w:t>
            </w:r>
            <w:proofErr w:type="spellEnd"/>
            <w:r w:rsidRPr="002078FB">
              <w:rPr>
                <w:rFonts w:eastAsia="Calibri" w:cstheme="minorHAnsi"/>
                <w:sz w:val="22"/>
                <w:szCs w:val="22"/>
              </w:rPr>
              <w:t xml:space="preserve"> que </w:t>
            </w:r>
            <w:proofErr w:type="spellStart"/>
            <w:r w:rsidRPr="002078FB">
              <w:rPr>
                <w:rFonts w:eastAsia="Calibri" w:cstheme="minorHAnsi"/>
                <w:sz w:val="22"/>
                <w:szCs w:val="22"/>
              </w:rPr>
              <w:t>forman</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parte</w:t>
            </w:r>
            <w:proofErr w:type="spellEnd"/>
            <w:r w:rsidRPr="002078FB">
              <w:rPr>
                <w:rFonts w:eastAsia="Calibri" w:cstheme="minorHAnsi"/>
                <w:sz w:val="22"/>
                <w:szCs w:val="22"/>
              </w:rPr>
              <w:t xml:space="preserve"> del </w:t>
            </w:r>
            <w:proofErr w:type="spellStart"/>
            <w:r w:rsidRPr="002078FB">
              <w:rPr>
                <w:rFonts w:eastAsia="Calibri" w:cstheme="minorHAnsi"/>
                <w:sz w:val="22"/>
                <w:szCs w:val="22"/>
              </w:rPr>
              <w:t>del</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Tratado</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adopten</w:t>
            </w:r>
            <w:proofErr w:type="spellEnd"/>
            <w:r w:rsidRPr="002078FB">
              <w:rPr>
                <w:rFonts w:eastAsia="Calibri" w:cstheme="minorHAnsi"/>
                <w:sz w:val="22"/>
                <w:szCs w:val="22"/>
              </w:rPr>
              <w:t xml:space="preserve"> o </w:t>
            </w:r>
            <w:proofErr w:type="spellStart"/>
            <w:r w:rsidRPr="002078FB">
              <w:rPr>
                <w:rFonts w:eastAsia="Calibri" w:cstheme="minorHAnsi"/>
                <w:sz w:val="22"/>
                <w:szCs w:val="22"/>
              </w:rPr>
              <w:t>mantengan</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medidas</w:t>
            </w:r>
            <w:proofErr w:type="spellEnd"/>
            <w:r w:rsidRPr="002078FB">
              <w:rPr>
                <w:rFonts w:eastAsia="Calibri" w:cstheme="minorHAnsi"/>
                <w:sz w:val="22"/>
                <w:szCs w:val="22"/>
              </w:rPr>
              <w:t xml:space="preserve"> que </w:t>
            </w:r>
            <w:proofErr w:type="spellStart"/>
            <w:r w:rsidRPr="002078FB">
              <w:rPr>
                <w:rFonts w:eastAsia="Calibri" w:cstheme="minorHAnsi"/>
                <w:sz w:val="22"/>
                <w:szCs w:val="22"/>
              </w:rPr>
              <w:t>obliguen</w:t>
            </w:r>
            <w:proofErr w:type="spellEnd"/>
            <w:r w:rsidRPr="002078FB">
              <w:rPr>
                <w:rFonts w:eastAsia="Calibri" w:cstheme="minorHAnsi"/>
                <w:sz w:val="22"/>
                <w:szCs w:val="22"/>
              </w:rPr>
              <w:t xml:space="preserve"> a personas naturales o </w:t>
            </w:r>
            <w:proofErr w:type="spellStart"/>
            <w:r w:rsidRPr="002078FB">
              <w:rPr>
                <w:rFonts w:eastAsia="Calibri" w:cstheme="minorHAnsi"/>
                <w:sz w:val="22"/>
                <w:szCs w:val="22"/>
              </w:rPr>
              <w:t>jurídicas</w:t>
            </w:r>
            <w:proofErr w:type="spellEnd"/>
            <w:r w:rsidRPr="002078FB">
              <w:rPr>
                <w:rFonts w:eastAsia="Calibri" w:cstheme="minorHAnsi"/>
                <w:sz w:val="22"/>
                <w:szCs w:val="22"/>
              </w:rPr>
              <w:t xml:space="preserve"> de </w:t>
            </w:r>
            <w:proofErr w:type="spellStart"/>
            <w:r w:rsidRPr="002078FB">
              <w:rPr>
                <w:rFonts w:eastAsia="Calibri" w:cstheme="minorHAnsi"/>
                <w:sz w:val="22"/>
                <w:szCs w:val="22"/>
              </w:rPr>
              <w:t>alguna</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otra</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Parte</w:t>
            </w:r>
            <w:proofErr w:type="spellEnd"/>
            <w:r w:rsidRPr="002078FB">
              <w:rPr>
                <w:rFonts w:eastAsia="Calibri" w:cstheme="minorHAnsi"/>
                <w:sz w:val="22"/>
                <w:szCs w:val="22"/>
              </w:rPr>
              <w:t xml:space="preserve">, a </w:t>
            </w:r>
            <w:proofErr w:type="spellStart"/>
            <w:r w:rsidRPr="002078FB">
              <w:rPr>
                <w:rFonts w:eastAsia="Calibri" w:cstheme="minorHAnsi"/>
                <w:sz w:val="22"/>
                <w:szCs w:val="22"/>
              </w:rPr>
              <w:t>renunciar</w:t>
            </w:r>
            <w:proofErr w:type="spellEnd"/>
            <w:r w:rsidRPr="002078FB">
              <w:rPr>
                <w:rFonts w:eastAsia="Calibri" w:cstheme="minorHAnsi"/>
                <w:sz w:val="22"/>
                <w:szCs w:val="22"/>
              </w:rPr>
              <w:t xml:space="preserve"> a </w:t>
            </w:r>
            <w:proofErr w:type="spellStart"/>
            <w:r w:rsidRPr="002078FB">
              <w:rPr>
                <w:rFonts w:eastAsia="Calibri" w:cstheme="minorHAnsi"/>
                <w:sz w:val="22"/>
                <w:szCs w:val="22"/>
              </w:rPr>
              <w:t>su</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código</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fuente</w:t>
            </w:r>
            <w:proofErr w:type="spellEnd"/>
            <w:r w:rsidRPr="002078FB">
              <w:rPr>
                <w:rFonts w:eastAsia="Calibri" w:cstheme="minorHAnsi"/>
                <w:sz w:val="22"/>
                <w:szCs w:val="22"/>
              </w:rPr>
              <w:t xml:space="preserve"> con el fin de </w:t>
            </w:r>
            <w:proofErr w:type="spellStart"/>
            <w:r w:rsidRPr="002078FB">
              <w:rPr>
                <w:rFonts w:eastAsia="Calibri" w:cstheme="minorHAnsi"/>
                <w:sz w:val="22"/>
                <w:szCs w:val="22"/>
              </w:rPr>
              <w:t>tener</w:t>
            </w:r>
            <w:proofErr w:type="spellEnd"/>
            <w:r w:rsidRPr="002078FB">
              <w:rPr>
                <w:rFonts w:eastAsia="Calibri" w:cstheme="minorHAnsi"/>
                <w:sz w:val="22"/>
                <w:szCs w:val="22"/>
              </w:rPr>
              <w:t xml:space="preserve"> </w:t>
            </w:r>
            <w:proofErr w:type="spellStart"/>
            <w:r w:rsidRPr="002078FB">
              <w:rPr>
                <w:rFonts w:eastAsia="Calibri" w:cstheme="minorHAnsi"/>
                <w:sz w:val="22"/>
                <w:szCs w:val="22"/>
              </w:rPr>
              <w:t>acceso</w:t>
            </w:r>
            <w:proofErr w:type="spellEnd"/>
            <w:r w:rsidRPr="002078FB">
              <w:rPr>
                <w:rFonts w:eastAsia="Calibri" w:cstheme="minorHAnsi"/>
                <w:sz w:val="22"/>
                <w:szCs w:val="22"/>
              </w:rPr>
              <w:t xml:space="preserve"> a un </w:t>
            </w:r>
            <w:proofErr w:type="spellStart"/>
            <w:r w:rsidRPr="002078FB">
              <w:rPr>
                <w:rFonts w:eastAsia="Calibri" w:cstheme="minorHAnsi"/>
                <w:sz w:val="22"/>
                <w:szCs w:val="22"/>
              </w:rPr>
              <w:t>mercado</w:t>
            </w:r>
            <w:proofErr w:type="spellEnd"/>
            <w:r w:rsidRPr="002078FB">
              <w:rPr>
                <w:rFonts w:eastAsia="Calibri" w:cstheme="minorHAnsi"/>
                <w:sz w:val="22"/>
                <w:szCs w:val="22"/>
              </w:rPr>
              <w:t xml:space="preserve"> TPP 11.</w:t>
            </w:r>
          </w:p>
          <w:p w14:paraId="762AA9F8" w14:textId="77777777" w:rsidR="0050521C" w:rsidRPr="002078FB" w:rsidRDefault="0050521C" w:rsidP="00C412FF">
            <w:pPr>
              <w:jc w:val="both"/>
              <w:rPr>
                <w:rFonts w:cstheme="minorHAnsi"/>
                <w:sz w:val="22"/>
                <w:szCs w:val="22"/>
              </w:rPr>
            </w:pPr>
          </w:p>
          <w:p w14:paraId="5DC78F38" w14:textId="77777777" w:rsidR="0050521C" w:rsidRPr="002078FB" w:rsidRDefault="0050521C" w:rsidP="00C412FF">
            <w:pPr>
              <w:jc w:val="both"/>
              <w:rPr>
                <w:rFonts w:eastAsia="Calibri" w:cstheme="minorHAnsi"/>
                <w:sz w:val="22"/>
                <w:szCs w:val="22"/>
              </w:rPr>
            </w:pPr>
            <w:r w:rsidRPr="002078FB">
              <w:rPr>
                <w:rFonts w:cstheme="minorHAnsi"/>
                <w:b/>
                <w:sz w:val="22"/>
                <w:szCs w:val="22"/>
              </w:rPr>
              <w:t xml:space="preserve">En </w:t>
            </w:r>
            <w:proofErr w:type="spellStart"/>
            <w:r w:rsidRPr="002078FB">
              <w:rPr>
                <w:rFonts w:cstheme="minorHAnsi"/>
                <w:b/>
                <w:sz w:val="22"/>
                <w:szCs w:val="22"/>
              </w:rPr>
              <w:t>conclusión</w:t>
            </w:r>
            <w:proofErr w:type="spellEnd"/>
            <w:r w:rsidRPr="002078FB">
              <w:rPr>
                <w:rFonts w:cstheme="minorHAnsi"/>
                <w:b/>
                <w:sz w:val="22"/>
                <w:szCs w:val="22"/>
              </w:rPr>
              <w:t xml:space="preserve">, no </w:t>
            </w:r>
            <w:proofErr w:type="spellStart"/>
            <w:r w:rsidRPr="002078FB">
              <w:rPr>
                <w:rFonts w:cstheme="minorHAnsi"/>
                <w:b/>
                <w:sz w:val="22"/>
                <w:szCs w:val="22"/>
              </w:rPr>
              <w:t>existe</w:t>
            </w:r>
            <w:proofErr w:type="spellEnd"/>
            <w:r w:rsidRPr="002078FB">
              <w:rPr>
                <w:rFonts w:cstheme="minorHAnsi"/>
                <w:b/>
                <w:sz w:val="22"/>
                <w:szCs w:val="22"/>
              </w:rPr>
              <w:t xml:space="preserve"> </w:t>
            </w:r>
            <w:proofErr w:type="spellStart"/>
            <w:r w:rsidRPr="002078FB">
              <w:rPr>
                <w:rFonts w:cstheme="minorHAnsi"/>
                <w:b/>
                <w:sz w:val="22"/>
                <w:szCs w:val="22"/>
              </w:rPr>
              <w:t>ningún</w:t>
            </w:r>
            <w:proofErr w:type="spellEnd"/>
            <w:r w:rsidRPr="002078FB">
              <w:rPr>
                <w:rFonts w:cstheme="minorHAnsi"/>
                <w:b/>
                <w:sz w:val="22"/>
                <w:szCs w:val="22"/>
              </w:rPr>
              <w:t xml:space="preserve"> </w:t>
            </w:r>
            <w:proofErr w:type="spellStart"/>
            <w:r w:rsidRPr="002078FB">
              <w:rPr>
                <w:rFonts w:cstheme="minorHAnsi"/>
                <w:b/>
                <w:sz w:val="22"/>
                <w:szCs w:val="22"/>
              </w:rPr>
              <w:t>tipo</w:t>
            </w:r>
            <w:proofErr w:type="spellEnd"/>
            <w:r w:rsidRPr="002078FB">
              <w:rPr>
                <w:rFonts w:cstheme="minorHAnsi"/>
                <w:b/>
                <w:sz w:val="22"/>
                <w:szCs w:val="22"/>
              </w:rPr>
              <w:t xml:space="preserve"> de </w:t>
            </w:r>
            <w:proofErr w:type="spellStart"/>
            <w:r w:rsidRPr="002078FB">
              <w:rPr>
                <w:rFonts w:cstheme="minorHAnsi"/>
                <w:b/>
                <w:sz w:val="22"/>
                <w:szCs w:val="22"/>
              </w:rPr>
              <w:t>alcance</w:t>
            </w:r>
            <w:proofErr w:type="spellEnd"/>
            <w:r w:rsidRPr="002078FB">
              <w:rPr>
                <w:rFonts w:cstheme="minorHAnsi"/>
                <w:b/>
                <w:sz w:val="22"/>
                <w:szCs w:val="22"/>
              </w:rPr>
              <w:t xml:space="preserve"> en CPTPP que </w:t>
            </w:r>
            <w:proofErr w:type="spellStart"/>
            <w:r w:rsidRPr="002078FB">
              <w:rPr>
                <w:rFonts w:cstheme="minorHAnsi"/>
                <w:b/>
                <w:sz w:val="22"/>
                <w:szCs w:val="22"/>
              </w:rPr>
              <w:t>pueda</w:t>
            </w:r>
            <w:proofErr w:type="spellEnd"/>
            <w:r w:rsidRPr="002078FB">
              <w:rPr>
                <w:rFonts w:cstheme="minorHAnsi"/>
                <w:b/>
                <w:sz w:val="22"/>
                <w:szCs w:val="22"/>
              </w:rPr>
              <w:t xml:space="preserve"> </w:t>
            </w:r>
            <w:proofErr w:type="spellStart"/>
            <w:r w:rsidRPr="002078FB">
              <w:rPr>
                <w:rFonts w:cstheme="minorHAnsi"/>
                <w:b/>
                <w:sz w:val="22"/>
                <w:szCs w:val="22"/>
              </w:rPr>
              <w:t>afectar</w:t>
            </w:r>
            <w:proofErr w:type="spellEnd"/>
            <w:r w:rsidRPr="002078FB">
              <w:rPr>
                <w:rFonts w:cstheme="minorHAnsi"/>
                <w:b/>
                <w:sz w:val="22"/>
                <w:szCs w:val="22"/>
              </w:rPr>
              <w:t xml:space="preserve"> el derecho a la </w:t>
            </w:r>
            <w:proofErr w:type="spellStart"/>
            <w:r w:rsidRPr="002078FB">
              <w:rPr>
                <w:rFonts w:cstheme="minorHAnsi"/>
                <w:b/>
                <w:sz w:val="22"/>
                <w:szCs w:val="22"/>
              </w:rPr>
              <w:t>libertad</w:t>
            </w:r>
            <w:proofErr w:type="spellEnd"/>
            <w:r w:rsidRPr="002078FB">
              <w:rPr>
                <w:rFonts w:cstheme="minorHAnsi"/>
                <w:b/>
                <w:sz w:val="22"/>
                <w:szCs w:val="22"/>
              </w:rPr>
              <w:t xml:space="preserve"> de </w:t>
            </w:r>
            <w:proofErr w:type="spellStart"/>
            <w:r w:rsidRPr="002078FB">
              <w:rPr>
                <w:rFonts w:cstheme="minorHAnsi"/>
                <w:b/>
                <w:sz w:val="22"/>
                <w:szCs w:val="22"/>
              </w:rPr>
              <w:t>expresión</w:t>
            </w:r>
            <w:proofErr w:type="spellEnd"/>
            <w:r w:rsidRPr="002078FB">
              <w:rPr>
                <w:rFonts w:cstheme="minorHAnsi"/>
                <w:b/>
                <w:sz w:val="22"/>
                <w:szCs w:val="22"/>
              </w:rPr>
              <w:t xml:space="preserve">, </w:t>
            </w:r>
            <w:proofErr w:type="spellStart"/>
            <w:r w:rsidRPr="002078FB">
              <w:rPr>
                <w:rFonts w:cstheme="minorHAnsi"/>
                <w:b/>
                <w:sz w:val="22"/>
                <w:szCs w:val="22"/>
              </w:rPr>
              <w:t>ya</w:t>
            </w:r>
            <w:proofErr w:type="spellEnd"/>
            <w:r w:rsidRPr="002078FB">
              <w:rPr>
                <w:rFonts w:cstheme="minorHAnsi"/>
                <w:b/>
                <w:sz w:val="22"/>
                <w:szCs w:val="22"/>
              </w:rPr>
              <w:t xml:space="preserve"> que se </w:t>
            </w:r>
            <w:proofErr w:type="spellStart"/>
            <w:r w:rsidRPr="002078FB">
              <w:rPr>
                <w:rFonts w:cstheme="minorHAnsi"/>
                <w:b/>
                <w:sz w:val="22"/>
                <w:szCs w:val="22"/>
              </w:rPr>
              <w:t>logró</w:t>
            </w:r>
            <w:proofErr w:type="spellEnd"/>
            <w:r w:rsidRPr="002078FB">
              <w:rPr>
                <w:rFonts w:cstheme="minorHAnsi"/>
                <w:b/>
                <w:sz w:val="22"/>
                <w:szCs w:val="22"/>
              </w:rPr>
              <w:t xml:space="preserve"> </w:t>
            </w:r>
            <w:proofErr w:type="spellStart"/>
            <w:r w:rsidRPr="002078FB">
              <w:rPr>
                <w:rFonts w:cstheme="minorHAnsi"/>
                <w:b/>
                <w:sz w:val="22"/>
                <w:szCs w:val="22"/>
              </w:rPr>
              <w:t>mantener</w:t>
            </w:r>
            <w:proofErr w:type="spellEnd"/>
            <w:r w:rsidRPr="002078FB">
              <w:rPr>
                <w:rFonts w:cstheme="minorHAnsi"/>
                <w:b/>
                <w:sz w:val="22"/>
                <w:szCs w:val="22"/>
              </w:rPr>
              <w:t xml:space="preserve"> el </w:t>
            </w:r>
            <w:proofErr w:type="spellStart"/>
            <w:r w:rsidRPr="002078FB">
              <w:rPr>
                <w:rFonts w:cstheme="minorHAnsi"/>
                <w:b/>
                <w:sz w:val="22"/>
                <w:szCs w:val="22"/>
              </w:rPr>
              <w:t>estándar</w:t>
            </w:r>
            <w:proofErr w:type="spellEnd"/>
            <w:r w:rsidRPr="002078FB">
              <w:rPr>
                <w:rFonts w:cstheme="minorHAnsi"/>
                <w:b/>
                <w:sz w:val="22"/>
                <w:szCs w:val="22"/>
              </w:rPr>
              <w:t xml:space="preserve"> </w:t>
            </w:r>
            <w:proofErr w:type="spellStart"/>
            <w:r w:rsidRPr="002078FB">
              <w:rPr>
                <w:rFonts w:cstheme="minorHAnsi"/>
                <w:b/>
                <w:sz w:val="22"/>
                <w:szCs w:val="22"/>
              </w:rPr>
              <w:t>vigente</w:t>
            </w:r>
            <w:proofErr w:type="spellEnd"/>
            <w:r w:rsidRPr="002078FB">
              <w:rPr>
                <w:rFonts w:cstheme="minorHAnsi"/>
                <w:b/>
                <w:sz w:val="22"/>
                <w:szCs w:val="22"/>
              </w:rPr>
              <w:t xml:space="preserve"> en </w:t>
            </w:r>
            <w:proofErr w:type="spellStart"/>
            <w:r w:rsidRPr="002078FB">
              <w:rPr>
                <w:rFonts w:cstheme="minorHAnsi"/>
                <w:b/>
                <w:sz w:val="22"/>
                <w:szCs w:val="22"/>
              </w:rPr>
              <w:t>nuestro</w:t>
            </w:r>
            <w:proofErr w:type="spellEnd"/>
            <w:r w:rsidRPr="002078FB">
              <w:rPr>
                <w:rFonts w:cstheme="minorHAnsi"/>
                <w:b/>
                <w:sz w:val="22"/>
                <w:szCs w:val="22"/>
              </w:rPr>
              <w:t xml:space="preserve"> </w:t>
            </w:r>
            <w:proofErr w:type="spellStart"/>
            <w:r w:rsidRPr="002078FB">
              <w:rPr>
                <w:rFonts w:cstheme="minorHAnsi"/>
                <w:b/>
                <w:sz w:val="22"/>
                <w:szCs w:val="22"/>
              </w:rPr>
              <w:t>ordenamiento</w:t>
            </w:r>
            <w:proofErr w:type="spellEnd"/>
            <w:r w:rsidRPr="002078FB">
              <w:rPr>
                <w:rFonts w:cstheme="minorHAnsi"/>
                <w:b/>
                <w:sz w:val="22"/>
                <w:szCs w:val="22"/>
              </w:rPr>
              <w:t xml:space="preserve"> </w:t>
            </w:r>
            <w:proofErr w:type="spellStart"/>
            <w:r w:rsidRPr="002078FB">
              <w:rPr>
                <w:rFonts w:cstheme="minorHAnsi"/>
                <w:b/>
                <w:sz w:val="22"/>
                <w:szCs w:val="22"/>
              </w:rPr>
              <w:t>interno</w:t>
            </w:r>
            <w:proofErr w:type="spellEnd"/>
            <w:r w:rsidRPr="002078FB">
              <w:rPr>
                <w:rFonts w:cstheme="minorHAnsi"/>
                <w:b/>
                <w:sz w:val="22"/>
                <w:szCs w:val="22"/>
              </w:rPr>
              <w:t xml:space="preserve">. Este </w:t>
            </w:r>
            <w:proofErr w:type="spellStart"/>
            <w:r w:rsidRPr="002078FB">
              <w:rPr>
                <w:rFonts w:cstheme="minorHAnsi"/>
                <w:b/>
                <w:sz w:val="22"/>
                <w:szCs w:val="22"/>
              </w:rPr>
              <w:t>exige</w:t>
            </w:r>
            <w:proofErr w:type="spellEnd"/>
            <w:r w:rsidRPr="002078FB">
              <w:rPr>
                <w:rFonts w:cstheme="minorHAnsi"/>
                <w:b/>
                <w:sz w:val="22"/>
                <w:szCs w:val="22"/>
              </w:rPr>
              <w:t xml:space="preserve"> un </w:t>
            </w:r>
            <w:proofErr w:type="spellStart"/>
            <w:r w:rsidRPr="002078FB">
              <w:rPr>
                <w:rFonts w:cstheme="minorHAnsi"/>
                <w:b/>
                <w:sz w:val="22"/>
                <w:szCs w:val="22"/>
              </w:rPr>
              <w:t>proceso</w:t>
            </w:r>
            <w:proofErr w:type="spellEnd"/>
            <w:r w:rsidRPr="002078FB">
              <w:rPr>
                <w:rFonts w:cstheme="minorHAnsi"/>
                <w:b/>
                <w:sz w:val="22"/>
                <w:szCs w:val="22"/>
              </w:rPr>
              <w:t xml:space="preserve"> judicial para </w:t>
            </w:r>
            <w:proofErr w:type="spellStart"/>
            <w:r w:rsidRPr="002078FB">
              <w:rPr>
                <w:rFonts w:cstheme="minorHAnsi"/>
                <w:b/>
                <w:sz w:val="22"/>
                <w:szCs w:val="22"/>
              </w:rPr>
              <w:t>determinar</w:t>
            </w:r>
            <w:proofErr w:type="spellEnd"/>
            <w:r w:rsidRPr="002078FB">
              <w:rPr>
                <w:rFonts w:cstheme="minorHAnsi"/>
                <w:b/>
                <w:sz w:val="22"/>
                <w:szCs w:val="22"/>
              </w:rPr>
              <w:t xml:space="preserve"> la </w:t>
            </w:r>
            <w:proofErr w:type="spellStart"/>
            <w:r w:rsidRPr="002078FB">
              <w:rPr>
                <w:rFonts w:cstheme="minorHAnsi"/>
                <w:b/>
                <w:sz w:val="22"/>
                <w:szCs w:val="22"/>
              </w:rPr>
              <w:t>responsabilidad</w:t>
            </w:r>
            <w:proofErr w:type="spellEnd"/>
            <w:r w:rsidRPr="002078FB">
              <w:rPr>
                <w:rFonts w:cstheme="minorHAnsi"/>
                <w:b/>
                <w:sz w:val="22"/>
                <w:szCs w:val="22"/>
              </w:rPr>
              <w:t xml:space="preserve"> ante una </w:t>
            </w:r>
            <w:proofErr w:type="spellStart"/>
            <w:r w:rsidRPr="002078FB">
              <w:rPr>
                <w:rFonts w:cstheme="minorHAnsi"/>
                <w:b/>
                <w:sz w:val="22"/>
                <w:szCs w:val="22"/>
              </w:rPr>
              <w:t>infracción</w:t>
            </w:r>
            <w:proofErr w:type="spellEnd"/>
            <w:r w:rsidRPr="002078FB">
              <w:rPr>
                <w:rFonts w:cstheme="minorHAnsi"/>
                <w:b/>
                <w:sz w:val="22"/>
                <w:szCs w:val="22"/>
              </w:rPr>
              <w:t xml:space="preserve"> de </w:t>
            </w:r>
            <w:proofErr w:type="spellStart"/>
            <w:r w:rsidRPr="002078FB">
              <w:rPr>
                <w:rFonts w:cstheme="minorHAnsi"/>
                <w:b/>
                <w:sz w:val="22"/>
                <w:szCs w:val="22"/>
              </w:rPr>
              <w:t>contenidos</w:t>
            </w:r>
            <w:proofErr w:type="spellEnd"/>
            <w:r w:rsidRPr="002078FB">
              <w:rPr>
                <w:rFonts w:cstheme="minorHAnsi"/>
                <w:b/>
                <w:sz w:val="22"/>
                <w:szCs w:val="22"/>
              </w:rPr>
              <w:t xml:space="preserve"> </w:t>
            </w:r>
            <w:proofErr w:type="spellStart"/>
            <w:r w:rsidRPr="002078FB">
              <w:rPr>
                <w:rFonts w:cstheme="minorHAnsi"/>
                <w:b/>
                <w:sz w:val="22"/>
                <w:szCs w:val="22"/>
              </w:rPr>
              <w:t>protegidos</w:t>
            </w:r>
            <w:proofErr w:type="spellEnd"/>
            <w:r w:rsidRPr="002078FB">
              <w:rPr>
                <w:rFonts w:cstheme="minorHAnsi"/>
                <w:b/>
                <w:sz w:val="22"/>
                <w:szCs w:val="22"/>
              </w:rPr>
              <w:t xml:space="preserve"> por derechos de </w:t>
            </w:r>
            <w:proofErr w:type="spellStart"/>
            <w:r w:rsidRPr="002078FB">
              <w:rPr>
                <w:rFonts w:cstheme="minorHAnsi"/>
                <w:b/>
                <w:sz w:val="22"/>
                <w:szCs w:val="22"/>
              </w:rPr>
              <w:t>autor</w:t>
            </w:r>
            <w:proofErr w:type="spellEnd"/>
            <w:r w:rsidRPr="002078FB">
              <w:rPr>
                <w:rFonts w:cstheme="minorHAnsi"/>
                <w:b/>
                <w:sz w:val="22"/>
                <w:szCs w:val="22"/>
              </w:rPr>
              <w:t xml:space="preserve"> en internet.</w:t>
            </w:r>
          </w:p>
        </w:tc>
      </w:tr>
    </w:tbl>
    <w:p w14:paraId="3CF9A15E" w14:textId="77777777" w:rsidR="0050521C" w:rsidRPr="002078FB" w:rsidRDefault="0050521C" w:rsidP="00C412FF">
      <w:pPr>
        <w:pStyle w:val="Prrafodelista"/>
        <w:spacing w:after="0" w:line="240" w:lineRule="auto"/>
        <w:jc w:val="both"/>
        <w:rPr>
          <w:rFonts w:cstheme="minorHAnsi"/>
        </w:rPr>
      </w:pPr>
    </w:p>
    <w:p w14:paraId="0A12E002" w14:textId="770604F8" w:rsidR="00837059" w:rsidRPr="002078FB" w:rsidRDefault="00837059" w:rsidP="00C412FF">
      <w:pPr>
        <w:pStyle w:val="Prrafodelista"/>
        <w:numPr>
          <w:ilvl w:val="0"/>
          <w:numId w:val="6"/>
        </w:numPr>
        <w:spacing w:after="0" w:line="240" w:lineRule="auto"/>
        <w:jc w:val="both"/>
        <w:rPr>
          <w:rFonts w:cstheme="minorHAnsi"/>
        </w:rPr>
      </w:pPr>
      <w:r w:rsidRPr="002078FB">
        <w:rPr>
          <w:rFonts w:cstheme="minorHAnsi"/>
          <w:b/>
          <w:u w:val="single"/>
        </w:rPr>
        <w:t>DERECHOS DE AUTOR</w:t>
      </w:r>
    </w:p>
    <w:p w14:paraId="112850D8" w14:textId="77777777" w:rsidR="00837059" w:rsidRPr="002078FB" w:rsidRDefault="00837059" w:rsidP="00C412FF">
      <w:pPr>
        <w:spacing w:after="0" w:line="240" w:lineRule="auto"/>
        <w:jc w:val="both"/>
        <w:rPr>
          <w:rFonts w:cstheme="minorHAnsi"/>
        </w:rPr>
      </w:pPr>
    </w:p>
    <w:p w14:paraId="52B23713" w14:textId="77777777" w:rsidR="00662D37" w:rsidRPr="002078FB" w:rsidRDefault="00662D37" w:rsidP="00C412FF">
      <w:pPr>
        <w:spacing w:after="0" w:line="240" w:lineRule="auto"/>
        <w:jc w:val="both"/>
        <w:rPr>
          <w:rFonts w:cstheme="minorHAnsi"/>
        </w:rPr>
      </w:pPr>
      <w:r w:rsidRPr="002078FB">
        <w:rPr>
          <w:rFonts w:cstheme="minorHAnsi"/>
        </w:rPr>
        <w:t xml:space="preserve">Se ha mencionado que habría una ampliación de la protección del derecho autor lo que impediría ciertos usos para fines educacionales, así como para bibliotecas y archivos. </w:t>
      </w:r>
    </w:p>
    <w:p w14:paraId="19F7AE1E" w14:textId="77777777" w:rsidR="00662D37" w:rsidRPr="002078FB" w:rsidRDefault="00662D37" w:rsidP="00C412FF">
      <w:pPr>
        <w:spacing w:after="0" w:line="240" w:lineRule="auto"/>
        <w:jc w:val="both"/>
        <w:rPr>
          <w:rFonts w:cstheme="minorHAnsi"/>
        </w:rPr>
      </w:pPr>
      <w:r w:rsidRPr="002078FB">
        <w:rPr>
          <w:rFonts w:cstheme="minorHAnsi"/>
        </w:rPr>
        <w:t xml:space="preserve">Asimismo, se ha señalado que Chile ha modificado el plazo de protección a los derechos de autor a 70 años. </w:t>
      </w:r>
    </w:p>
    <w:p w14:paraId="4DDF830C" w14:textId="77777777" w:rsidR="00662D37" w:rsidRPr="002078FB" w:rsidRDefault="00662D37" w:rsidP="00C412FF">
      <w:pPr>
        <w:spacing w:after="0" w:line="240" w:lineRule="auto"/>
        <w:jc w:val="both"/>
        <w:rPr>
          <w:rFonts w:cstheme="minorHAnsi"/>
        </w:rPr>
      </w:pPr>
    </w:p>
    <w:tbl>
      <w:tblPr>
        <w:tblStyle w:val="Tablaconcuadrcula"/>
        <w:tblW w:w="5000" w:type="pct"/>
        <w:tblLook w:val="04A0" w:firstRow="1" w:lastRow="0" w:firstColumn="1" w:lastColumn="0" w:noHBand="0" w:noVBand="1"/>
      </w:tblPr>
      <w:tblGrid>
        <w:gridCol w:w="10070"/>
      </w:tblGrid>
      <w:tr w:rsidR="00662D37" w:rsidRPr="002078FB" w14:paraId="0A62A470" w14:textId="77777777" w:rsidTr="00066133">
        <w:tc>
          <w:tcPr>
            <w:tcW w:w="5000" w:type="pct"/>
          </w:tcPr>
          <w:p w14:paraId="0254CDAA" w14:textId="47E9F9A7" w:rsidR="00662D37" w:rsidRPr="002078FB" w:rsidRDefault="00662D37" w:rsidP="00C412FF">
            <w:pPr>
              <w:jc w:val="both"/>
              <w:rPr>
                <w:rFonts w:cstheme="minorHAnsi"/>
                <w:b/>
              </w:rPr>
            </w:pPr>
            <w:r w:rsidRPr="002078FB">
              <w:rPr>
                <w:rFonts w:cstheme="minorHAnsi"/>
                <w:b/>
              </w:rPr>
              <w:t xml:space="preserve">El CPTPP no extiende la protección del derecho de autor, y más aún ratifica las excepciones y limitaciones a los derechos, que se encuentran consagrados en nuestra legislación, </w:t>
            </w:r>
            <w:r w:rsidRPr="002078FB">
              <w:rPr>
                <w:rFonts w:cstheme="minorHAnsi"/>
              </w:rPr>
              <w:t xml:space="preserve">tales como las excepciones para bibliotecas y archivos, fines educacionales e incidentales, u otros </w:t>
            </w:r>
            <w:r w:rsidR="00C412FF" w:rsidRPr="002078FB">
              <w:rPr>
                <w:rFonts w:cstheme="minorHAnsi"/>
              </w:rPr>
              <w:t>futuros</w:t>
            </w:r>
            <w:r w:rsidRPr="002078FB">
              <w:rPr>
                <w:rFonts w:cstheme="minorHAnsi"/>
              </w:rPr>
              <w:t>.</w:t>
            </w:r>
            <w:r w:rsidR="00C412FF" w:rsidRPr="002078FB">
              <w:rPr>
                <w:rFonts w:cstheme="minorHAnsi"/>
              </w:rPr>
              <w:t xml:space="preserve"> </w:t>
            </w:r>
            <w:r w:rsidRPr="002078FB">
              <w:rPr>
                <w:rFonts w:cstheme="minorHAnsi"/>
              </w:rPr>
              <w:t>Se acordó una suspensión que permite mantener el plazo mínimo de protección que se exige en el Acuerdo de los ADPIC a los derechos de autor (50 años contados desde la muerte del autor).</w:t>
            </w:r>
          </w:p>
        </w:tc>
      </w:tr>
    </w:tbl>
    <w:p w14:paraId="054B2094" w14:textId="77777777" w:rsidR="00D35B20" w:rsidRPr="002078FB" w:rsidRDefault="00D35B20" w:rsidP="00C412FF">
      <w:pPr>
        <w:spacing w:after="0" w:line="240" w:lineRule="auto"/>
        <w:jc w:val="both"/>
        <w:rPr>
          <w:rFonts w:cstheme="minorHAnsi"/>
          <w:b/>
          <w:color w:val="0070C0"/>
        </w:rPr>
      </w:pPr>
    </w:p>
    <w:p w14:paraId="2E2D879A" w14:textId="77777777" w:rsidR="00D35B20" w:rsidRPr="002078FB" w:rsidRDefault="00FE11D0" w:rsidP="00C412FF">
      <w:pPr>
        <w:pStyle w:val="Prrafodelista"/>
        <w:numPr>
          <w:ilvl w:val="0"/>
          <w:numId w:val="6"/>
        </w:numPr>
        <w:spacing w:after="0" w:line="240" w:lineRule="auto"/>
        <w:jc w:val="both"/>
        <w:rPr>
          <w:rFonts w:cstheme="minorHAnsi"/>
        </w:rPr>
      </w:pPr>
      <w:r w:rsidRPr="002078FB">
        <w:rPr>
          <w:rFonts w:cstheme="minorHAnsi"/>
          <w:b/>
          <w:u w:val="single"/>
        </w:rPr>
        <w:t xml:space="preserve">AFECTACIÓN AL </w:t>
      </w:r>
      <w:r w:rsidR="00D35B20" w:rsidRPr="002078FB">
        <w:rPr>
          <w:rFonts w:cstheme="minorHAnsi"/>
          <w:b/>
          <w:u w:val="single"/>
        </w:rPr>
        <w:t>MEDIO</w:t>
      </w:r>
      <w:r w:rsidR="00762AF2" w:rsidRPr="002078FB">
        <w:rPr>
          <w:rFonts w:cstheme="minorHAnsi"/>
          <w:b/>
          <w:u w:val="single"/>
        </w:rPr>
        <w:t xml:space="preserve"> </w:t>
      </w:r>
      <w:r w:rsidR="00D35B20" w:rsidRPr="002078FB">
        <w:rPr>
          <w:rFonts w:cstheme="minorHAnsi"/>
          <w:b/>
          <w:u w:val="single"/>
        </w:rPr>
        <w:t>AMBIENTE</w:t>
      </w:r>
    </w:p>
    <w:p w14:paraId="23B7F239" w14:textId="77777777" w:rsidR="00D35B20" w:rsidRPr="002078FB" w:rsidRDefault="00D35B20" w:rsidP="00C412FF">
      <w:pPr>
        <w:spacing w:after="0" w:line="240" w:lineRule="auto"/>
        <w:jc w:val="both"/>
        <w:rPr>
          <w:rFonts w:cstheme="minorHAnsi"/>
          <w:b/>
          <w:color w:val="0070C0"/>
        </w:rPr>
      </w:pPr>
    </w:p>
    <w:p w14:paraId="62D42808" w14:textId="688CFC67" w:rsidR="00D35B20" w:rsidRPr="002078FB" w:rsidRDefault="00D35B20" w:rsidP="00C412FF">
      <w:pPr>
        <w:spacing w:after="0" w:line="240" w:lineRule="auto"/>
        <w:jc w:val="both"/>
        <w:rPr>
          <w:rFonts w:cstheme="minorHAnsi"/>
        </w:rPr>
      </w:pPr>
      <w:r w:rsidRPr="002078FB">
        <w:rPr>
          <w:rFonts w:cstheme="minorHAnsi"/>
        </w:rPr>
        <w:t>Se ha señalado que el CPTPP incluiría normas que irían en contra de la legislación nacional en materia de protección al medioambiente</w:t>
      </w:r>
      <w:r w:rsidR="00B31676" w:rsidRPr="002078FB">
        <w:rPr>
          <w:rFonts w:cstheme="minorHAnsi"/>
        </w:rPr>
        <w:t xml:space="preserve">, bajando </w:t>
      </w:r>
      <w:r w:rsidRPr="002078FB">
        <w:rPr>
          <w:rFonts w:cstheme="minorHAnsi"/>
        </w:rPr>
        <w:t>los estándares nacionales en esta materia.</w:t>
      </w:r>
    </w:p>
    <w:p w14:paraId="0010A502" w14:textId="77777777" w:rsidR="00D35B20" w:rsidRPr="002078FB" w:rsidRDefault="00D35B20" w:rsidP="00C412FF">
      <w:pPr>
        <w:spacing w:after="0" w:line="240" w:lineRule="auto"/>
        <w:jc w:val="both"/>
        <w:rPr>
          <w:rFonts w:cstheme="minorHAnsi"/>
        </w:rPr>
      </w:pPr>
    </w:p>
    <w:tbl>
      <w:tblPr>
        <w:tblStyle w:val="Tablaconcuadrcula"/>
        <w:tblW w:w="5000" w:type="pct"/>
        <w:tblLook w:val="04A0" w:firstRow="1" w:lastRow="0" w:firstColumn="1" w:lastColumn="0" w:noHBand="0" w:noVBand="1"/>
      </w:tblPr>
      <w:tblGrid>
        <w:gridCol w:w="10070"/>
      </w:tblGrid>
      <w:tr w:rsidR="00D35B20" w:rsidRPr="002078FB" w14:paraId="4FDB1C1D" w14:textId="77777777" w:rsidTr="00066133">
        <w:tc>
          <w:tcPr>
            <w:tcW w:w="5000" w:type="pct"/>
          </w:tcPr>
          <w:p w14:paraId="1996F8FF" w14:textId="6D41A821" w:rsidR="00E85522" w:rsidRPr="002078FB" w:rsidRDefault="00E85522" w:rsidP="00C412FF">
            <w:pPr>
              <w:jc w:val="both"/>
              <w:rPr>
                <w:rFonts w:cstheme="minorHAnsi"/>
              </w:rPr>
            </w:pPr>
            <w:r w:rsidRPr="002078FB">
              <w:rPr>
                <w:rFonts w:cstheme="minorHAnsi"/>
                <w:b/>
              </w:rPr>
              <w:t>El Capítulo sobre Medio Ambiente establece la obligación de cada país de aplicar efectivamente su propia legislación ambiental, con lo cual no se importan estándares de protección de otros países ni se establece un esquema supra nacional</w:t>
            </w:r>
            <w:r w:rsidRPr="002078FB">
              <w:rPr>
                <w:rFonts w:cstheme="minorHAnsi"/>
              </w:rPr>
              <w:t xml:space="preserve">. Se establece el compromiso de que no se reducirán los estándares de protección medioambiental con el propósito de atraer comercio e inversión extranjera. Es la capacidad normativa y regulatoria de cada país la que prima y la que debe respetarse por parte de dicho país. Las Partes se comprometen a procurar que sus leyes ambientales provean altos niveles de protección. </w:t>
            </w:r>
          </w:p>
        </w:tc>
      </w:tr>
    </w:tbl>
    <w:p w14:paraId="23D264FD" w14:textId="77777777" w:rsidR="00B34583" w:rsidRPr="002078FB" w:rsidRDefault="00B34583" w:rsidP="00C412FF">
      <w:pPr>
        <w:spacing w:after="0" w:line="240" w:lineRule="auto"/>
        <w:jc w:val="both"/>
        <w:rPr>
          <w:rFonts w:cstheme="minorHAnsi"/>
        </w:rPr>
      </w:pPr>
    </w:p>
    <w:p w14:paraId="5979071D" w14:textId="77777777" w:rsidR="004A59E9" w:rsidRPr="002078FB" w:rsidRDefault="00B34583" w:rsidP="00C412FF">
      <w:pPr>
        <w:pStyle w:val="Prrafodelista"/>
        <w:numPr>
          <w:ilvl w:val="0"/>
          <w:numId w:val="6"/>
        </w:numPr>
        <w:spacing w:after="0" w:line="240" w:lineRule="auto"/>
        <w:jc w:val="both"/>
        <w:rPr>
          <w:rFonts w:cstheme="minorHAnsi"/>
        </w:rPr>
      </w:pPr>
      <w:r w:rsidRPr="002078FB">
        <w:rPr>
          <w:rFonts w:cstheme="minorHAnsi"/>
          <w:b/>
          <w:u w:val="single"/>
        </w:rPr>
        <w:t>COMERCIO ELECTRÓNICO</w:t>
      </w:r>
    </w:p>
    <w:p w14:paraId="1312CF23" w14:textId="77777777" w:rsidR="00B34583" w:rsidRPr="002078FB" w:rsidRDefault="00B34583" w:rsidP="00C412FF">
      <w:pPr>
        <w:spacing w:after="0" w:line="240" w:lineRule="auto"/>
        <w:jc w:val="both"/>
        <w:rPr>
          <w:rFonts w:cstheme="minorHAnsi"/>
        </w:rPr>
      </w:pPr>
    </w:p>
    <w:p w14:paraId="672B2555" w14:textId="45E679C0" w:rsidR="00B34583" w:rsidRPr="002078FB" w:rsidRDefault="00CA6039" w:rsidP="00C412FF">
      <w:pPr>
        <w:spacing w:after="0" w:line="240" w:lineRule="auto"/>
        <w:jc w:val="both"/>
        <w:rPr>
          <w:rFonts w:cstheme="minorHAnsi"/>
        </w:rPr>
      </w:pPr>
      <w:r w:rsidRPr="002078FB">
        <w:rPr>
          <w:rFonts w:cstheme="minorHAnsi"/>
        </w:rPr>
        <w:t>Se ha indicado que existirían tres disposiciones que presentarían conflictos:</w:t>
      </w:r>
    </w:p>
    <w:p w14:paraId="7D442E87" w14:textId="77777777" w:rsidR="00B34583" w:rsidRPr="002078FB" w:rsidRDefault="00CA6039" w:rsidP="00C412FF">
      <w:pPr>
        <w:pStyle w:val="Prrafodelista"/>
        <w:numPr>
          <w:ilvl w:val="0"/>
          <w:numId w:val="8"/>
        </w:numPr>
        <w:spacing w:after="0" w:line="240" w:lineRule="auto"/>
        <w:jc w:val="both"/>
        <w:rPr>
          <w:rFonts w:cstheme="minorHAnsi"/>
        </w:rPr>
      </w:pPr>
      <w:r w:rsidRPr="002078FB">
        <w:rPr>
          <w:rFonts w:cstheme="minorHAnsi"/>
        </w:rPr>
        <w:t>Libre flujo transfronterizo de datos</w:t>
      </w:r>
    </w:p>
    <w:p w14:paraId="3BB9EC86" w14:textId="77777777" w:rsidR="00B34583" w:rsidRPr="002078FB" w:rsidRDefault="00CA6039" w:rsidP="00C412FF">
      <w:pPr>
        <w:pStyle w:val="Prrafodelista"/>
        <w:numPr>
          <w:ilvl w:val="0"/>
          <w:numId w:val="8"/>
        </w:numPr>
        <w:spacing w:after="0" w:line="240" w:lineRule="auto"/>
        <w:jc w:val="both"/>
        <w:rPr>
          <w:rFonts w:cstheme="minorHAnsi"/>
        </w:rPr>
      </w:pPr>
      <w:r w:rsidRPr="002078FB">
        <w:rPr>
          <w:rFonts w:cstheme="minorHAnsi"/>
        </w:rPr>
        <w:t xml:space="preserve">Prohibición de establecer requisitos de localización forzada de equipamiento computacional (servidores). </w:t>
      </w:r>
    </w:p>
    <w:p w14:paraId="66B3B7B4" w14:textId="77777777" w:rsidR="00B34583" w:rsidRPr="002078FB" w:rsidRDefault="00B34583" w:rsidP="00C412FF">
      <w:pPr>
        <w:spacing w:after="0" w:line="240" w:lineRule="auto"/>
        <w:ind w:left="1416"/>
        <w:jc w:val="both"/>
        <w:rPr>
          <w:rFonts w:cstheme="minorHAnsi"/>
          <w:u w:val="single"/>
        </w:rPr>
      </w:pPr>
      <w:r w:rsidRPr="002078FB">
        <w:rPr>
          <w:rFonts w:cstheme="minorHAnsi"/>
          <w:u w:val="single"/>
        </w:rPr>
        <w:t>(</w:t>
      </w:r>
      <w:r w:rsidR="00CA6039" w:rsidRPr="002078FB">
        <w:rPr>
          <w:rFonts w:cstheme="minorHAnsi"/>
          <w:u w:val="single"/>
        </w:rPr>
        <w:t>Ambas normas han sido leídas erróneamente ya que quienes critican la norma indican que se trataría de una forma de impedir la protección de datos personales</w:t>
      </w:r>
      <w:r w:rsidRPr="002078FB">
        <w:rPr>
          <w:rFonts w:cstheme="minorHAnsi"/>
          <w:u w:val="single"/>
        </w:rPr>
        <w:t>)</w:t>
      </w:r>
    </w:p>
    <w:p w14:paraId="179B6B3B" w14:textId="77777777" w:rsidR="00CA6039" w:rsidRPr="002078FB" w:rsidRDefault="00CA6039" w:rsidP="00C412FF">
      <w:pPr>
        <w:pStyle w:val="Prrafodelista"/>
        <w:numPr>
          <w:ilvl w:val="0"/>
          <w:numId w:val="8"/>
        </w:numPr>
        <w:spacing w:after="0" w:line="240" w:lineRule="auto"/>
        <w:jc w:val="both"/>
        <w:rPr>
          <w:rFonts w:cstheme="minorHAnsi"/>
        </w:rPr>
      </w:pPr>
      <w:r w:rsidRPr="002078FB">
        <w:rPr>
          <w:rFonts w:cstheme="minorHAnsi"/>
        </w:rPr>
        <w:t xml:space="preserve">Prohibición de exigir la revelación del código fuente de un programa computacional para la importación de un producto o la prestación de un servicio en el territorio de dicha Parte. </w:t>
      </w:r>
    </w:p>
    <w:p w14:paraId="406D6D0E" w14:textId="77777777" w:rsidR="00711956" w:rsidRPr="002078FB" w:rsidRDefault="00711956" w:rsidP="00C412FF">
      <w:pPr>
        <w:spacing w:after="0" w:line="240" w:lineRule="auto"/>
        <w:jc w:val="both"/>
        <w:rPr>
          <w:rFonts w:cstheme="minorHAnsi"/>
          <w:b/>
        </w:rPr>
      </w:pPr>
    </w:p>
    <w:tbl>
      <w:tblPr>
        <w:tblStyle w:val="Tablaconcuadrcula"/>
        <w:tblW w:w="5000" w:type="pct"/>
        <w:tblLook w:val="04A0" w:firstRow="1" w:lastRow="0" w:firstColumn="1" w:lastColumn="0" w:noHBand="0" w:noVBand="1"/>
      </w:tblPr>
      <w:tblGrid>
        <w:gridCol w:w="10070"/>
      </w:tblGrid>
      <w:tr w:rsidR="00CA6039" w:rsidRPr="00C412FF" w14:paraId="0D12E697" w14:textId="77777777" w:rsidTr="00066133">
        <w:tc>
          <w:tcPr>
            <w:tcW w:w="5000" w:type="pct"/>
          </w:tcPr>
          <w:p w14:paraId="40FD9BE3" w14:textId="77777777" w:rsidR="00CA6039" w:rsidRPr="002078FB" w:rsidRDefault="00CA6039" w:rsidP="00C412FF">
            <w:pPr>
              <w:jc w:val="both"/>
              <w:rPr>
                <w:rFonts w:cstheme="minorHAnsi"/>
              </w:rPr>
            </w:pPr>
            <w:r w:rsidRPr="002078FB">
              <w:rPr>
                <w:rFonts w:cstheme="minorHAnsi"/>
              </w:rPr>
              <w:t>Sobre libre flujo de datos en forma transfronteriza se reconoce expresamente que, de existir la</w:t>
            </w:r>
            <w:r w:rsidRPr="002078FB">
              <w:rPr>
                <w:rFonts w:cstheme="minorHAnsi"/>
                <w:b/>
              </w:rPr>
              <w:t xml:space="preserve"> necesidad de establecer excepciones, dentro de las cuales la protección de información sensible </w:t>
            </w:r>
            <w:r w:rsidRPr="002078FB">
              <w:rPr>
                <w:rFonts w:cstheme="minorHAnsi"/>
              </w:rPr>
              <w:t>aparece como un claro ejemplo, estas se puedan incorporar en la medida que no constituyan una barrera encubierta al comercio.</w:t>
            </w:r>
          </w:p>
          <w:p w14:paraId="5C521939" w14:textId="77777777" w:rsidR="00CA6039" w:rsidRPr="002078FB" w:rsidRDefault="00CA6039" w:rsidP="00C412FF">
            <w:pPr>
              <w:jc w:val="both"/>
              <w:rPr>
                <w:rFonts w:cstheme="minorHAnsi"/>
              </w:rPr>
            </w:pPr>
          </w:p>
          <w:p w14:paraId="549E7DAB" w14:textId="77777777" w:rsidR="00CA6039" w:rsidRPr="002078FB" w:rsidRDefault="00CA6039" w:rsidP="00C412FF">
            <w:pPr>
              <w:jc w:val="both"/>
              <w:rPr>
                <w:rFonts w:cstheme="minorHAnsi"/>
                <w:b/>
                <w:u w:val="single"/>
              </w:rPr>
            </w:pPr>
            <w:r w:rsidRPr="002078FB">
              <w:rPr>
                <w:rFonts w:cstheme="minorHAnsi"/>
              </w:rPr>
              <w:t>La norma que impide establecer requisitos forzados de localización también busca que Internet mantenga su funcionamiento técnico que ha resultado en una plataforma que incentiva y cataliza la innovación y la creatividad sobre dicha plataforma.</w:t>
            </w:r>
            <w:r w:rsidRPr="002078FB">
              <w:rPr>
                <w:rFonts w:cstheme="minorHAnsi"/>
                <w:b/>
              </w:rPr>
              <w:t xml:space="preserve"> La norma permite que las personas puedan elegir los proveedores de servicio que ofrezcan las mejores condiciones para su operación.</w:t>
            </w:r>
          </w:p>
          <w:p w14:paraId="5F47DA6B" w14:textId="77777777" w:rsidR="00CA6039" w:rsidRPr="002078FB" w:rsidRDefault="00CA6039" w:rsidP="00C412FF">
            <w:pPr>
              <w:jc w:val="both"/>
              <w:rPr>
                <w:rFonts w:cstheme="minorHAnsi"/>
                <w:b/>
              </w:rPr>
            </w:pPr>
          </w:p>
          <w:p w14:paraId="629317C8" w14:textId="77777777" w:rsidR="00CA6039" w:rsidRPr="002078FB" w:rsidRDefault="00CA6039" w:rsidP="00C412FF">
            <w:pPr>
              <w:jc w:val="both"/>
              <w:rPr>
                <w:rFonts w:cstheme="minorHAnsi"/>
              </w:rPr>
            </w:pPr>
            <w:r w:rsidRPr="002078FB">
              <w:rPr>
                <w:rFonts w:cstheme="minorHAnsi"/>
              </w:rPr>
              <w:t xml:space="preserve">En tercer lugar, la norma que establece la prohibición de exigir revelar el código fuente del </w:t>
            </w:r>
            <w:r w:rsidRPr="002078FB">
              <w:rPr>
                <w:rFonts w:cstheme="minorHAnsi"/>
                <w:i/>
              </w:rPr>
              <w:t>software</w:t>
            </w:r>
            <w:r w:rsidRPr="002078FB">
              <w:rPr>
                <w:rFonts w:cstheme="minorHAnsi"/>
              </w:rPr>
              <w:t xml:space="preserve"> ha sido objeto de mucha especulación sobre consecuencias negativas para la concesión de licencias de software libre y de código abierto que resulta conveniente aclarar.</w:t>
            </w:r>
          </w:p>
          <w:p w14:paraId="4004367D" w14:textId="77777777" w:rsidR="00CA6039" w:rsidRPr="002078FB" w:rsidRDefault="00CA6039" w:rsidP="00C412FF">
            <w:pPr>
              <w:jc w:val="both"/>
              <w:rPr>
                <w:rFonts w:cstheme="minorHAnsi"/>
                <w:b/>
                <w:u w:val="single"/>
              </w:rPr>
            </w:pPr>
            <w:r w:rsidRPr="002078FB">
              <w:rPr>
                <w:rFonts w:cstheme="minorHAnsi"/>
              </w:rPr>
              <w:t xml:space="preserve">En lo medular, se impide a las Partes (los gobiernos que son Parte de TPP) requerir la divulgación de código fuente como condición para la importación, distribución, venta o uso de software o de productos que contienen </w:t>
            </w:r>
            <w:r w:rsidRPr="002078FB">
              <w:rPr>
                <w:rFonts w:cstheme="minorHAnsi"/>
                <w:i/>
              </w:rPr>
              <w:t>software</w:t>
            </w:r>
            <w:r w:rsidRPr="002078FB">
              <w:rPr>
                <w:rFonts w:cstheme="minorHAnsi"/>
              </w:rPr>
              <w:t>. Esto quiere decir que</w:t>
            </w:r>
            <w:r w:rsidRPr="002078FB">
              <w:rPr>
                <w:rFonts w:cstheme="minorHAnsi"/>
                <w:b/>
              </w:rPr>
              <w:t xml:space="preserve"> los gobiernos no pueden adoptar o mantener medidas que obliguen a personas naturales o jurídicas de alguna otra Parte a renunciar a mantener para sí el código fuente con el fin de tener acceso a un mercado CPTPP.</w:t>
            </w:r>
          </w:p>
          <w:p w14:paraId="7CAB2349" w14:textId="77777777" w:rsidR="00CA6039" w:rsidRPr="002078FB" w:rsidRDefault="00CA6039" w:rsidP="00C412FF">
            <w:pPr>
              <w:jc w:val="both"/>
              <w:rPr>
                <w:rFonts w:cstheme="minorHAnsi"/>
              </w:rPr>
            </w:pPr>
            <w:r w:rsidRPr="002078FB">
              <w:rPr>
                <w:rFonts w:cstheme="minorHAnsi"/>
              </w:rPr>
              <w:t>El software cubierto por esta regla está limitado a aquel destinado al público masivo o a productos que contengan este tipo de componentes lógicos (computadores con sistemas operativos de código propietario, cajeros automáticos).</w:t>
            </w:r>
          </w:p>
          <w:p w14:paraId="4C75AB78" w14:textId="77777777" w:rsidR="00CA6039" w:rsidRPr="002078FB" w:rsidRDefault="00CA6039" w:rsidP="00C412FF">
            <w:pPr>
              <w:jc w:val="both"/>
              <w:rPr>
                <w:rFonts w:cstheme="minorHAnsi"/>
                <w:b/>
              </w:rPr>
            </w:pPr>
          </w:p>
          <w:p w14:paraId="04D36089" w14:textId="56ED0ADE" w:rsidR="00CA6039" w:rsidRPr="002078FB" w:rsidRDefault="00CA6039" w:rsidP="00C412FF">
            <w:pPr>
              <w:jc w:val="both"/>
              <w:rPr>
                <w:rFonts w:cstheme="minorHAnsi"/>
              </w:rPr>
            </w:pPr>
            <w:r w:rsidRPr="002078FB">
              <w:rPr>
                <w:rFonts w:cstheme="minorHAnsi"/>
              </w:rPr>
              <w:t xml:space="preserve">En virtud del párrafo 3 del mismo Artículo, se excluye de esta regla el software utilizado para infraestructura crítica (por ejemplo, controladores de centrales de energía, aviones, automóviles, control de tráfico, etc.). La misma norma indica que no se impedirá la inclusión o la aplicación de términos y condiciones relacionados con </w:t>
            </w:r>
            <w:r w:rsidRPr="002078FB">
              <w:rPr>
                <w:rFonts w:cstheme="minorHAnsi"/>
              </w:rPr>
              <w:lastRenderedPageBreak/>
              <w:t>el código fuente contenidos en contratos, como lo son las licencias de uso o los contratos de depósito de código fuente.</w:t>
            </w:r>
          </w:p>
          <w:p w14:paraId="3C2B1E3E" w14:textId="77777777" w:rsidR="00CA6039" w:rsidRPr="002078FB" w:rsidRDefault="00CA6039" w:rsidP="00C412FF">
            <w:pPr>
              <w:jc w:val="both"/>
              <w:rPr>
                <w:rFonts w:cstheme="minorHAnsi"/>
              </w:rPr>
            </w:pPr>
            <w:r w:rsidRPr="002078FB">
              <w:rPr>
                <w:rFonts w:cstheme="minorHAnsi"/>
              </w:rPr>
              <w:t>Tampoco se impide que una Parte exija la modificación del código fuente del software para que éste cumpla con las leyes o reglamentos de esa Parte, mientras que ello no sea incompatible con el Acuerdo. Igualmente, es importante destacar que TPP contempla una exclusión amplia de seguridad nacional.</w:t>
            </w:r>
          </w:p>
          <w:p w14:paraId="5D340C62" w14:textId="77777777" w:rsidR="00CA6039" w:rsidRPr="002078FB" w:rsidRDefault="00CA6039" w:rsidP="00C412FF">
            <w:pPr>
              <w:jc w:val="both"/>
              <w:rPr>
                <w:rFonts w:cstheme="minorHAnsi"/>
                <w:b/>
              </w:rPr>
            </w:pPr>
          </w:p>
          <w:p w14:paraId="1D2783F2" w14:textId="5EC6D9D0" w:rsidR="00CA6039" w:rsidRPr="002078FB" w:rsidRDefault="00CA6039" w:rsidP="00C412FF">
            <w:pPr>
              <w:jc w:val="both"/>
              <w:rPr>
                <w:rFonts w:cstheme="minorHAnsi"/>
                <w:b/>
              </w:rPr>
            </w:pPr>
            <w:r w:rsidRPr="002078FB">
              <w:rPr>
                <w:rFonts w:cstheme="minorHAnsi"/>
              </w:rPr>
              <w:t>En consecuencia, toda vez que las personas obligadas por el Acuerdo son los sujetos de Derecho internacional que los suscriben,</w:t>
            </w:r>
            <w:r w:rsidRPr="002078FB">
              <w:rPr>
                <w:rFonts w:cstheme="minorHAnsi"/>
                <w:b/>
              </w:rPr>
              <w:t xml:space="preserve"> nada impide que los particulares utilicen los contratos y licencias que estimen más adecuadas para sus fines, por lo que las licencias de código abierto no se verán afectadas.</w:t>
            </w:r>
          </w:p>
          <w:p w14:paraId="0FFD8CE5" w14:textId="77777777" w:rsidR="00CA6039" w:rsidRPr="00C412FF" w:rsidRDefault="00CA6039" w:rsidP="00C412FF">
            <w:pPr>
              <w:jc w:val="both"/>
              <w:rPr>
                <w:rFonts w:cstheme="minorHAnsi"/>
              </w:rPr>
            </w:pPr>
            <w:r w:rsidRPr="002078FB">
              <w:rPr>
                <w:rFonts w:cstheme="minorHAnsi"/>
              </w:rPr>
              <w:t>En conclusión, la norma contenida en el Artículo 14.17 tiene por objetivo impedir que se prohíba la existencia de código cerrado o propietario, sin afectar la existencia de licencias de código abierto o software libre.</w:t>
            </w:r>
          </w:p>
        </w:tc>
      </w:tr>
    </w:tbl>
    <w:p w14:paraId="2924E794" w14:textId="77777777" w:rsidR="00307597" w:rsidRDefault="00307597" w:rsidP="002061EA">
      <w:pPr>
        <w:spacing w:after="0" w:line="240" w:lineRule="auto"/>
        <w:rPr>
          <w:b/>
          <w:color w:val="0070C0"/>
        </w:rPr>
      </w:pPr>
    </w:p>
    <w:sectPr w:rsidR="00307597" w:rsidSect="00066133">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72CE6" w14:textId="77777777" w:rsidR="006C2C49" w:rsidRDefault="006C2C49" w:rsidP="00391EC3">
      <w:pPr>
        <w:spacing w:after="0" w:line="240" w:lineRule="auto"/>
      </w:pPr>
      <w:r>
        <w:separator/>
      </w:r>
    </w:p>
  </w:endnote>
  <w:endnote w:type="continuationSeparator" w:id="0">
    <w:p w14:paraId="4C579A5E" w14:textId="77777777" w:rsidR="006C2C49" w:rsidRDefault="006C2C49" w:rsidP="00391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001358"/>
      <w:docPartObj>
        <w:docPartGallery w:val="Page Numbers (Bottom of Page)"/>
        <w:docPartUnique/>
      </w:docPartObj>
    </w:sdtPr>
    <w:sdtEndPr/>
    <w:sdtContent>
      <w:p w14:paraId="612AF92A" w14:textId="1676E757" w:rsidR="003C5502" w:rsidRDefault="003C5502">
        <w:pPr>
          <w:pStyle w:val="Piedepgina"/>
          <w:jc w:val="right"/>
        </w:pPr>
        <w:r>
          <w:fldChar w:fldCharType="begin"/>
        </w:r>
        <w:r>
          <w:instrText>PAGE   \* MERGEFORMAT</w:instrText>
        </w:r>
        <w:r>
          <w:fldChar w:fldCharType="separate"/>
        </w:r>
        <w:r>
          <w:rPr>
            <w:lang w:val="es-ES"/>
          </w:rPr>
          <w:t>2</w:t>
        </w:r>
        <w:r>
          <w:fldChar w:fldCharType="end"/>
        </w:r>
      </w:p>
    </w:sdtContent>
  </w:sdt>
  <w:p w14:paraId="274670C9" w14:textId="77777777" w:rsidR="00EA44FD" w:rsidRDefault="00EA44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0DB96" w14:textId="77777777" w:rsidR="006C2C49" w:rsidRDefault="006C2C49" w:rsidP="00391EC3">
      <w:pPr>
        <w:spacing w:after="0" w:line="240" w:lineRule="auto"/>
      </w:pPr>
      <w:r>
        <w:separator/>
      </w:r>
    </w:p>
  </w:footnote>
  <w:footnote w:type="continuationSeparator" w:id="0">
    <w:p w14:paraId="299FBDF7" w14:textId="77777777" w:rsidR="006C2C49" w:rsidRDefault="006C2C49" w:rsidP="00391EC3">
      <w:pPr>
        <w:spacing w:after="0" w:line="240" w:lineRule="auto"/>
      </w:pPr>
      <w:r>
        <w:continuationSeparator/>
      </w:r>
    </w:p>
  </w:footnote>
  <w:footnote w:id="1">
    <w:p w14:paraId="1D0D3C93" w14:textId="77777777" w:rsidR="0050521C" w:rsidRPr="008E2BF1" w:rsidRDefault="0050521C" w:rsidP="0050521C">
      <w:pPr>
        <w:spacing w:before="71" w:after="0" w:line="249" w:lineRule="auto"/>
        <w:ind w:left="102" w:right="523"/>
        <w:jc w:val="both"/>
      </w:pPr>
      <w:r>
        <w:rPr>
          <w:rStyle w:val="Refdenotaalpie"/>
        </w:rPr>
        <w:footnoteRef/>
      </w:r>
      <w:r>
        <w:t xml:space="preserve"> </w:t>
      </w:r>
      <w:r w:rsidRPr="008E2BF1">
        <w:rPr>
          <w:sz w:val="18"/>
        </w:rPr>
        <w:t>TLC Chile-EE.UU.: “la expectativa de obtener ganancias o utilidades”, (entrada en vigor 1° enero 2004). TLC Chile-Corea: “la expectativa de utilidades o ganancias” (entrada en vigor 1° abril 2004). TLC Chile-Japón: “la expectativa de ganancia o utilidad” (entrada en vigor 3 septiembre 2007). TLC Chile-Perú: “la expectativa de obtener ganancias o utilidades” (entrada en vigor 1° marzo 2009). TLC Chile-Australia: “la expectativa de obtener ganancias o utilidades” (entrada en vigor 6 marzo 2009). TLC Chile-Colombia: “la expectativa de obtener ganancias o utilidades” (entrada en vigor 8 mayo 2009). Acuerdo Suplementario Inversiones Chile-China: “la expectativa de obtener ganancias o utilidades” (entrada en vigor 2 abril 2014).</w:t>
      </w:r>
    </w:p>
  </w:footnote>
  <w:footnote w:id="2">
    <w:p w14:paraId="1FD98F59" w14:textId="77777777" w:rsidR="0050521C" w:rsidRPr="00597367" w:rsidRDefault="0050521C" w:rsidP="0050521C">
      <w:pPr>
        <w:pStyle w:val="Textonotapie"/>
        <w:rPr>
          <w:lang w:val="es-CL"/>
        </w:rPr>
      </w:pPr>
      <w:r>
        <w:rPr>
          <w:rStyle w:val="Refdenotaalpie"/>
        </w:rPr>
        <w:footnoteRef/>
      </w:r>
      <w:r>
        <w:t xml:space="preserve"> </w:t>
      </w:r>
      <w:r>
        <w:rPr>
          <w:lang w:val="es-CL"/>
        </w:rPr>
        <w:t>Presentación de la CUT sobre el capítulo laboral del CPTPP ante la comisión de Trabajo de la Cámara de Diputados.</w:t>
      </w:r>
    </w:p>
  </w:footnote>
  <w:footnote w:id="3">
    <w:p w14:paraId="2A455441" w14:textId="77777777" w:rsidR="00EA44FD" w:rsidRPr="004D7145" w:rsidRDefault="00EA44FD" w:rsidP="00267B0A">
      <w:pPr>
        <w:pStyle w:val="Textonotapie"/>
        <w:jc w:val="both"/>
        <w:rPr>
          <w:lang w:val="es-CL"/>
        </w:rPr>
      </w:pPr>
      <w:r w:rsidRPr="008E2BF1">
        <w:rPr>
          <w:rStyle w:val="Refdenotaalpie"/>
          <w:sz w:val="18"/>
        </w:rPr>
        <w:footnoteRef/>
      </w:r>
      <w:r w:rsidRPr="008E2BF1">
        <w:rPr>
          <w:sz w:val="18"/>
        </w:rPr>
        <w:t xml:space="preserve"> El Cuarto Adjunto es la instancia creada por la DIRECON con el propósito de entregar información a la sociedad civil respecto a los procesos de negociación comercial desarrollados por nuestro país.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493DD" w14:textId="77777777" w:rsidR="00EA44FD" w:rsidRDefault="00EA44FD">
    <w:pPr>
      <w:pStyle w:val="Encabezado"/>
    </w:pPr>
    <w:r>
      <w:rPr>
        <w:noProof/>
      </w:rPr>
      <w:drawing>
        <wp:inline distT="0" distB="0" distL="0" distR="0" wp14:anchorId="2C207A4B" wp14:editId="75005EE4">
          <wp:extent cx="923925" cy="593090"/>
          <wp:effectExtent l="0" t="0" r="9525" b="0"/>
          <wp:docPr id="1" name="Imagen 2" descr="cid:image001.png@01CE68E0.F4C7A250"/>
          <wp:cNvGraphicFramePr/>
          <a:graphic xmlns:a="http://schemas.openxmlformats.org/drawingml/2006/main">
            <a:graphicData uri="http://schemas.openxmlformats.org/drawingml/2006/picture">
              <pic:pic xmlns:pic="http://schemas.openxmlformats.org/drawingml/2006/picture">
                <pic:nvPicPr>
                  <pic:cNvPr id="1" name="Imagen 2" descr="cid:image001.png@01CE68E0.F4C7A2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593090"/>
                  </a:xfrm>
                  <a:prstGeom prst="rect">
                    <a:avLst/>
                  </a:prstGeom>
                  <a:noFill/>
                  <a:ln>
                    <a:noFill/>
                  </a:ln>
                </pic:spPr>
              </pic:pic>
            </a:graphicData>
          </a:graphic>
        </wp:inline>
      </w:drawing>
    </w:r>
  </w:p>
  <w:p w14:paraId="4A38993E" w14:textId="31A62253" w:rsidR="00EA44FD" w:rsidRPr="003C5502" w:rsidRDefault="00EA44FD" w:rsidP="003C5502">
    <w:pPr>
      <w:pStyle w:val="Encabezado"/>
      <w:spacing w:after="240"/>
      <w:rPr>
        <w:sz w:val="18"/>
        <w:szCs w:val="18"/>
      </w:rPr>
    </w:pPr>
    <w:r>
      <w:rPr>
        <w:sz w:val="18"/>
        <w:szCs w:val="18"/>
      </w:rPr>
      <w:t>DIRECON - Junio</w:t>
    </w:r>
    <w:r w:rsidRPr="00476EF1">
      <w:rPr>
        <w:sz w:val="18"/>
        <w:szCs w:val="18"/>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B2627"/>
    <w:multiLevelType w:val="hybridMultilevel"/>
    <w:tmpl w:val="A7CA7C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59224C0"/>
    <w:multiLevelType w:val="hybridMultilevel"/>
    <w:tmpl w:val="62FA9B9E"/>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15:restartNumberingAfterBreak="0">
    <w:nsid w:val="1ACA6CD0"/>
    <w:multiLevelType w:val="hybridMultilevel"/>
    <w:tmpl w:val="DA6E4A6E"/>
    <w:lvl w:ilvl="0" w:tplc="B9BE47C4">
      <w:start w:val="1"/>
      <w:numFmt w:val="decimal"/>
      <w:lvlText w:val="%1."/>
      <w:lvlJc w:val="left"/>
      <w:pPr>
        <w:ind w:left="720" w:hanging="360"/>
      </w:pPr>
      <w:rPr>
        <w:rFonts w:hint="default"/>
        <w:b/>
        <w:color w:val="auto"/>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C1D49B4"/>
    <w:multiLevelType w:val="multilevel"/>
    <w:tmpl w:val="8A7ACD5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075326"/>
    <w:multiLevelType w:val="hybridMultilevel"/>
    <w:tmpl w:val="DA6E4A6E"/>
    <w:lvl w:ilvl="0" w:tplc="B9BE47C4">
      <w:start w:val="1"/>
      <w:numFmt w:val="decimal"/>
      <w:lvlText w:val="%1."/>
      <w:lvlJc w:val="left"/>
      <w:pPr>
        <w:ind w:left="720" w:hanging="360"/>
      </w:pPr>
      <w:rPr>
        <w:rFonts w:hint="default"/>
        <w:b/>
        <w:color w:val="auto"/>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26D3344"/>
    <w:multiLevelType w:val="hybridMultilevel"/>
    <w:tmpl w:val="DA6E4A6E"/>
    <w:lvl w:ilvl="0" w:tplc="B9BE47C4">
      <w:start w:val="1"/>
      <w:numFmt w:val="decimal"/>
      <w:lvlText w:val="%1."/>
      <w:lvlJc w:val="left"/>
      <w:pPr>
        <w:ind w:left="720" w:hanging="360"/>
      </w:pPr>
      <w:rPr>
        <w:rFonts w:hint="default"/>
        <w:b/>
        <w:color w:val="auto"/>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C49062B"/>
    <w:multiLevelType w:val="hybridMultilevel"/>
    <w:tmpl w:val="DA6E4A6E"/>
    <w:lvl w:ilvl="0" w:tplc="B9BE47C4">
      <w:start w:val="1"/>
      <w:numFmt w:val="decimal"/>
      <w:lvlText w:val="%1."/>
      <w:lvlJc w:val="left"/>
      <w:pPr>
        <w:ind w:left="720" w:hanging="360"/>
      </w:pPr>
      <w:rPr>
        <w:rFonts w:hint="default"/>
        <w:b/>
        <w:color w:val="auto"/>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3C117EA"/>
    <w:multiLevelType w:val="hybridMultilevel"/>
    <w:tmpl w:val="DA6E4A6E"/>
    <w:lvl w:ilvl="0" w:tplc="B9BE47C4">
      <w:start w:val="1"/>
      <w:numFmt w:val="decimal"/>
      <w:lvlText w:val="%1."/>
      <w:lvlJc w:val="left"/>
      <w:pPr>
        <w:ind w:left="720" w:hanging="360"/>
      </w:pPr>
      <w:rPr>
        <w:rFonts w:hint="default"/>
        <w:b/>
        <w:color w:val="auto"/>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D5A3649"/>
    <w:multiLevelType w:val="hybridMultilevel"/>
    <w:tmpl w:val="B0DA2382"/>
    <w:lvl w:ilvl="0" w:tplc="C37E7520">
      <w:start w:val="15"/>
      <w:numFmt w:val="bullet"/>
      <w:lvlText w:val="-"/>
      <w:lvlJc w:val="left"/>
      <w:pPr>
        <w:ind w:left="720" w:hanging="360"/>
      </w:pPr>
      <w:rPr>
        <w:rFonts w:ascii="Calibri" w:eastAsiaTheme="minorHAnsi" w:hAnsi="Calibri" w:cs="Calibri"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4E0D1832"/>
    <w:multiLevelType w:val="hybridMultilevel"/>
    <w:tmpl w:val="4C2ECF3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5AD5DA8"/>
    <w:multiLevelType w:val="hybridMultilevel"/>
    <w:tmpl w:val="96524936"/>
    <w:lvl w:ilvl="0" w:tplc="EB56EA80">
      <w:start w:val="1"/>
      <w:numFmt w:val="decimal"/>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65064B7"/>
    <w:multiLevelType w:val="hybridMultilevel"/>
    <w:tmpl w:val="F4EE04B0"/>
    <w:lvl w:ilvl="0" w:tplc="912A6FF6">
      <w:start w:val="1"/>
      <w:numFmt w:val="upperRoman"/>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7F45A7C"/>
    <w:multiLevelType w:val="hybridMultilevel"/>
    <w:tmpl w:val="18CCD198"/>
    <w:lvl w:ilvl="0" w:tplc="655AA8FC">
      <w:numFmt w:val="bullet"/>
      <w:lvlText w:val=""/>
      <w:lvlJc w:val="left"/>
      <w:pPr>
        <w:ind w:left="462" w:hanging="360"/>
      </w:pPr>
      <w:rPr>
        <w:rFonts w:ascii="Symbol" w:eastAsia="Symbol" w:hAnsi="Symbol" w:cs="Symbol" w:hint="default"/>
        <w:w w:val="100"/>
        <w:sz w:val="24"/>
        <w:szCs w:val="24"/>
        <w:lang w:val="es-CL" w:eastAsia="es-CL" w:bidi="es-CL"/>
      </w:rPr>
    </w:lvl>
    <w:lvl w:ilvl="1" w:tplc="716E19E0">
      <w:numFmt w:val="bullet"/>
      <w:lvlText w:val="•"/>
      <w:lvlJc w:val="left"/>
      <w:pPr>
        <w:ind w:left="1320" w:hanging="360"/>
      </w:pPr>
      <w:rPr>
        <w:rFonts w:hint="default"/>
        <w:lang w:val="es-CL" w:eastAsia="es-CL" w:bidi="es-CL"/>
      </w:rPr>
    </w:lvl>
    <w:lvl w:ilvl="2" w:tplc="E848C51E">
      <w:numFmt w:val="bullet"/>
      <w:lvlText w:val="•"/>
      <w:lvlJc w:val="left"/>
      <w:pPr>
        <w:ind w:left="2180" w:hanging="360"/>
      </w:pPr>
      <w:rPr>
        <w:rFonts w:hint="default"/>
        <w:lang w:val="es-CL" w:eastAsia="es-CL" w:bidi="es-CL"/>
      </w:rPr>
    </w:lvl>
    <w:lvl w:ilvl="3" w:tplc="C86C4C66">
      <w:numFmt w:val="bullet"/>
      <w:lvlText w:val="•"/>
      <w:lvlJc w:val="left"/>
      <w:pPr>
        <w:ind w:left="3040" w:hanging="360"/>
      </w:pPr>
      <w:rPr>
        <w:rFonts w:hint="default"/>
        <w:lang w:val="es-CL" w:eastAsia="es-CL" w:bidi="es-CL"/>
      </w:rPr>
    </w:lvl>
    <w:lvl w:ilvl="4" w:tplc="62607822">
      <w:numFmt w:val="bullet"/>
      <w:lvlText w:val="•"/>
      <w:lvlJc w:val="left"/>
      <w:pPr>
        <w:ind w:left="3900" w:hanging="360"/>
      </w:pPr>
      <w:rPr>
        <w:rFonts w:hint="default"/>
        <w:lang w:val="es-CL" w:eastAsia="es-CL" w:bidi="es-CL"/>
      </w:rPr>
    </w:lvl>
    <w:lvl w:ilvl="5" w:tplc="3D6E295E">
      <w:numFmt w:val="bullet"/>
      <w:lvlText w:val="•"/>
      <w:lvlJc w:val="left"/>
      <w:pPr>
        <w:ind w:left="4760" w:hanging="360"/>
      </w:pPr>
      <w:rPr>
        <w:rFonts w:hint="default"/>
        <w:lang w:val="es-CL" w:eastAsia="es-CL" w:bidi="es-CL"/>
      </w:rPr>
    </w:lvl>
    <w:lvl w:ilvl="6" w:tplc="4BC086D8">
      <w:numFmt w:val="bullet"/>
      <w:lvlText w:val="•"/>
      <w:lvlJc w:val="left"/>
      <w:pPr>
        <w:ind w:left="5620" w:hanging="360"/>
      </w:pPr>
      <w:rPr>
        <w:rFonts w:hint="default"/>
        <w:lang w:val="es-CL" w:eastAsia="es-CL" w:bidi="es-CL"/>
      </w:rPr>
    </w:lvl>
    <w:lvl w:ilvl="7" w:tplc="95348B48">
      <w:numFmt w:val="bullet"/>
      <w:lvlText w:val="•"/>
      <w:lvlJc w:val="left"/>
      <w:pPr>
        <w:ind w:left="6480" w:hanging="360"/>
      </w:pPr>
      <w:rPr>
        <w:rFonts w:hint="default"/>
        <w:lang w:val="es-CL" w:eastAsia="es-CL" w:bidi="es-CL"/>
      </w:rPr>
    </w:lvl>
    <w:lvl w:ilvl="8" w:tplc="C3AC1D3A">
      <w:numFmt w:val="bullet"/>
      <w:lvlText w:val="•"/>
      <w:lvlJc w:val="left"/>
      <w:pPr>
        <w:ind w:left="7340" w:hanging="360"/>
      </w:pPr>
      <w:rPr>
        <w:rFonts w:hint="default"/>
        <w:lang w:val="es-CL" w:eastAsia="es-CL" w:bidi="es-CL"/>
      </w:rPr>
    </w:lvl>
  </w:abstractNum>
  <w:abstractNum w:abstractNumId="13" w15:restartNumberingAfterBreak="0">
    <w:nsid w:val="68444779"/>
    <w:multiLevelType w:val="hybridMultilevel"/>
    <w:tmpl w:val="571C43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6DD67C92"/>
    <w:multiLevelType w:val="hybridMultilevel"/>
    <w:tmpl w:val="71D0D132"/>
    <w:lvl w:ilvl="0" w:tplc="1E8C66DE">
      <w:start w:val="1"/>
      <w:numFmt w:val="upperLetter"/>
      <w:lvlText w:val="%1."/>
      <w:lvlJc w:val="left"/>
      <w:pPr>
        <w:ind w:left="385" w:hanging="284"/>
      </w:pPr>
      <w:rPr>
        <w:rFonts w:hint="default"/>
        <w:spacing w:val="-2"/>
        <w:w w:val="83"/>
        <w:u w:val="single" w:color="333333"/>
        <w:lang w:val="es-CL" w:eastAsia="es-CL" w:bidi="es-CL"/>
      </w:rPr>
    </w:lvl>
    <w:lvl w:ilvl="1" w:tplc="CC36AC16">
      <w:start w:val="1"/>
      <w:numFmt w:val="lowerRoman"/>
      <w:lvlText w:val="(%2)"/>
      <w:lvlJc w:val="left"/>
      <w:pPr>
        <w:ind w:left="1527" w:hanging="720"/>
      </w:pPr>
      <w:rPr>
        <w:rFonts w:ascii="Arial" w:eastAsia="Arial" w:hAnsi="Arial" w:cs="Arial" w:hint="default"/>
        <w:b/>
        <w:bCs/>
        <w:color w:val="333333"/>
        <w:w w:val="92"/>
        <w:sz w:val="24"/>
        <w:szCs w:val="24"/>
        <w:lang w:val="es-CL" w:eastAsia="es-CL" w:bidi="es-CL"/>
      </w:rPr>
    </w:lvl>
    <w:lvl w:ilvl="2" w:tplc="4CC0BF38">
      <w:numFmt w:val="bullet"/>
      <w:lvlText w:val="•"/>
      <w:lvlJc w:val="left"/>
      <w:pPr>
        <w:ind w:left="2357" w:hanging="720"/>
      </w:pPr>
      <w:rPr>
        <w:rFonts w:hint="default"/>
        <w:lang w:val="es-CL" w:eastAsia="es-CL" w:bidi="es-CL"/>
      </w:rPr>
    </w:lvl>
    <w:lvl w:ilvl="3" w:tplc="4C90C992">
      <w:numFmt w:val="bullet"/>
      <w:lvlText w:val="•"/>
      <w:lvlJc w:val="left"/>
      <w:pPr>
        <w:ind w:left="3195" w:hanging="720"/>
      </w:pPr>
      <w:rPr>
        <w:rFonts w:hint="default"/>
        <w:lang w:val="es-CL" w:eastAsia="es-CL" w:bidi="es-CL"/>
      </w:rPr>
    </w:lvl>
    <w:lvl w:ilvl="4" w:tplc="9716AAEC">
      <w:numFmt w:val="bullet"/>
      <w:lvlText w:val="•"/>
      <w:lvlJc w:val="left"/>
      <w:pPr>
        <w:ind w:left="4033" w:hanging="720"/>
      </w:pPr>
      <w:rPr>
        <w:rFonts w:hint="default"/>
        <w:lang w:val="es-CL" w:eastAsia="es-CL" w:bidi="es-CL"/>
      </w:rPr>
    </w:lvl>
    <w:lvl w:ilvl="5" w:tplc="A274AD9C">
      <w:numFmt w:val="bullet"/>
      <w:lvlText w:val="•"/>
      <w:lvlJc w:val="left"/>
      <w:pPr>
        <w:ind w:left="4871" w:hanging="720"/>
      </w:pPr>
      <w:rPr>
        <w:rFonts w:hint="default"/>
        <w:lang w:val="es-CL" w:eastAsia="es-CL" w:bidi="es-CL"/>
      </w:rPr>
    </w:lvl>
    <w:lvl w:ilvl="6" w:tplc="D4BE266E">
      <w:numFmt w:val="bullet"/>
      <w:lvlText w:val="•"/>
      <w:lvlJc w:val="left"/>
      <w:pPr>
        <w:ind w:left="5708" w:hanging="720"/>
      </w:pPr>
      <w:rPr>
        <w:rFonts w:hint="default"/>
        <w:lang w:val="es-CL" w:eastAsia="es-CL" w:bidi="es-CL"/>
      </w:rPr>
    </w:lvl>
    <w:lvl w:ilvl="7" w:tplc="C39CB128">
      <w:numFmt w:val="bullet"/>
      <w:lvlText w:val="•"/>
      <w:lvlJc w:val="left"/>
      <w:pPr>
        <w:ind w:left="6546" w:hanging="720"/>
      </w:pPr>
      <w:rPr>
        <w:rFonts w:hint="default"/>
        <w:lang w:val="es-CL" w:eastAsia="es-CL" w:bidi="es-CL"/>
      </w:rPr>
    </w:lvl>
    <w:lvl w:ilvl="8" w:tplc="F5F69D80">
      <w:numFmt w:val="bullet"/>
      <w:lvlText w:val="•"/>
      <w:lvlJc w:val="left"/>
      <w:pPr>
        <w:ind w:left="7384" w:hanging="720"/>
      </w:pPr>
      <w:rPr>
        <w:rFonts w:hint="default"/>
        <w:lang w:val="es-CL" w:eastAsia="es-CL" w:bidi="es-CL"/>
      </w:rPr>
    </w:lvl>
  </w:abstractNum>
  <w:num w:numId="1">
    <w:abstractNumId w:val="1"/>
  </w:num>
  <w:num w:numId="2">
    <w:abstractNumId w:val="13"/>
  </w:num>
  <w:num w:numId="3">
    <w:abstractNumId w:val="3"/>
  </w:num>
  <w:num w:numId="4">
    <w:abstractNumId w:val="0"/>
  </w:num>
  <w:num w:numId="5">
    <w:abstractNumId w:val="11"/>
  </w:num>
  <w:num w:numId="6">
    <w:abstractNumId w:val="5"/>
  </w:num>
  <w:num w:numId="7">
    <w:abstractNumId w:val="10"/>
  </w:num>
  <w:num w:numId="8">
    <w:abstractNumId w:val="9"/>
  </w:num>
  <w:num w:numId="9">
    <w:abstractNumId w:val="4"/>
  </w:num>
  <w:num w:numId="10">
    <w:abstractNumId w:val="6"/>
  </w:num>
  <w:num w:numId="11">
    <w:abstractNumId w:val="12"/>
  </w:num>
  <w:num w:numId="12">
    <w:abstractNumId w:val="14"/>
  </w:num>
  <w:num w:numId="13">
    <w:abstractNumId w:val="8"/>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EC3"/>
    <w:rsid w:val="00057B61"/>
    <w:rsid w:val="00066133"/>
    <w:rsid w:val="0007276A"/>
    <w:rsid w:val="00081877"/>
    <w:rsid w:val="000825FB"/>
    <w:rsid w:val="00083EBC"/>
    <w:rsid w:val="00086044"/>
    <w:rsid w:val="00087812"/>
    <w:rsid w:val="000A13C9"/>
    <w:rsid w:val="000A5B0B"/>
    <w:rsid w:val="000A6C16"/>
    <w:rsid w:val="000E5869"/>
    <w:rsid w:val="001175FE"/>
    <w:rsid w:val="00145D5A"/>
    <w:rsid w:val="00154C2E"/>
    <w:rsid w:val="00186B4E"/>
    <w:rsid w:val="001E6A82"/>
    <w:rsid w:val="001F2054"/>
    <w:rsid w:val="002061EA"/>
    <w:rsid w:val="002078FB"/>
    <w:rsid w:val="00213A16"/>
    <w:rsid w:val="00224874"/>
    <w:rsid w:val="00246AD2"/>
    <w:rsid w:val="00250ADB"/>
    <w:rsid w:val="00267B0A"/>
    <w:rsid w:val="0028383F"/>
    <w:rsid w:val="002C58AD"/>
    <w:rsid w:val="002E480F"/>
    <w:rsid w:val="00305984"/>
    <w:rsid w:val="00307597"/>
    <w:rsid w:val="00330BA8"/>
    <w:rsid w:val="00337D5E"/>
    <w:rsid w:val="00365D42"/>
    <w:rsid w:val="00383AA8"/>
    <w:rsid w:val="00391EC3"/>
    <w:rsid w:val="00396CE0"/>
    <w:rsid w:val="003C1EAE"/>
    <w:rsid w:val="003C5502"/>
    <w:rsid w:val="00424126"/>
    <w:rsid w:val="004468F4"/>
    <w:rsid w:val="00454602"/>
    <w:rsid w:val="00467BA4"/>
    <w:rsid w:val="004759BC"/>
    <w:rsid w:val="00476EF1"/>
    <w:rsid w:val="004923D9"/>
    <w:rsid w:val="0049694F"/>
    <w:rsid w:val="004A3DA3"/>
    <w:rsid w:val="004A469D"/>
    <w:rsid w:val="004A59E9"/>
    <w:rsid w:val="004C3980"/>
    <w:rsid w:val="004E33BE"/>
    <w:rsid w:val="004E4D09"/>
    <w:rsid w:val="004F1C8E"/>
    <w:rsid w:val="0050521C"/>
    <w:rsid w:val="00510BD1"/>
    <w:rsid w:val="00541870"/>
    <w:rsid w:val="00547751"/>
    <w:rsid w:val="00564935"/>
    <w:rsid w:val="0058461E"/>
    <w:rsid w:val="005868C3"/>
    <w:rsid w:val="00591EBB"/>
    <w:rsid w:val="0059720A"/>
    <w:rsid w:val="00597367"/>
    <w:rsid w:val="005D28A5"/>
    <w:rsid w:val="005D4BD7"/>
    <w:rsid w:val="005E626D"/>
    <w:rsid w:val="00645F8B"/>
    <w:rsid w:val="00662D37"/>
    <w:rsid w:val="00671293"/>
    <w:rsid w:val="00674435"/>
    <w:rsid w:val="006A198A"/>
    <w:rsid w:val="006C2C49"/>
    <w:rsid w:val="006E208D"/>
    <w:rsid w:val="006F6B63"/>
    <w:rsid w:val="00711956"/>
    <w:rsid w:val="00746633"/>
    <w:rsid w:val="007624B9"/>
    <w:rsid w:val="00762AF2"/>
    <w:rsid w:val="00784D5D"/>
    <w:rsid w:val="00792D34"/>
    <w:rsid w:val="007D0358"/>
    <w:rsid w:val="00807550"/>
    <w:rsid w:val="00811880"/>
    <w:rsid w:val="00833492"/>
    <w:rsid w:val="00837059"/>
    <w:rsid w:val="008413EF"/>
    <w:rsid w:val="0086156C"/>
    <w:rsid w:val="008779BC"/>
    <w:rsid w:val="00890B31"/>
    <w:rsid w:val="00897365"/>
    <w:rsid w:val="008C2AE2"/>
    <w:rsid w:val="008E2BF1"/>
    <w:rsid w:val="008F541A"/>
    <w:rsid w:val="009010A6"/>
    <w:rsid w:val="00936E93"/>
    <w:rsid w:val="0095739D"/>
    <w:rsid w:val="00961322"/>
    <w:rsid w:val="00965F7E"/>
    <w:rsid w:val="0097441A"/>
    <w:rsid w:val="009E7F4A"/>
    <w:rsid w:val="00A05272"/>
    <w:rsid w:val="00A07EB2"/>
    <w:rsid w:val="00A176C2"/>
    <w:rsid w:val="00A40688"/>
    <w:rsid w:val="00A50F9E"/>
    <w:rsid w:val="00A51A15"/>
    <w:rsid w:val="00AA0A1E"/>
    <w:rsid w:val="00AA1923"/>
    <w:rsid w:val="00AB1551"/>
    <w:rsid w:val="00AB1E2A"/>
    <w:rsid w:val="00AC7F61"/>
    <w:rsid w:val="00AF349B"/>
    <w:rsid w:val="00B04D76"/>
    <w:rsid w:val="00B17017"/>
    <w:rsid w:val="00B217AD"/>
    <w:rsid w:val="00B31676"/>
    <w:rsid w:val="00B34583"/>
    <w:rsid w:val="00B621D2"/>
    <w:rsid w:val="00B766DF"/>
    <w:rsid w:val="00B80168"/>
    <w:rsid w:val="00B865C5"/>
    <w:rsid w:val="00BA5846"/>
    <w:rsid w:val="00C368D8"/>
    <w:rsid w:val="00C412FF"/>
    <w:rsid w:val="00CA6039"/>
    <w:rsid w:val="00CB1DAA"/>
    <w:rsid w:val="00CD0080"/>
    <w:rsid w:val="00D103A5"/>
    <w:rsid w:val="00D323A7"/>
    <w:rsid w:val="00D35B20"/>
    <w:rsid w:val="00D54661"/>
    <w:rsid w:val="00D63042"/>
    <w:rsid w:val="00DA19B1"/>
    <w:rsid w:val="00DA69DC"/>
    <w:rsid w:val="00DC6C26"/>
    <w:rsid w:val="00DC74FD"/>
    <w:rsid w:val="00E1406A"/>
    <w:rsid w:val="00E20334"/>
    <w:rsid w:val="00E26C3A"/>
    <w:rsid w:val="00E30024"/>
    <w:rsid w:val="00E34C5D"/>
    <w:rsid w:val="00E457BE"/>
    <w:rsid w:val="00E55F1E"/>
    <w:rsid w:val="00E85522"/>
    <w:rsid w:val="00E9444D"/>
    <w:rsid w:val="00EA44FD"/>
    <w:rsid w:val="00EC0352"/>
    <w:rsid w:val="00EE421C"/>
    <w:rsid w:val="00F3441E"/>
    <w:rsid w:val="00F46193"/>
    <w:rsid w:val="00F551A9"/>
    <w:rsid w:val="00F55481"/>
    <w:rsid w:val="00F57A0B"/>
    <w:rsid w:val="00F57EB1"/>
    <w:rsid w:val="00FA4D7E"/>
    <w:rsid w:val="00FB0CB9"/>
    <w:rsid w:val="00FC5C9B"/>
    <w:rsid w:val="00FE11D0"/>
    <w:rsid w:val="00FF5CC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E0BA6"/>
  <w15:chartTrackingRefBased/>
  <w15:docId w15:val="{6A88AC01-D0FC-4DF3-9F94-00CE86084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ar"/>
    <w:uiPriority w:val="9"/>
    <w:unhideWhenUsed/>
    <w:qFormat/>
    <w:rsid w:val="00267B0A"/>
    <w:pPr>
      <w:widowControl w:val="0"/>
      <w:autoSpaceDE w:val="0"/>
      <w:autoSpaceDN w:val="0"/>
      <w:spacing w:after="0" w:line="240" w:lineRule="auto"/>
      <w:ind w:left="102"/>
      <w:outlineLvl w:val="1"/>
    </w:pPr>
    <w:rPr>
      <w:rFonts w:ascii="Arial" w:eastAsia="Arial" w:hAnsi="Arial" w:cs="Arial"/>
      <w:b/>
      <w:bCs/>
      <w:sz w:val="24"/>
      <w:szCs w:val="24"/>
      <w:lang w:eastAsia="es-CL" w:bidi="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destacada">
    <w:name w:val="Intense Quote"/>
    <w:basedOn w:val="Normal"/>
    <w:next w:val="Normal"/>
    <w:link w:val="CitadestacadaCar"/>
    <w:uiPriority w:val="30"/>
    <w:qFormat/>
    <w:rsid w:val="00391EC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391EC3"/>
    <w:rPr>
      <w:i/>
      <w:iCs/>
      <w:color w:val="4472C4" w:themeColor="accent1"/>
    </w:rPr>
  </w:style>
  <w:style w:type="paragraph" w:styleId="Encabezado">
    <w:name w:val="header"/>
    <w:basedOn w:val="Normal"/>
    <w:link w:val="EncabezadoCar"/>
    <w:uiPriority w:val="99"/>
    <w:unhideWhenUsed/>
    <w:rsid w:val="00391E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1EC3"/>
  </w:style>
  <w:style w:type="paragraph" w:styleId="Piedepgina">
    <w:name w:val="footer"/>
    <w:basedOn w:val="Normal"/>
    <w:link w:val="PiedepginaCar"/>
    <w:uiPriority w:val="99"/>
    <w:unhideWhenUsed/>
    <w:rsid w:val="00391E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1EC3"/>
  </w:style>
  <w:style w:type="table" w:styleId="Tablaconcuadrcula">
    <w:name w:val="Table Grid"/>
    <w:basedOn w:val="Tablanormal"/>
    <w:uiPriority w:val="39"/>
    <w:rsid w:val="00E55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6concolores-nfasis6">
    <w:name w:val="Grid Table 6 Colorful Accent 6"/>
    <w:basedOn w:val="Tablanormal"/>
    <w:uiPriority w:val="51"/>
    <w:rsid w:val="00087812"/>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rrafodelista">
    <w:name w:val="List Paragraph"/>
    <w:aliases w:val="Recommendation,List Paragraph1,Dot pt,No Spacing1,List Paragraph Char Char Char,Indicator Text,Numbered Para 1,Colorful List - Accent 11,Bullet 1,F5 List Paragraph,Bullet Points,Normal Fv,lp1,4 Párrafo de lista,Figuras,DH1,viñetas,3"/>
    <w:basedOn w:val="Normal"/>
    <w:link w:val="PrrafodelistaCar"/>
    <w:uiPriority w:val="1"/>
    <w:qFormat/>
    <w:rsid w:val="00E30024"/>
    <w:pPr>
      <w:ind w:left="720"/>
      <w:contextualSpacing/>
    </w:pPr>
  </w:style>
  <w:style w:type="character" w:styleId="Refdecomentario">
    <w:name w:val="annotation reference"/>
    <w:basedOn w:val="Fuentedeprrafopredeter"/>
    <w:uiPriority w:val="99"/>
    <w:semiHidden/>
    <w:unhideWhenUsed/>
    <w:rsid w:val="00564935"/>
    <w:rPr>
      <w:sz w:val="16"/>
      <w:szCs w:val="16"/>
    </w:rPr>
  </w:style>
  <w:style w:type="paragraph" w:styleId="Textocomentario">
    <w:name w:val="annotation text"/>
    <w:basedOn w:val="Normal"/>
    <w:link w:val="TextocomentarioCar"/>
    <w:uiPriority w:val="99"/>
    <w:semiHidden/>
    <w:unhideWhenUsed/>
    <w:rsid w:val="0056493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64935"/>
    <w:rPr>
      <w:sz w:val="20"/>
      <w:szCs w:val="20"/>
    </w:rPr>
  </w:style>
  <w:style w:type="paragraph" w:styleId="Asuntodelcomentario">
    <w:name w:val="annotation subject"/>
    <w:basedOn w:val="Textocomentario"/>
    <w:next w:val="Textocomentario"/>
    <w:link w:val="AsuntodelcomentarioCar"/>
    <w:uiPriority w:val="99"/>
    <w:semiHidden/>
    <w:unhideWhenUsed/>
    <w:rsid w:val="00564935"/>
    <w:rPr>
      <w:b/>
      <w:bCs/>
    </w:rPr>
  </w:style>
  <w:style w:type="character" w:customStyle="1" w:styleId="AsuntodelcomentarioCar">
    <w:name w:val="Asunto del comentario Car"/>
    <w:basedOn w:val="TextocomentarioCar"/>
    <w:link w:val="Asuntodelcomentario"/>
    <w:uiPriority w:val="99"/>
    <w:semiHidden/>
    <w:rsid w:val="00564935"/>
    <w:rPr>
      <w:b/>
      <w:bCs/>
      <w:sz w:val="20"/>
      <w:szCs w:val="20"/>
    </w:rPr>
  </w:style>
  <w:style w:type="paragraph" w:styleId="Textodeglobo">
    <w:name w:val="Balloon Text"/>
    <w:basedOn w:val="Normal"/>
    <w:link w:val="TextodegloboCar"/>
    <w:uiPriority w:val="99"/>
    <w:semiHidden/>
    <w:unhideWhenUsed/>
    <w:rsid w:val="005649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4935"/>
    <w:rPr>
      <w:rFonts w:ascii="Segoe UI" w:hAnsi="Segoe UI" w:cs="Segoe UI"/>
      <w:sz w:val="18"/>
      <w:szCs w:val="18"/>
    </w:rPr>
  </w:style>
  <w:style w:type="paragraph" w:styleId="Textonotapie">
    <w:name w:val="footnote text"/>
    <w:basedOn w:val="Normal"/>
    <w:link w:val="TextonotapieCar"/>
    <w:uiPriority w:val="99"/>
    <w:semiHidden/>
    <w:unhideWhenUsed/>
    <w:rsid w:val="000A5B0B"/>
    <w:pPr>
      <w:spacing w:after="0" w:line="240" w:lineRule="auto"/>
    </w:pPr>
    <w:rPr>
      <w:rFonts w:eastAsiaTheme="minorEastAsia"/>
      <w:sz w:val="20"/>
      <w:szCs w:val="20"/>
      <w:lang w:val="es-ES_tradnl"/>
    </w:rPr>
  </w:style>
  <w:style w:type="character" w:customStyle="1" w:styleId="TextonotapieCar">
    <w:name w:val="Texto nota pie Car"/>
    <w:basedOn w:val="Fuentedeprrafopredeter"/>
    <w:link w:val="Textonotapie"/>
    <w:uiPriority w:val="99"/>
    <w:semiHidden/>
    <w:rsid w:val="000A5B0B"/>
    <w:rPr>
      <w:rFonts w:eastAsiaTheme="minorEastAsia"/>
      <w:sz w:val="20"/>
      <w:szCs w:val="20"/>
      <w:lang w:val="es-ES_tradnl"/>
    </w:rPr>
  </w:style>
  <w:style w:type="character" w:styleId="Refdenotaalpie">
    <w:name w:val="footnote reference"/>
    <w:aliases w:val="number,Ref,de nota al pie,BVI fnr,(Footnote Reference),Footnote Reference/, BVI fnr"/>
    <w:basedOn w:val="Fuentedeprrafopredeter"/>
    <w:uiPriority w:val="99"/>
    <w:unhideWhenUsed/>
    <w:rsid w:val="000A5B0B"/>
    <w:rPr>
      <w:vertAlign w:val="superscript"/>
    </w:rPr>
  </w:style>
  <w:style w:type="paragraph" w:styleId="Sinespaciado">
    <w:name w:val="No Spacing"/>
    <w:uiPriority w:val="99"/>
    <w:qFormat/>
    <w:rsid w:val="00B217AD"/>
    <w:pPr>
      <w:spacing w:after="0" w:line="240" w:lineRule="auto"/>
    </w:pPr>
  </w:style>
  <w:style w:type="character" w:customStyle="1" w:styleId="PrrafodelistaCar">
    <w:name w:val="Párrafo de lista Car"/>
    <w:aliases w:val="Recommendation Car,List Paragraph1 Car,Dot pt Car,No Spacing1 Car,List Paragraph Char Char Char Car,Indicator Text Car,Numbered Para 1 Car,Colorful List - Accent 11 Car,Bullet 1 Car,F5 List Paragraph Car,Bullet Points Car,lp1 Car"/>
    <w:link w:val="Prrafodelista"/>
    <w:uiPriority w:val="34"/>
    <w:qFormat/>
    <w:locked/>
    <w:rsid w:val="00784D5D"/>
  </w:style>
  <w:style w:type="table" w:customStyle="1" w:styleId="Tablaconcuadrcula1">
    <w:name w:val="Tabla con cuadrícula1"/>
    <w:basedOn w:val="Tablanormal"/>
    <w:next w:val="Tablaconcuadrcula"/>
    <w:uiPriority w:val="39"/>
    <w:rsid w:val="00784D5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784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A50F9E"/>
    <w:pPr>
      <w:widowControl w:val="0"/>
      <w:autoSpaceDE w:val="0"/>
      <w:autoSpaceDN w:val="0"/>
      <w:spacing w:after="0" w:line="240" w:lineRule="auto"/>
    </w:pPr>
    <w:rPr>
      <w:rFonts w:ascii="Arial" w:eastAsia="Arial" w:hAnsi="Arial" w:cs="Arial"/>
      <w:sz w:val="24"/>
      <w:szCs w:val="24"/>
      <w:lang w:eastAsia="es-CL" w:bidi="es-CL"/>
    </w:rPr>
  </w:style>
  <w:style w:type="character" w:customStyle="1" w:styleId="TextoindependienteCar">
    <w:name w:val="Texto independiente Car"/>
    <w:basedOn w:val="Fuentedeprrafopredeter"/>
    <w:link w:val="Textoindependiente"/>
    <w:uiPriority w:val="1"/>
    <w:rsid w:val="00A50F9E"/>
    <w:rPr>
      <w:rFonts w:ascii="Arial" w:eastAsia="Arial" w:hAnsi="Arial" w:cs="Arial"/>
      <w:sz w:val="24"/>
      <w:szCs w:val="24"/>
      <w:lang w:eastAsia="es-CL" w:bidi="es-CL"/>
    </w:rPr>
  </w:style>
  <w:style w:type="character" w:customStyle="1" w:styleId="Ttulo2Car">
    <w:name w:val="Título 2 Car"/>
    <w:basedOn w:val="Fuentedeprrafopredeter"/>
    <w:link w:val="Ttulo2"/>
    <w:uiPriority w:val="9"/>
    <w:rsid w:val="00267B0A"/>
    <w:rPr>
      <w:rFonts w:ascii="Arial" w:eastAsia="Arial" w:hAnsi="Arial" w:cs="Arial"/>
      <w:b/>
      <w:bCs/>
      <w:sz w:val="24"/>
      <w:szCs w:val="24"/>
      <w:lang w:eastAsia="es-CL" w:bidi="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32385-37C8-437B-9F14-CD6562783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5215</Words>
  <Characters>28685</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Teresa Urrutia</dc:creator>
  <cp:keywords/>
  <dc:description/>
  <cp:lastModifiedBy>PSAGREDO</cp:lastModifiedBy>
  <cp:revision>2</cp:revision>
  <cp:lastPrinted>2019-06-17T16:06:00Z</cp:lastPrinted>
  <dcterms:created xsi:type="dcterms:W3CDTF">2019-06-17T16:08:00Z</dcterms:created>
  <dcterms:modified xsi:type="dcterms:W3CDTF">2019-06-17T16:08:00Z</dcterms:modified>
</cp:coreProperties>
</file>