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A1FF" w14:textId="77777777" w:rsidR="004B0D5D" w:rsidRDefault="000E0814">
      <w:pPr>
        <w:pStyle w:val="Ttulo"/>
        <w:shd w:val="pct10" w:color="auto" w:fill="FFFFFF"/>
        <w:rPr>
          <w:caps/>
        </w:rPr>
      </w:pPr>
      <w:r w:rsidRPr="000E0814">
        <w:rPr>
          <w:caps/>
        </w:rPr>
        <w:t>Proyecto de ley, iniciado en mensaje de S.E. el Presidente de la República, que establece un retiro único y extraordinario de fondos previsionales en las condiciones que indica.</w:t>
      </w:r>
    </w:p>
    <w:p w14:paraId="14207D4B" w14:textId="77777777" w:rsidR="000E0814" w:rsidRPr="000E0814" w:rsidRDefault="000E0814">
      <w:pPr>
        <w:pStyle w:val="Ttulo"/>
        <w:shd w:val="pct10" w:color="auto" w:fill="FFFFFF"/>
        <w:rPr>
          <w:caps/>
        </w:rPr>
      </w:pPr>
      <w:r>
        <w:rPr>
          <w:caps/>
        </w:rPr>
        <w:t>(BOLETÍN Nº 13.914-13)</w:t>
      </w:r>
    </w:p>
    <w:p w14:paraId="3D736EED" w14:textId="77777777" w:rsidR="004B0D5D" w:rsidRDefault="004B0D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3"/>
        <w:gridCol w:w="5482"/>
        <w:gridCol w:w="5479"/>
      </w:tblGrid>
      <w:tr w:rsidR="00BF0CA8" w:rsidRPr="00CC4260" w14:paraId="74081328" w14:textId="769C27CC" w:rsidTr="00BF0CA8">
        <w:trPr>
          <w:tblHeader/>
          <w:jc w:val="center"/>
        </w:trPr>
        <w:tc>
          <w:tcPr>
            <w:tcW w:w="1667" w:type="pct"/>
            <w:shd w:val="pct10" w:color="auto" w:fill="FFFFFF"/>
          </w:tcPr>
          <w:p w14:paraId="10735B48" w14:textId="77777777" w:rsidR="00BF0CA8" w:rsidRPr="00A147CE" w:rsidRDefault="00BF0CA8" w:rsidP="00CC4260">
            <w:pPr>
              <w:jc w:val="center"/>
              <w:rPr>
                <w:b/>
                <w:szCs w:val="22"/>
              </w:rPr>
            </w:pPr>
            <w:r w:rsidRPr="00A147CE">
              <w:rPr>
                <w:b/>
                <w:szCs w:val="22"/>
              </w:rPr>
              <w:t>TEXTO LEGAL VIGENTE</w:t>
            </w:r>
          </w:p>
        </w:tc>
        <w:tc>
          <w:tcPr>
            <w:tcW w:w="1667" w:type="pct"/>
            <w:shd w:val="pct10" w:color="auto" w:fill="FFFFFF"/>
          </w:tcPr>
          <w:p w14:paraId="3481A330" w14:textId="77777777" w:rsidR="00BF0CA8" w:rsidRPr="00A147CE" w:rsidRDefault="00BF0CA8" w:rsidP="00CC4260">
            <w:pPr>
              <w:jc w:val="center"/>
              <w:rPr>
                <w:b/>
                <w:szCs w:val="22"/>
              </w:rPr>
            </w:pPr>
            <w:r w:rsidRPr="00A147CE">
              <w:rPr>
                <w:b/>
                <w:szCs w:val="22"/>
              </w:rPr>
              <w:t>MENSAJE</w:t>
            </w:r>
          </w:p>
        </w:tc>
        <w:tc>
          <w:tcPr>
            <w:tcW w:w="1667" w:type="pct"/>
            <w:shd w:val="pct10" w:color="auto" w:fill="FFFFFF"/>
          </w:tcPr>
          <w:p w14:paraId="0E7BE678" w14:textId="77777777" w:rsidR="00BF0CA8" w:rsidRDefault="00BF0CA8" w:rsidP="002C3B4F">
            <w:pPr>
              <w:jc w:val="center"/>
              <w:rPr>
                <w:b/>
                <w:szCs w:val="22"/>
              </w:rPr>
            </w:pPr>
            <w:r w:rsidRPr="00F407EB">
              <w:rPr>
                <w:b/>
                <w:szCs w:val="22"/>
              </w:rPr>
              <w:t>TEXTO FINAL PROPUESTO</w:t>
            </w:r>
          </w:p>
          <w:p w14:paraId="5FAFC1BB" w14:textId="49D051CB" w:rsidR="00F407EB" w:rsidRDefault="00F407EB" w:rsidP="002C3B4F">
            <w:pPr>
              <w:jc w:val="center"/>
              <w:rPr>
                <w:b/>
                <w:szCs w:val="22"/>
              </w:rPr>
            </w:pPr>
            <w:r>
              <w:rPr>
                <w:b/>
                <w:szCs w:val="22"/>
              </w:rPr>
              <w:t>POR LAS COMISIONES UNIDAS</w:t>
            </w:r>
          </w:p>
        </w:tc>
      </w:tr>
      <w:tr w:rsidR="00BF0CA8" w14:paraId="5F4664D7" w14:textId="74A81040" w:rsidTr="00BF0CA8">
        <w:trPr>
          <w:jc w:val="center"/>
        </w:trPr>
        <w:tc>
          <w:tcPr>
            <w:tcW w:w="1667" w:type="pct"/>
          </w:tcPr>
          <w:p w14:paraId="74D3D7F2" w14:textId="77777777" w:rsidR="00BF0CA8" w:rsidRPr="00A147CE" w:rsidRDefault="00BF0CA8">
            <w:pPr>
              <w:pStyle w:val="Encabezado"/>
              <w:tabs>
                <w:tab w:val="clear" w:pos="4252"/>
                <w:tab w:val="clear" w:pos="8504"/>
                <w:tab w:val="left" w:pos="2835"/>
              </w:tabs>
              <w:rPr>
                <w:szCs w:val="22"/>
              </w:rPr>
            </w:pPr>
          </w:p>
        </w:tc>
        <w:tc>
          <w:tcPr>
            <w:tcW w:w="1667" w:type="pct"/>
          </w:tcPr>
          <w:p w14:paraId="7E1046D6" w14:textId="77777777" w:rsidR="00BF0CA8" w:rsidRDefault="00BF0CA8" w:rsidP="00CC4260">
            <w:pPr>
              <w:widowControl w:val="0"/>
              <w:tabs>
                <w:tab w:val="clear" w:pos="2835"/>
              </w:tabs>
              <w:jc w:val="center"/>
              <w:rPr>
                <w:rFonts w:cs="Arial"/>
                <w:b/>
                <w:spacing w:val="160"/>
                <w:szCs w:val="22"/>
                <w:lang w:val="es-ES_tradnl"/>
              </w:rPr>
            </w:pPr>
          </w:p>
          <w:p w14:paraId="517A7D8C" w14:textId="77777777" w:rsidR="00BF0CA8" w:rsidRPr="00A147CE" w:rsidRDefault="00BF0CA8" w:rsidP="00CC4260">
            <w:pPr>
              <w:widowControl w:val="0"/>
              <w:tabs>
                <w:tab w:val="clear" w:pos="2835"/>
              </w:tabs>
              <w:jc w:val="center"/>
              <w:rPr>
                <w:rFonts w:cs="Arial"/>
                <w:b/>
                <w:spacing w:val="160"/>
                <w:szCs w:val="22"/>
                <w:lang w:val="es-ES_tradnl"/>
              </w:rPr>
            </w:pPr>
            <w:r w:rsidRPr="00A147CE">
              <w:rPr>
                <w:rFonts w:cs="Arial"/>
                <w:b/>
                <w:spacing w:val="160"/>
                <w:szCs w:val="22"/>
                <w:lang w:val="es-ES_tradnl"/>
              </w:rPr>
              <w:t>PROYECTO DE LEY:</w:t>
            </w:r>
          </w:p>
          <w:p w14:paraId="632F3CCC" w14:textId="77777777" w:rsidR="00BF0CA8" w:rsidRPr="00A147CE" w:rsidRDefault="00BF0CA8" w:rsidP="00CC4260">
            <w:pPr>
              <w:widowControl w:val="0"/>
              <w:tabs>
                <w:tab w:val="clear" w:pos="2835"/>
              </w:tabs>
              <w:rPr>
                <w:rFonts w:eastAsia="Calibri" w:cs="Arial"/>
                <w:b/>
                <w:szCs w:val="22"/>
                <w:lang w:val="es-MX" w:eastAsia="en-US"/>
              </w:rPr>
            </w:pPr>
          </w:p>
          <w:p w14:paraId="263C4F41" w14:textId="77777777" w:rsidR="00BF0CA8" w:rsidRPr="00A147CE" w:rsidRDefault="00BF0CA8" w:rsidP="00CC4260">
            <w:pPr>
              <w:widowControl w:val="0"/>
              <w:rPr>
                <w:rFonts w:eastAsia="Calibri" w:cs="Arial"/>
                <w:szCs w:val="22"/>
                <w:lang w:val="es-MX" w:eastAsia="en-US"/>
              </w:rPr>
            </w:pPr>
            <w:r w:rsidRPr="00A147CE">
              <w:rPr>
                <w:rFonts w:eastAsia="Calibri" w:cs="Arial"/>
                <w:b/>
                <w:szCs w:val="22"/>
                <w:lang w:val="es-MX" w:eastAsia="en-US"/>
              </w:rPr>
              <w:t xml:space="preserve">“Artículo único.- </w:t>
            </w:r>
            <w:proofErr w:type="spellStart"/>
            <w:r w:rsidRPr="00A147CE">
              <w:rPr>
                <w:rFonts w:eastAsia="Calibri" w:cs="Arial"/>
                <w:szCs w:val="22"/>
                <w:lang w:val="es-MX" w:eastAsia="en-US"/>
              </w:rPr>
              <w:t>Establécese</w:t>
            </w:r>
            <w:proofErr w:type="spellEnd"/>
            <w:r w:rsidRPr="00A147CE">
              <w:rPr>
                <w:rFonts w:eastAsia="Calibri" w:cs="Arial"/>
                <w:szCs w:val="22"/>
                <w:lang w:val="es-MX" w:eastAsia="en-US"/>
              </w:rPr>
              <w:t xml:space="preserve"> un retiro único y extraordinario de fondos previsionales en las condiciones que indica: </w:t>
            </w:r>
          </w:p>
          <w:p w14:paraId="72B92EBA" w14:textId="77777777" w:rsidR="00BF0CA8" w:rsidRPr="00A147CE" w:rsidRDefault="00BF0CA8">
            <w:pPr>
              <w:rPr>
                <w:szCs w:val="22"/>
              </w:rPr>
            </w:pPr>
          </w:p>
        </w:tc>
        <w:tc>
          <w:tcPr>
            <w:tcW w:w="1667" w:type="pct"/>
          </w:tcPr>
          <w:p w14:paraId="1C4906FB" w14:textId="77777777" w:rsidR="00BF0CA8" w:rsidRDefault="00BF0CA8" w:rsidP="00BF0CA8">
            <w:pPr>
              <w:widowControl w:val="0"/>
              <w:tabs>
                <w:tab w:val="clear" w:pos="2835"/>
              </w:tabs>
              <w:jc w:val="center"/>
              <w:rPr>
                <w:rFonts w:cs="Arial"/>
                <w:szCs w:val="22"/>
                <w:lang w:val="es-ES_tradnl"/>
              </w:rPr>
            </w:pPr>
          </w:p>
          <w:p w14:paraId="327FED66" w14:textId="77777777" w:rsidR="00BF0CA8" w:rsidRPr="00BF0CA8" w:rsidRDefault="00BF0CA8" w:rsidP="00BF0CA8">
            <w:pPr>
              <w:widowControl w:val="0"/>
              <w:tabs>
                <w:tab w:val="clear" w:pos="2835"/>
              </w:tabs>
              <w:jc w:val="center"/>
              <w:rPr>
                <w:rFonts w:cs="Arial"/>
                <w:szCs w:val="22"/>
                <w:lang w:val="es-ES_tradnl"/>
              </w:rPr>
            </w:pPr>
            <w:r w:rsidRPr="00BF0CA8">
              <w:rPr>
                <w:rFonts w:cs="Arial"/>
                <w:szCs w:val="22"/>
                <w:lang w:val="es-ES_tradnl"/>
              </w:rPr>
              <w:t>PROYECTO DE LEY</w:t>
            </w:r>
          </w:p>
          <w:p w14:paraId="70C322F1" w14:textId="77777777" w:rsidR="00BF0CA8" w:rsidRPr="00BF0CA8" w:rsidRDefault="00BF0CA8" w:rsidP="00BF0CA8">
            <w:pPr>
              <w:widowControl w:val="0"/>
              <w:tabs>
                <w:tab w:val="clear" w:pos="2835"/>
              </w:tabs>
              <w:rPr>
                <w:rFonts w:cs="Arial"/>
                <w:szCs w:val="22"/>
                <w:lang w:val="es-ES_tradnl"/>
              </w:rPr>
            </w:pPr>
          </w:p>
          <w:p w14:paraId="09205CEF" w14:textId="77777777" w:rsidR="00BF0CA8" w:rsidRPr="00BF0CA8" w:rsidRDefault="00BF0CA8" w:rsidP="00BF0CA8">
            <w:pPr>
              <w:widowControl w:val="0"/>
              <w:tabs>
                <w:tab w:val="clear" w:pos="2835"/>
              </w:tabs>
              <w:rPr>
                <w:rFonts w:cs="Arial"/>
                <w:szCs w:val="22"/>
                <w:lang w:val="es-MX"/>
              </w:rPr>
            </w:pPr>
            <w:r w:rsidRPr="00BF0CA8">
              <w:rPr>
                <w:rFonts w:cs="Arial"/>
                <w:szCs w:val="22"/>
                <w:lang w:val="es-MX"/>
              </w:rPr>
              <w:t xml:space="preserve">“Artículo único.- </w:t>
            </w:r>
            <w:proofErr w:type="spellStart"/>
            <w:r w:rsidRPr="00BF0CA8">
              <w:rPr>
                <w:rFonts w:cs="Arial"/>
                <w:szCs w:val="22"/>
                <w:lang w:val="es-MX"/>
              </w:rPr>
              <w:t>Establécese</w:t>
            </w:r>
            <w:proofErr w:type="spellEnd"/>
            <w:r w:rsidRPr="00BF0CA8">
              <w:rPr>
                <w:rFonts w:cs="Arial"/>
                <w:szCs w:val="22"/>
                <w:lang w:val="es-MX"/>
              </w:rPr>
              <w:t xml:space="preserve"> un retiro único y extraordinario de fondos previsionales en las condiciones que indica:</w:t>
            </w:r>
          </w:p>
          <w:p w14:paraId="6E8467F9" w14:textId="77777777" w:rsidR="00BF0CA8" w:rsidRPr="00BF0CA8" w:rsidRDefault="00BF0CA8" w:rsidP="00BF0CA8">
            <w:pPr>
              <w:widowControl w:val="0"/>
              <w:jc w:val="center"/>
              <w:rPr>
                <w:b/>
                <w:szCs w:val="22"/>
              </w:rPr>
            </w:pPr>
          </w:p>
        </w:tc>
      </w:tr>
      <w:tr w:rsidR="00BF0CA8" w:rsidRPr="00CC4260" w14:paraId="7BB56B55" w14:textId="6895BE0E" w:rsidTr="00BF0CA8">
        <w:trPr>
          <w:jc w:val="center"/>
        </w:trPr>
        <w:tc>
          <w:tcPr>
            <w:tcW w:w="1667" w:type="pct"/>
          </w:tcPr>
          <w:p w14:paraId="2A977CE0" w14:textId="77777777" w:rsidR="00BF0CA8" w:rsidRPr="00A147CE" w:rsidRDefault="00BF0CA8">
            <w:pPr>
              <w:rPr>
                <w:b/>
                <w:szCs w:val="22"/>
              </w:rPr>
            </w:pPr>
          </w:p>
        </w:tc>
        <w:tc>
          <w:tcPr>
            <w:tcW w:w="1667" w:type="pct"/>
          </w:tcPr>
          <w:p w14:paraId="26AFD46D" w14:textId="77777777" w:rsidR="00BF0CA8" w:rsidRPr="00A147CE" w:rsidRDefault="00BF0CA8" w:rsidP="00CC4260">
            <w:pPr>
              <w:widowControl w:val="0"/>
              <w:tabs>
                <w:tab w:val="clear" w:pos="2835"/>
              </w:tabs>
              <w:rPr>
                <w:rFonts w:eastAsia="Calibri" w:cs="Arial"/>
                <w:szCs w:val="22"/>
                <w:lang w:val="es-CL" w:eastAsia="en-US"/>
              </w:rPr>
            </w:pPr>
            <w:r w:rsidRPr="00814258">
              <w:rPr>
                <w:rFonts w:eastAsia="Calibri" w:cs="Arial"/>
                <w:szCs w:val="22"/>
                <w:lang w:val="es-CL" w:eastAsia="en-US"/>
              </w:rPr>
              <w:t>“Artículo 1º.-</w:t>
            </w:r>
            <w:r w:rsidRPr="00A147CE">
              <w:rPr>
                <w:rFonts w:eastAsia="Calibri" w:cs="Arial"/>
                <w:szCs w:val="22"/>
                <w:lang w:val="es-CL" w:eastAsia="en-US"/>
              </w:rPr>
              <w:t xml:space="preserve"> Excepcionalmente, y en el contexto de la crisis sanitaria producida con ocasión del COVID-19, </w:t>
            </w:r>
            <w:proofErr w:type="spellStart"/>
            <w:r w:rsidRPr="00A147CE">
              <w:rPr>
                <w:rFonts w:eastAsia="Calibri" w:cs="Arial"/>
                <w:szCs w:val="22"/>
                <w:lang w:val="es-CL" w:eastAsia="en-US"/>
              </w:rPr>
              <w:t>autorízase</w:t>
            </w:r>
            <w:proofErr w:type="spellEnd"/>
            <w:r w:rsidRPr="00A147CE">
              <w:rPr>
                <w:rFonts w:eastAsia="Calibri" w:cs="Arial"/>
                <w:szCs w:val="22"/>
                <w:lang w:val="es-CL" w:eastAsia="en-US"/>
              </w:rPr>
              <w:t xml:space="preserve"> a los afiliados activos del sistema privado de pensiones regido por el decreto ley N° 3.500</w:t>
            </w:r>
            <w:r w:rsidRPr="00A147CE">
              <w:rPr>
                <w:rStyle w:val="Refdenotaalpie"/>
                <w:rFonts w:eastAsia="Calibri" w:cs="Arial"/>
                <w:szCs w:val="22"/>
                <w:lang w:val="es-CL" w:eastAsia="en-US"/>
              </w:rPr>
              <w:footnoteReference w:id="1"/>
            </w:r>
            <w:r w:rsidRPr="00A147CE">
              <w:rPr>
                <w:rFonts w:eastAsia="Calibri" w:cs="Arial"/>
                <w:szCs w:val="22"/>
                <w:lang w:val="es-CL" w:eastAsia="en-US"/>
              </w:rPr>
              <w:t xml:space="preserve">, de 1980, a realizar de forma voluntaria un retiro por hasta el 10 por ciento de los fondos acumulados en su cuenta de capitalización individual de cotizaciones obligatorias. </w:t>
            </w:r>
            <w:r w:rsidRPr="001B7AF3">
              <w:rPr>
                <w:rFonts w:eastAsia="Calibri" w:cs="Arial"/>
                <w:szCs w:val="22"/>
                <w:u w:val="single"/>
                <w:lang w:val="es-CL" w:eastAsia="en-US"/>
              </w:rPr>
              <w:t xml:space="preserve">En cualquier caso, dicho retiro no podrá exceder de </w:t>
            </w:r>
            <w:r w:rsidRPr="001B7AF3">
              <w:rPr>
                <w:rFonts w:eastAsia="Calibri" w:cs="Arial"/>
                <w:b/>
                <w:szCs w:val="22"/>
                <w:u w:val="single"/>
                <w:lang w:val="es-CL" w:eastAsia="en-US"/>
              </w:rPr>
              <w:t>100 Unidades de Fomento</w:t>
            </w:r>
            <w:r w:rsidRPr="001B7AF3">
              <w:rPr>
                <w:rFonts w:eastAsia="Calibri" w:cs="Arial"/>
                <w:szCs w:val="22"/>
                <w:u w:val="single"/>
                <w:lang w:val="es-CL" w:eastAsia="en-US"/>
              </w:rPr>
              <w:t>, ni ser inferior a 35 Unidades de Fomento</w:t>
            </w:r>
            <w:r w:rsidRPr="00A147CE">
              <w:rPr>
                <w:rFonts w:eastAsia="Calibri" w:cs="Arial"/>
                <w:szCs w:val="22"/>
                <w:lang w:val="es-CL" w:eastAsia="en-US"/>
              </w:rPr>
              <w:t xml:space="preserve">, en caso de que los saldos acumulados en la cuenta así lo permitan. En el caso de que los fondos acumulados en su cuenta de capitalización individual sean inferiores a los referidos valores, el afiliado podrá retirar la totalidad de los fondos acumulados en dicha cuenta. </w:t>
            </w:r>
          </w:p>
          <w:p w14:paraId="42752760" w14:textId="77777777" w:rsidR="00BF0CA8" w:rsidRDefault="00BF0CA8" w:rsidP="00CC4260">
            <w:pPr>
              <w:widowControl w:val="0"/>
              <w:tabs>
                <w:tab w:val="clear" w:pos="2835"/>
              </w:tabs>
              <w:rPr>
                <w:rFonts w:eastAsia="Calibri" w:cs="Arial"/>
                <w:szCs w:val="22"/>
                <w:lang w:val="es-CL" w:eastAsia="en-US"/>
              </w:rPr>
            </w:pPr>
          </w:p>
          <w:p w14:paraId="67B08A25" w14:textId="77777777" w:rsidR="0079234C" w:rsidRDefault="0079234C" w:rsidP="000C1690">
            <w:pPr>
              <w:widowControl w:val="0"/>
              <w:tabs>
                <w:tab w:val="clear" w:pos="2835"/>
              </w:tabs>
              <w:rPr>
                <w:rFonts w:eastAsia="Calibri" w:cs="Arial"/>
                <w:szCs w:val="22"/>
                <w:lang w:val="es-CL" w:eastAsia="en-US"/>
              </w:rPr>
            </w:pPr>
          </w:p>
          <w:p w14:paraId="74333550" w14:textId="77777777" w:rsidR="00BF0CA8" w:rsidRPr="00A147CE" w:rsidRDefault="00BF0CA8" w:rsidP="000C1690">
            <w:pPr>
              <w:widowControl w:val="0"/>
              <w:tabs>
                <w:tab w:val="clear" w:pos="2835"/>
              </w:tabs>
              <w:rPr>
                <w:b/>
                <w:szCs w:val="22"/>
              </w:rPr>
            </w:pPr>
            <w:r w:rsidRPr="00A147CE">
              <w:rPr>
                <w:rFonts w:eastAsia="Calibri" w:cs="Arial"/>
                <w:szCs w:val="22"/>
                <w:lang w:val="es-CL" w:eastAsia="en-US"/>
              </w:rPr>
              <w:t xml:space="preserve">Con todo, en el caso que el afiliado registre una cuenta de capitalización individual de cotizaciones voluntarias o cuenta de ahorro voluntario en una Administradora de Fondos de Pensiones o en otra entidad autorizada, deberá primeramente retirar los fondos ahorrados en estos instrumentos y, una vez estos agotados, la diferencia que sea necesaria para completar el monto </w:t>
            </w:r>
            <w:r w:rsidRPr="00A147CE">
              <w:rPr>
                <w:rFonts w:eastAsia="Calibri" w:cs="Arial"/>
                <w:szCs w:val="22"/>
                <w:lang w:val="es-CL" w:eastAsia="en-US"/>
              </w:rPr>
              <w:lastRenderedPageBreak/>
              <w:t>del retiro autorizado por esta ley.</w:t>
            </w:r>
          </w:p>
        </w:tc>
        <w:tc>
          <w:tcPr>
            <w:tcW w:w="1667" w:type="pct"/>
          </w:tcPr>
          <w:p w14:paraId="74D71FED" w14:textId="77777777" w:rsidR="00BF0CA8" w:rsidRPr="00BF0CA8" w:rsidRDefault="00BF0CA8" w:rsidP="00BF0CA8">
            <w:pPr>
              <w:tabs>
                <w:tab w:val="clear" w:pos="2835"/>
              </w:tabs>
              <w:rPr>
                <w:rFonts w:cs="Arial"/>
                <w:szCs w:val="22"/>
                <w:lang w:val="es-MX"/>
              </w:rPr>
            </w:pPr>
            <w:r w:rsidRPr="00BF0CA8">
              <w:rPr>
                <w:rFonts w:cs="Arial"/>
                <w:szCs w:val="22"/>
                <w:lang w:val="es-MX"/>
              </w:rPr>
              <w:lastRenderedPageBreak/>
              <w:t xml:space="preserve">“Artículo 1º.- Excepcionalmente, y en el contexto de la crisis sanitaria producida con ocasión del COVID-19, </w:t>
            </w:r>
            <w:proofErr w:type="spellStart"/>
            <w:r w:rsidRPr="00BF0CA8">
              <w:rPr>
                <w:rFonts w:cs="Arial"/>
                <w:szCs w:val="22"/>
                <w:lang w:val="es-MX"/>
              </w:rPr>
              <w:t>autorízase</w:t>
            </w:r>
            <w:proofErr w:type="spellEnd"/>
            <w:r w:rsidRPr="00BF0CA8">
              <w:rPr>
                <w:rFonts w:cs="Arial"/>
                <w:szCs w:val="22"/>
                <w:lang w:val="es-MX"/>
              </w:rPr>
              <w:t xml:space="preserve"> a los afiliados del sistema privado de pensiones regido por el decreto ley N° 3.500, de 1980, a realizar de forma voluntaria un retiro por hasta el 10 por ciento de los fondos acumulados en su cuenta de capitalización individual de cotizaciones obligatorias. En cualquier caso, dicho retiro no podrá exceder de 150 Unidades de Fomento, ni ser inferior a 35 Unidades de Fomento, en caso de que los saldos acumulados en la cuenta así lo permitan. En el caso de que los fondos acumulados en su cuenta de capitalización individual sean inferiores a 35 Unidades de Fomento, el afiliado podrá retirar la totalidad de los fondos acumulados en dicha cuenta.</w:t>
            </w:r>
          </w:p>
          <w:p w14:paraId="7BF0C426" w14:textId="77777777" w:rsidR="00BF0CA8" w:rsidRPr="00BF0CA8" w:rsidRDefault="00BF0CA8" w:rsidP="00BF0CA8">
            <w:pPr>
              <w:tabs>
                <w:tab w:val="clear" w:pos="2835"/>
              </w:tabs>
              <w:rPr>
                <w:rFonts w:cs="Arial"/>
                <w:szCs w:val="22"/>
                <w:lang w:val="es-MX"/>
              </w:rPr>
            </w:pPr>
          </w:p>
          <w:p w14:paraId="53A91001" w14:textId="77777777" w:rsidR="00BF0CA8" w:rsidRDefault="00BF0CA8" w:rsidP="00CC4260">
            <w:pPr>
              <w:widowControl w:val="0"/>
              <w:tabs>
                <w:tab w:val="clear" w:pos="2835"/>
              </w:tabs>
              <w:rPr>
                <w:rFonts w:eastAsia="Calibri" w:cs="Arial"/>
                <w:b/>
                <w:bCs/>
                <w:szCs w:val="22"/>
                <w:lang w:val="es-CL" w:eastAsia="en-US"/>
              </w:rPr>
            </w:pPr>
          </w:p>
        </w:tc>
      </w:tr>
      <w:tr w:rsidR="00BF0CA8" w14:paraId="6233090A" w14:textId="17D7C5F1" w:rsidTr="00BF0CA8">
        <w:trPr>
          <w:jc w:val="center"/>
        </w:trPr>
        <w:tc>
          <w:tcPr>
            <w:tcW w:w="1667" w:type="pct"/>
          </w:tcPr>
          <w:p w14:paraId="79E3A3B8" w14:textId="77777777" w:rsidR="00BF0CA8" w:rsidRPr="00B051C3" w:rsidRDefault="00BF0CA8">
            <w:pPr>
              <w:rPr>
                <w:rFonts w:cs="Arial"/>
                <w:szCs w:val="22"/>
              </w:rPr>
            </w:pPr>
          </w:p>
        </w:tc>
        <w:tc>
          <w:tcPr>
            <w:tcW w:w="1667" w:type="pct"/>
          </w:tcPr>
          <w:p w14:paraId="2D0CD630" w14:textId="77777777" w:rsidR="00BF0CA8" w:rsidRDefault="00BF0CA8" w:rsidP="00CC4260">
            <w:pPr>
              <w:widowControl w:val="0"/>
              <w:tabs>
                <w:tab w:val="clear" w:pos="2835"/>
              </w:tabs>
              <w:rPr>
                <w:rFonts w:eastAsia="Calibri" w:cs="Arial"/>
                <w:b/>
                <w:bCs/>
                <w:szCs w:val="22"/>
                <w:lang w:val="es-CL" w:eastAsia="en-US"/>
              </w:rPr>
            </w:pPr>
          </w:p>
          <w:p w14:paraId="6081AB27"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b/>
                <w:bCs/>
                <w:szCs w:val="22"/>
                <w:lang w:val="es-CL" w:eastAsia="en-US"/>
              </w:rPr>
              <w:t>Artículo 2º.-</w:t>
            </w:r>
            <w:r w:rsidRPr="00A147CE">
              <w:rPr>
                <w:rFonts w:eastAsia="Calibri" w:cs="Arial"/>
                <w:szCs w:val="22"/>
                <w:lang w:val="es-CL" w:eastAsia="en-US"/>
              </w:rPr>
              <w:t xml:space="preserve"> Estarán impedidos de solicitar el retiro a que se refiere el artículo 1º de la presente ley, las personas que se encuentren en alguna de las siguientes situaciones:</w:t>
            </w:r>
          </w:p>
          <w:p w14:paraId="698FEE74" w14:textId="77777777" w:rsidR="00BF0CA8" w:rsidRPr="00A147CE" w:rsidRDefault="00BF0CA8" w:rsidP="00CC4260">
            <w:pPr>
              <w:widowControl w:val="0"/>
              <w:tabs>
                <w:tab w:val="clear" w:pos="2835"/>
                <w:tab w:val="left" w:pos="1008"/>
              </w:tabs>
              <w:rPr>
                <w:rFonts w:eastAsia="Calibri" w:cs="Arial"/>
                <w:szCs w:val="22"/>
                <w:lang w:val="es-CL" w:eastAsia="en-US"/>
              </w:rPr>
            </w:pPr>
          </w:p>
          <w:p w14:paraId="51BBB893"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 xml:space="preserve">a) Que, a la fecha de la solicitud de retiro registren </w:t>
            </w:r>
            <w:bookmarkStart w:id="0" w:name="_Hlk56610117"/>
            <w:r w:rsidRPr="00A147CE">
              <w:rPr>
                <w:rFonts w:eastAsia="Calibri" w:cs="Arial"/>
                <w:szCs w:val="22"/>
                <w:lang w:val="es-CL" w:eastAsia="en-US"/>
              </w:rPr>
              <w:t>cotizaciones previsionales declaradas en el mes inmediatamente anterior a la solicitud, y cuyas remuneraciones sean iguales o superiores a 100 Unidades de Fomento.</w:t>
            </w:r>
            <w:bookmarkEnd w:id="0"/>
          </w:p>
          <w:p w14:paraId="29A4B07A" w14:textId="77777777" w:rsidR="00BF0CA8" w:rsidRPr="00A147CE" w:rsidRDefault="00BF0CA8" w:rsidP="00CC4260">
            <w:pPr>
              <w:widowControl w:val="0"/>
              <w:tabs>
                <w:tab w:val="clear" w:pos="2835"/>
                <w:tab w:val="left" w:pos="3402"/>
              </w:tabs>
              <w:rPr>
                <w:rFonts w:eastAsia="Calibri" w:cs="Arial"/>
                <w:szCs w:val="22"/>
                <w:lang w:val="es-CL" w:eastAsia="en-US"/>
              </w:rPr>
            </w:pPr>
          </w:p>
          <w:p w14:paraId="2E130054"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b) Que sus rentas o remuneraciones se regulen de conformidad a lo dispuesto en el artículo 38</w:t>
            </w:r>
            <w:r>
              <w:rPr>
                <w:rStyle w:val="Refdenotaalpie"/>
                <w:rFonts w:eastAsia="Calibri" w:cs="Arial"/>
                <w:szCs w:val="22"/>
                <w:lang w:val="es-CL" w:eastAsia="en-US"/>
              </w:rPr>
              <w:footnoteReference w:id="2"/>
            </w:r>
            <w:r w:rsidRPr="00A147CE">
              <w:rPr>
                <w:rFonts w:eastAsia="Calibri" w:cs="Arial"/>
                <w:szCs w:val="22"/>
                <w:lang w:val="es-CL" w:eastAsia="en-US"/>
              </w:rPr>
              <w:t xml:space="preserve"> bis de la Constitución Política de la República.</w:t>
            </w:r>
          </w:p>
          <w:p w14:paraId="2A005F59" w14:textId="77777777" w:rsidR="00BF0CA8" w:rsidRPr="00A147CE" w:rsidRDefault="00BF0CA8" w:rsidP="00CC4260">
            <w:pPr>
              <w:widowControl w:val="0"/>
              <w:tabs>
                <w:tab w:val="clear" w:pos="2835"/>
                <w:tab w:val="left" w:pos="3402"/>
              </w:tabs>
              <w:rPr>
                <w:rFonts w:eastAsia="Calibri" w:cs="Arial"/>
                <w:szCs w:val="22"/>
                <w:lang w:val="es-CL" w:eastAsia="en-US"/>
              </w:rPr>
            </w:pPr>
          </w:p>
          <w:p w14:paraId="6B56A216"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 xml:space="preserve">Para efectos de verificar lo anterior, al momento de realizar la solicitud, el afiliado deberá presentar ante la respectiva Administradora de Fondos de Pensiones una declaración jurada simple en la cual dé cuenta que no se encuentra en ninguna de las situaciones descritas en los literales del inciso precedente. </w:t>
            </w:r>
          </w:p>
          <w:p w14:paraId="75950E24" w14:textId="77777777" w:rsidR="00BF0CA8" w:rsidRPr="00A147CE" w:rsidRDefault="00BF0CA8" w:rsidP="00CC4260">
            <w:pPr>
              <w:widowControl w:val="0"/>
              <w:tabs>
                <w:tab w:val="clear" w:pos="2835"/>
                <w:tab w:val="left" w:pos="3402"/>
              </w:tabs>
              <w:rPr>
                <w:rFonts w:eastAsia="Calibri" w:cs="Arial"/>
                <w:szCs w:val="22"/>
                <w:lang w:val="es-CL" w:eastAsia="en-US"/>
              </w:rPr>
            </w:pPr>
          </w:p>
          <w:p w14:paraId="724C677F"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Con todo, la Administradora de Fondos de Pensiones respectiva deberá verificar la efectividad de lo declarado de acuerdo a las instrucciones que dicte al efecto la Superintendencia de Pensiones y en relación a la información a la que tenga acceso de conformidad a la normativa vigente. Para efectos de verificar el cumplimiento de los requisitos, podrá solicitar información o confirmación al Servicio de Impuestos Internos, a la Superintendencia de Pensiones, la Comisión para el Mercado Financiero, y a otras entidades u organismos públicos con competencia en la materia, debiendo resguardarse en todo momento la normativa de protección de datos personales aplicable.</w:t>
            </w:r>
          </w:p>
          <w:p w14:paraId="782B6D0B" w14:textId="77777777" w:rsidR="00BF0CA8" w:rsidRPr="00A147CE" w:rsidRDefault="00BF0CA8">
            <w:pPr>
              <w:rPr>
                <w:szCs w:val="22"/>
              </w:rPr>
            </w:pPr>
          </w:p>
        </w:tc>
        <w:tc>
          <w:tcPr>
            <w:tcW w:w="1667" w:type="pct"/>
          </w:tcPr>
          <w:p w14:paraId="32152591" w14:textId="77777777" w:rsidR="00BF0CA8" w:rsidRDefault="00BF0CA8" w:rsidP="00BF0CA8">
            <w:pPr>
              <w:tabs>
                <w:tab w:val="clear" w:pos="2835"/>
              </w:tabs>
              <w:rPr>
                <w:rFonts w:cs="Arial"/>
                <w:szCs w:val="22"/>
                <w:lang w:val="es-MX"/>
              </w:rPr>
            </w:pPr>
          </w:p>
          <w:p w14:paraId="4CB1965A" w14:textId="77777777" w:rsidR="00BF0CA8" w:rsidRPr="00BF0CA8" w:rsidRDefault="00BF0CA8" w:rsidP="00BF0CA8">
            <w:pPr>
              <w:tabs>
                <w:tab w:val="clear" w:pos="2835"/>
              </w:tabs>
              <w:rPr>
                <w:rFonts w:cs="Arial"/>
                <w:szCs w:val="22"/>
                <w:lang w:val="es-MX"/>
              </w:rPr>
            </w:pPr>
            <w:r w:rsidRPr="00BF0CA8">
              <w:rPr>
                <w:rFonts w:cs="Arial"/>
                <w:szCs w:val="22"/>
                <w:lang w:val="es-MX"/>
              </w:rPr>
              <w:t>Artículo 2º.- Estarán impedidos de solicitar el retiro a que se refiere el artículo 1º de la presente ley las personas cuyas rentas o remuneraciones se regulen de conformidad a lo dispuesto en el artículo 38 bis de la Constitución Política de la República.</w:t>
            </w:r>
          </w:p>
          <w:p w14:paraId="53E1CCBE" w14:textId="77777777" w:rsidR="00BF0CA8" w:rsidRDefault="00BF0CA8" w:rsidP="00BF0CA8">
            <w:pPr>
              <w:tabs>
                <w:tab w:val="clear" w:pos="2835"/>
              </w:tabs>
              <w:rPr>
                <w:rFonts w:cs="Arial"/>
                <w:szCs w:val="22"/>
                <w:lang w:val="es-MX"/>
              </w:rPr>
            </w:pPr>
          </w:p>
          <w:p w14:paraId="704F09B5" w14:textId="77777777" w:rsidR="00BF0CA8" w:rsidRDefault="00BF0CA8" w:rsidP="00BF0CA8">
            <w:pPr>
              <w:tabs>
                <w:tab w:val="clear" w:pos="2835"/>
              </w:tabs>
              <w:rPr>
                <w:rFonts w:cs="Arial"/>
                <w:szCs w:val="22"/>
                <w:lang w:val="es-MX"/>
              </w:rPr>
            </w:pPr>
          </w:p>
          <w:p w14:paraId="23346363" w14:textId="77777777" w:rsidR="00BF0CA8" w:rsidRDefault="00BF0CA8" w:rsidP="00BF0CA8">
            <w:pPr>
              <w:tabs>
                <w:tab w:val="clear" w:pos="2835"/>
              </w:tabs>
              <w:rPr>
                <w:rFonts w:cs="Arial"/>
                <w:szCs w:val="22"/>
                <w:lang w:val="es-MX"/>
              </w:rPr>
            </w:pPr>
          </w:p>
          <w:p w14:paraId="2BD57F8B" w14:textId="77777777" w:rsidR="00BF0CA8" w:rsidRDefault="00BF0CA8" w:rsidP="00BF0CA8">
            <w:pPr>
              <w:tabs>
                <w:tab w:val="clear" w:pos="2835"/>
              </w:tabs>
              <w:rPr>
                <w:rFonts w:cs="Arial"/>
                <w:szCs w:val="22"/>
                <w:lang w:val="es-MX"/>
              </w:rPr>
            </w:pPr>
          </w:p>
          <w:p w14:paraId="388AC246" w14:textId="77777777" w:rsidR="00BF0CA8" w:rsidRDefault="00BF0CA8" w:rsidP="00BF0CA8">
            <w:pPr>
              <w:tabs>
                <w:tab w:val="clear" w:pos="2835"/>
              </w:tabs>
              <w:rPr>
                <w:rFonts w:cs="Arial"/>
                <w:szCs w:val="22"/>
                <w:lang w:val="es-MX"/>
              </w:rPr>
            </w:pPr>
          </w:p>
          <w:p w14:paraId="3E4BDBE9" w14:textId="77777777" w:rsidR="00BF0CA8" w:rsidRDefault="00BF0CA8" w:rsidP="00BF0CA8">
            <w:pPr>
              <w:tabs>
                <w:tab w:val="clear" w:pos="2835"/>
              </w:tabs>
              <w:rPr>
                <w:rFonts w:cs="Arial"/>
                <w:szCs w:val="22"/>
                <w:lang w:val="es-MX"/>
              </w:rPr>
            </w:pPr>
          </w:p>
          <w:p w14:paraId="7F40435F" w14:textId="77777777" w:rsidR="00BF0CA8" w:rsidRDefault="00BF0CA8" w:rsidP="00BF0CA8">
            <w:pPr>
              <w:tabs>
                <w:tab w:val="clear" w:pos="2835"/>
              </w:tabs>
              <w:rPr>
                <w:rFonts w:cs="Arial"/>
                <w:szCs w:val="22"/>
                <w:lang w:val="es-MX"/>
              </w:rPr>
            </w:pPr>
          </w:p>
          <w:p w14:paraId="5F658986" w14:textId="77777777" w:rsidR="00BF0CA8" w:rsidRDefault="00BF0CA8" w:rsidP="00BF0CA8">
            <w:pPr>
              <w:tabs>
                <w:tab w:val="clear" w:pos="2835"/>
              </w:tabs>
              <w:rPr>
                <w:rFonts w:cs="Arial"/>
                <w:szCs w:val="22"/>
                <w:lang w:val="es-MX"/>
              </w:rPr>
            </w:pPr>
          </w:p>
          <w:p w14:paraId="5559B6D1" w14:textId="77777777" w:rsidR="00BF0CA8" w:rsidRDefault="00BF0CA8" w:rsidP="00BF0CA8">
            <w:pPr>
              <w:tabs>
                <w:tab w:val="clear" w:pos="2835"/>
              </w:tabs>
              <w:rPr>
                <w:rFonts w:cs="Arial"/>
                <w:szCs w:val="22"/>
                <w:lang w:val="es-MX"/>
              </w:rPr>
            </w:pPr>
          </w:p>
          <w:p w14:paraId="6DC7414C" w14:textId="77777777" w:rsidR="00BF0CA8" w:rsidRDefault="00BF0CA8" w:rsidP="00BF0CA8">
            <w:pPr>
              <w:tabs>
                <w:tab w:val="clear" w:pos="2835"/>
              </w:tabs>
              <w:rPr>
                <w:rFonts w:cs="Arial"/>
                <w:szCs w:val="22"/>
                <w:lang w:val="es-MX"/>
              </w:rPr>
            </w:pPr>
          </w:p>
          <w:p w14:paraId="18786AE5" w14:textId="77777777" w:rsidR="00BF0CA8" w:rsidRPr="00BF0CA8" w:rsidRDefault="00BF0CA8" w:rsidP="00BF0CA8">
            <w:pPr>
              <w:tabs>
                <w:tab w:val="clear" w:pos="2835"/>
              </w:tabs>
              <w:rPr>
                <w:rFonts w:cs="Arial"/>
                <w:szCs w:val="22"/>
                <w:lang w:val="es-MX"/>
              </w:rPr>
            </w:pPr>
            <w:r w:rsidRPr="00BF0CA8">
              <w:rPr>
                <w:rFonts w:cs="Arial"/>
                <w:szCs w:val="22"/>
                <w:lang w:val="es-MX"/>
              </w:rPr>
              <w:t>Para efectos de verificar lo anterior, al momento de realizar la solicitud, el afiliado deberá presentar ante la respectiva Administradora de Fondos de Pensiones una declaración jurada simple en la cual dé cuenta que no se encuentra en la situación descrita en el inciso precedente.</w:t>
            </w:r>
          </w:p>
          <w:p w14:paraId="5EA98CCF" w14:textId="77777777" w:rsidR="00BF0CA8" w:rsidRPr="00BF0CA8" w:rsidRDefault="00BF0CA8" w:rsidP="00BF0CA8">
            <w:pPr>
              <w:tabs>
                <w:tab w:val="clear" w:pos="2835"/>
              </w:tabs>
              <w:rPr>
                <w:rFonts w:cs="Arial"/>
                <w:szCs w:val="22"/>
                <w:lang w:val="es-MX"/>
              </w:rPr>
            </w:pPr>
          </w:p>
          <w:p w14:paraId="298BD531" w14:textId="77777777" w:rsidR="00BF0CA8" w:rsidRPr="00BF0CA8" w:rsidRDefault="00BF0CA8" w:rsidP="00BF0CA8">
            <w:pPr>
              <w:tabs>
                <w:tab w:val="clear" w:pos="2835"/>
              </w:tabs>
              <w:rPr>
                <w:rFonts w:cs="Arial"/>
                <w:szCs w:val="22"/>
                <w:lang w:val="es-MX"/>
              </w:rPr>
            </w:pPr>
            <w:r w:rsidRPr="00BF0CA8">
              <w:rPr>
                <w:rFonts w:cs="Arial"/>
                <w:szCs w:val="22"/>
                <w:lang w:val="es-MX"/>
              </w:rPr>
              <w:t>Con todo, la Administradora de Fondos de Pensiones respectiva deberá verificar la efectividad de lo declarado de acuerdo a las instrucciones que dicte al efecto la Superintendencia de Pensiones y en relación a la información a la que tenga acceso de conformidad a la normativa vigente. Para efectos de verificar el cumplimiento de los requisitos, podrá solicitar información o confirmación al Servicio de Impuestos Internos, a la Superintendencia de Pensiones, la Comisión para el Mercado Financiero, y a otras entidades u organismos públicos con competencia en la materia, debiendo resguardarse en todo momento la normativa de protección de datos personales aplicable.</w:t>
            </w:r>
          </w:p>
          <w:p w14:paraId="4BD15E48" w14:textId="77777777" w:rsidR="00BF0CA8" w:rsidRPr="002475A0" w:rsidRDefault="00BF0CA8" w:rsidP="002475A0">
            <w:pPr>
              <w:rPr>
                <w:rFonts w:eastAsia="Calibri"/>
              </w:rPr>
            </w:pPr>
          </w:p>
        </w:tc>
      </w:tr>
      <w:tr w:rsidR="00BF0CA8" w14:paraId="0DA1ABBD" w14:textId="3A1ABEAF" w:rsidTr="00BF0CA8">
        <w:trPr>
          <w:jc w:val="center"/>
        </w:trPr>
        <w:tc>
          <w:tcPr>
            <w:tcW w:w="1667" w:type="pct"/>
          </w:tcPr>
          <w:p w14:paraId="5AEEC210" w14:textId="77777777" w:rsidR="00BF0CA8" w:rsidRPr="00A147CE" w:rsidRDefault="00BF0CA8">
            <w:pPr>
              <w:rPr>
                <w:szCs w:val="22"/>
              </w:rPr>
            </w:pPr>
          </w:p>
        </w:tc>
        <w:tc>
          <w:tcPr>
            <w:tcW w:w="1667" w:type="pct"/>
          </w:tcPr>
          <w:p w14:paraId="1C1BC8F2"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b/>
                <w:bCs/>
                <w:szCs w:val="22"/>
                <w:lang w:val="es-CL" w:eastAsia="en-US"/>
              </w:rPr>
              <w:t xml:space="preserve">Artículo 3º.- </w:t>
            </w:r>
            <w:r w:rsidRPr="00A147CE">
              <w:rPr>
                <w:rFonts w:eastAsia="Calibri" w:cs="Arial"/>
                <w:szCs w:val="22"/>
                <w:lang w:val="es-CL" w:eastAsia="en-US"/>
              </w:rPr>
              <w:t xml:space="preserve">Los fondos retirados se considerarán </w:t>
            </w:r>
            <w:bookmarkStart w:id="1" w:name="_Hlk56602771"/>
            <w:r w:rsidRPr="00A147CE">
              <w:rPr>
                <w:rFonts w:eastAsia="Calibri" w:cs="Arial"/>
                <w:szCs w:val="22"/>
                <w:lang w:val="es-CL" w:eastAsia="en-US"/>
              </w:rPr>
              <w:t>extraordinariamente intangibles para todo efecto legal, y no serán objeto de retención, descuento, compensación legal o contractual, embargo o cualquier forma de afectación judicial o administrativa, ni podrán rebajarse del monto ya decretado de la compensación económica en el juicio de divorcio, sin perjuicio de la retención, suspensión y embargabilidad por deudas originadas por obligaciones alimentarias de conformidad a lo previsto en la ley N° 21.254</w:t>
            </w:r>
            <w:r w:rsidRPr="00A147CE">
              <w:rPr>
                <w:rStyle w:val="Refdenotaalpie"/>
                <w:rFonts w:eastAsia="Calibri" w:cs="Arial"/>
                <w:szCs w:val="22"/>
                <w:lang w:val="es-CL" w:eastAsia="en-US"/>
              </w:rPr>
              <w:footnoteReference w:id="3"/>
            </w:r>
            <w:r w:rsidRPr="00A147CE">
              <w:rPr>
                <w:rFonts w:eastAsia="Calibri" w:cs="Arial"/>
                <w:szCs w:val="22"/>
                <w:lang w:val="es-CL" w:eastAsia="en-US"/>
              </w:rPr>
              <w:t xml:space="preserve">. </w:t>
            </w:r>
            <w:bookmarkEnd w:id="1"/>
          </w:p>
          <w:p w14:paraId="70F8AC46" w14:textId="77777777" w:rsidR="00BF0CA8" w:rsidRPr="00A147CE" w:rsidRDefault="00BF0CA8" w:rsidP="00CC4260">
            <w:pPr>
              <w:widowControl w:val="0"/>
              <w:tabs>
                <w:tab w:val="clear" w:pos="2835"/>
              </w:tabs>
              <w:rPr>
                <w:rFonts w:eastAsia="Calibri" w:cs="Arial"/>
                <w:b/>
                <w:bCs/>
                <w:szCs w:val="22"/>
                <w:lang w:val="es-CL" w:eastAsia="en-US"/>
              </w:rPr>
            </w:pPr>
          </w:p>
        </w:tc>
        <w:tc>
          <w:tcPr>
            <w:tcW w:w="1667" w:type="pct"/>
          </w:tcPr>
          <w:p w14:paraId="1FFF96A1" w14:textId="77777777" w:rsidR="00BF0CA8" w:rsidRPr="00BF0CA8" w:rsidRDefault="00BF0CA8" w:rsidP="00BF0CA8">
            <w:pPr>
              <w:tabs>
                <w:tab w:val="clear" w:pos="2835"/>
              </w:tabs>
              <w:rPr>
                <w:rFonts w:cs="Arial"/>
                <w:szCs w:val="22"/>
                <w:lang w:val="es-MX"/>
              </w:rPr>
            </w:pPr>
            <w:r w:rsidRPr="00BF0CA8">
              <w:rPr>
                <w:rFonts w:cs="Arial"/>
                <w:szCs w:val="22"/>
                <w:lang w:val="es-MX"/>
              </w:rPr>
              <w:t>Artículo 3º.- Los fondos retirados se considerarán extraordinariamente intangibles para todo efecto legal, y no serán objeto de retención, descuento, compensación legal o contractual, embargo o cualquier forma de afectación judicial o administrativa, ni podrán rebajarse del monto ya decretado de la compensación económica en el juicio de divorcio, sin perjuicio de la retención, suspensión y embargabilidad por deudas originadas por obligaciones alimentarias de conformidad a lo previsto en la ley N° 21.254.</w:t>
            </w:r>
          </w:p>
          <w:p w14:paraId="2F1200D7" w14:textId="77777777" w:rsidR="00BF0CA8" w:rsidRDefault="00BF0CA8" w:rsidP="00CC4260">
            <w:pPr>
              <w:widowControl w:val="0"/>
              <w:tabs>
                <w:tab w:val="clear" w:pos="2835"/>
                <w:tab w:val="left" w:pos="3402"/>
              </w:tabs>
              <w:rPr>
                <w:rFonts w:eastAsia="Calibri" w:cs="Arial"/>
                <w:b/>
                <w:bCs/>
                <w:szCs w:val="22"/>
                <w:lang w:val="es-CL" w:eastAsia="en-US"/>
              </w:rPr>
            </w:pPr>
          </w:p>
        </w:tc>
      </w:tr>
      <w:tr w:rsidR="00BF0CA8" w14:paraId="4A14E999" w14:textId="60B6F399" w:rsidTr="00BF0CA8">
        <w:trPr>
          <w:jc w:val="center"/>
        </w:trPr>
        <w:tc>
          <w:tcPr>
            <w:tcW w:w="1667" w:type="pct"/>
          </w:tcPr>
          <w:p w14:paraId="0E461B2C" w14:textId="77777777" w:rsidR="00BF0CA8" w:rsidRPr="00A147CE" w:rsidRDefault="00BF0CA8">
            <w:pPr>
              <w:rPr>
                <w:szCs w:val="22"/>
              </w:rPr>
            </w:pPr>
          </w:p>
        </w:tc>
        <w:tc>
          <w:tcPr>
            <w:tcW w:w="1667" w:type="pct"/>
          </w:tcPr>
          <w:p w14:paraId="1B3E27CC" w14:textId="2D3EF9CF" w:rsidR="00BF0CA8" w:rsidRPr="00A147CE" w:rsidRDefault="00BF0CA8" w:rsidP="00434CF5">
            <w:pPr>
              <w:widowControl w:val="0"/>
              <w:tabs>
                <w:tab w:val="clear" w:pos="2835"/>
                <w:tab w:val="left" w:pos="3402"/>
              </w:tabs>
              <w:rPr>
                <w:rFonts w:eastAsia="Calibri" w:cs="Arial"/>
                <w:b/>
                <w:bCs/>
                <w:szCs w:val="22"/>
                <w:lang w:val="es-CL" w:eastAsia="en-US"/>
              </w:rPr>
            </w:pPr>
            <w:r w:rsidRPr="00A147CE">
              <w:rPr>
                <w:rFonts w:eastAsia="Calibri" w:cs="Arial"/>
                <w:b/>
                <w:bCs/>
                <w:szCs w:val="22"/>
                <w:lang w:val="es-CL" w:eastAsia="en-US"/>
              </w:rPr>
              <w:t>Artículo 4º.-</w:t>
            </w:r>
            <w:r w:rsidRPr="00A147CE">
              <w:rPr>
                <w:rFonts w:eastAsia="Calibri" w:cs="Arial"/>
                <w:szCs w:val="22"/>
                <w:lang w:val="es-CL" w:eastAsia="en-US"/>
              </w:rPr>
              <w:t xml:space="preserve"> Los afiliados podrán solicitar el retiro de sus fondos hasta 365 días después de publicada en el Diario Oficial la presente ley.</w:t>
            </w:r>
          </w:p>
        </w:tc>
        <w:tc>
          <w:tcPr>
            <w:tcW w:w="1667" w:type="pct"/>
          </w:tcPr>
          <w:p w14:paraId="1165C8FB" w14:textId="77777777" w:rsidR="00BF0CA8" w:rsidRPr="00BF0CA8" w:rsidRDefault="00BF0CA8" w:rsidP="00BF0CA8">
            <w:pPr>
              <w:tabs>
                <w:tab w:val="clear" w:pos="2835"/>
              </w:tabs>
              <w:rPr>
                <w:rFonts w:cs="Arial"/>
                <w:szCs w:val="22"/>
                <w:lang w:val="es-MX"/>
              </w:rPr>
            </w:pPr>
            <w:r w:rsidRPr="00BF0CA8">
              <w:rPr>
                <w:rFonts w:cs="Arial"/>
                <w:szCs w:val="22"/>
                <w:lang w:val="es-MX"/>
              </w:rPr>
              <w:t>Artículo 4º.- Los afiliados podrán solicitar el retiro de sus fondos hasta 365 días después de publicada en el Diario Oficial la presente ley.</w:t>
            </w:r>
          </w:p>
          <w:p w14:paraId="65AC16F6" w14:textId="77777777" w:rsidR="00BF0CA8" w:rsidRDefault="00BF0CA8" w:rsidP="00CC4260">
            <w:pPr>
              <w:widowControl w:val="0"/>
              <w:tabs>
                <w:tab w:val="clear" w:pos="2835"/>
                <w:tab w:val="left" w:pos="3402"/>
              </w:tabs>
              <w:rPr>
                <w:rFonts w:eastAsia="Calibri" w:cs="Arial"/>
                <w:b/>
                <w:bCs/>
                <w:szCs w:val="22"/>
                <w:lang w:val="es-CL" w:eastAsia="en-US"/>
              </w:rPr>
            </w:pPr>
          </w:p>
        </w:tc>
      </w:tr>
      <w:tr w:rsidR="00BF0CA8" w14:paraId="6B3D8888" w14:textId="15F9C82A" w:rsidTr="00BF0CA8">
        <w:trPr>
          <w:jc w:val="center"/>
        </w:trPr>
        <w:tc>
          <w:tcPr>
            <w:tcW w:w="1667" w:type="pct"/>
          </w:tcPr>
          <w:p w14:paraId="1F526BE6" w14:textId="77777777" w:rsidR="00BF0CA8" w:rsidRPr="00A147CE" w:rsidRDefault="00BF0CA8">
            <w:pPr>
              <w:rPr>
                <w:szCs w:val="22"/>
              </w:rPr>
            </w:pPr>
          </w:p>
        </w:tc>
        <w:tc>
          <w:tcPr>
            <w:tcW w:w="1667" w:type="pct"/>
          </w:tcPr>
          <w:p w14:paraId="443E8470"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b/>
                <w:bCs/>
                <w:szCs w:val="22"/>
                <w:lang w:val="es-CL" w:eastAsia="en-US"/>
              </w:rPr>
              <w:t>Artículo 5º.-</w:t>
            </w:r>
            <w:r w:rsidRPr="00A147CE">
              <w:rPr>
                <w:rFonts w:eastAsia="Calibri" w:cs="Arial"/>
                <w:szCs w:val="22"/>
                <w:lang w:val="es-CL" w:eastAsia="en-US"/>
              </w:rPr>
              <w:t xml:space="preserve"> La solicitud de retiro deberá ser presentada por el afiliado ante la Administradora de Fondos de Pensiones en la que se encuentre afiliado a </w:t>
            </w:r>
            <w:r w:rsidRPr="00A147CE">
              <w:rPr>
                <w:rFonts w:eastAsia="Calibri" w:cs="Arial"/>
                <w:szCs w:val="22"/>
                <w:lang w:val="es-CL" w:eastAsia="en-US"/>
              </w:rPr>
              <w:lastRenderedPageBreak/>
              <w:t xml:space="preserve">la fecha de efectuar la solicitud y deberá hacerse preferentemente por canales digitales. </w:t>
            </w:r>
          </w:p>
          <w:p w14:paraId="2D6B884B" w14:textId="77777777" w:rsidR="00BF0CA8" w:rsidRPr="00A147CE" w:rsidRDefault="00BF0CA8" w:rsidP="00CC4260">
            <w:pPr>
              <w:widowControl w:val="0"/>
              <w:tabs>
                <w:tab w:val="clear" w:pos="2835"/>
                <w:tab w:val="left" w:pos="3402"/>
              </w:tabs>
              <w:rPr>
                <w:rFonts w:eastAsia="Calibri" w:cs="Arial"/>
                <w:szCs w:val="22"/>
                <w:lang w:val="es-CL" w:eastAsia="en-US"/>
              </w:rPr>
            </w:pPr>
          </w:p>
          <w:p w14:paraId="1158634A"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Dichas entidades deberán adoptar medidas para resguardar las condiciones sanitarias en el caso de solicitudes presenciales.</w:t>
            </w:r>
          </w:p>
          <w:p w14:paraId="06E5D0A6" w14:textId="77777777" w:rsidR="00BF0CA8" w:rsidRPr="00A147CE" w:rsidRDefault="00BF0CA8" w:rsidP="00CC4260">
            <w:pPr>
              <w:widowControl w:val="0"/>
              <w:tabs>
                <w:tab w:val="clear" w:pos="2835"/>
              </w:tabs>
              <w:rPr>
                <w:rFonts w:eastAsia="Calibri" w:cs="Arial"/>
                <w:szCs w:val="22"/>
                <w:lang w:val="es-CL" w:eastAsia="en-US"/>
              </w:rPr>
            </w:pPr>
          </w:p>
          <w:p w14:paraId="39821DB6"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 xml:space="preserve">La Administradora de Fondos de Pensiones deberá, al momento de recibir la solicitud o, a más tardar, dentro de tercer día, informar al afiliado sobre el impacto esperado que tendrá en su futura pensión el retiro de los fondos solicitado. Además, se informará una estimación respecto del porcentaje de los fondos totales que corresponden a cotizaciones previsionales y el que corresponde a rentabilidad para un afiliado de sus características, de conformidad a lo que instruya la Superintendencia de Pensiones. Todo lo anterior deberá ser declarado y aceptado como conocido por quien solicita el retiro. La información deberá entregarse en un formato claro, sencillo y, de ser necesario, incorporando elementos gráficos que faciliten la comprensión de la información. </w:t>
            </w:r>
          </w:p>
          <w:p w14:paraId="4FBAABCE" w14:textId="77777777" w:rsidR="00BF0CA8" w:rsidRDefault="00BF0CA8" w:rsidP="00CC4260">
            <w:pPr>
              <w:widowControl w:val="0"/>
              <w:tabs>
                <w:tab w:val="clear" w:pos="2835"/>
              </w:tabs>
              <w:rPr>
                <w:rFonts w:eastAsia="Calibri" w:cs="Arial"/>
                <w:szCs w:val="22"/>
                <w:lang w:val="es-CL" w:eastAsia="en-US"/>
              </w:rPr>
            </w:pPr>
          </w:p>
          <w:p w14:paraId="0BF7FA16"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La entrega de los fondos acumulados y autorizados de retirar se efectuará de la siguiente manera:</w:t>
            </w:r>
          </w:p>
          <w:p w14:paraId="4341D1B1" w14:textId="77777777" w:rsidR="00BF0CA8" w:rsidRPr="00A147CE" w:rsidRDefault="00BF0CA8" w:rsidP="00CC4260">
            <w:pPr>
              <w:widowControl w:val="0"/>
              <w:tabs>
                <w:tab w:val="clear" w:pos="2835"/>
                <w:tab w:val="left" w:pos="3402"/>
              </w:tabs>
              <w:rPr>
                <w:rFonts w:eastAsia="Calibri" w:cs="Arial"/>
                <w:szCs w:val="22"/>
                <w:lang w:val="es-CL" w:eastAsia="en-US"/>
              </w:rPr>
            </w:pPr>
          </w:p>
          <w:p w14:paraId="4F1659E1"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i) El 50 por ciento en un plazo máximo de sesenta días hábiles de presentada la solicitud ante la respectiva Administradora de Fondos de Pensiones a que pertenezca el afiliado.</w:t>
            </w:r>
          </w:p>
          <w:p w14:paraId="2782D9C4" w14:textId="77777777" w:rsidR="00BF0CA8" w:rsidRPr="00A147CE" w:rsidRDefault="00BF0CA8" w:rsidP="00CC4260">
            <w:pPr>
              <w:widowControl w:val="0"/>
              <w:tabs>
                <w:tab w:val="clear" w:pos="2835"/>
                <w:tab w:val="left" w:pos="3402"/>
              </w:tabs>
              <w:rPr>
                <w:rFonts w:eastAsia="Calibri" w:cs="Arial"/>
                <w:szCs w:val="22"/>
                <w:lang w:val="es-CL" w:eastAsia="en-US"/>
              </w:rPr>
            </w:pPr>
          </w:p>
          <w:p w14:paraId="61E9038D"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ii) El 50 por ciento restante en el plazo máximo de diez días hábiles a contar del desembolso anterior.</w:t>
            </w:r>
          </w:p>
          <w:p w14:paraId="433A1FC6" w14:textId="77777777" w:rsidR="00BF0CA8" w:rsidRDefault="00BF0CA8" w:rsidP="00CC4260">
            <w:pPr>
              <w:widowControl w:val="0"/>
              <w:tabs>
                <w:tab w:val="clear" w:pos="2835"/>
                <w:tab w:val="left" w:pos="3402"/>
              </w:tabs>
              <w:rPr>
                <w:rFonts w:eastAsia="Calibri" w:cs="Arial"/>
                <w:szCs w:val="22"/>
                <w:lang w:val="es-CL" w:eastAsia="en-US"/>
              </w:rPr>
            </w:pPr>
          </w:p>
          <w:p w14:paraId="2D74688E" w14:textId="77777777" w:rsidR="00BF0CA8" w:rsidRPr="00A147CE" w:rsidRDefault="00BF0CA8" w:rsidP="00CC4260">
            <w:pPr>
              <w:widowControl w:val="0"/>
              <w:tabs>
                <w:tab w:val="clear" w:pos="2835"/>
                <w:tab w:val="left" w:pos="3402"/>
              </w:tabs>
              <w:rPr>
                <w:rFonts w:eastAsia="Calibri" w:cs="Arial"/>
                <w:szCs w:val="22"/>
                <w:lang w:val="es-CL" w:eastAsia="en-US"/>
              </w:rPr>
            </w:pPr>
          </w:p>
          <w:p w14:paraId="65DBE394"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 xml:space="preserve">La implementación del sistema de transferencias de fondos por parte de las Administradoras de Fondos de </w:t>
            </w:r>
            <w:r w:rsidRPr="00A147CE">
              <w:rPr>
                <w:rFonts w:eastAsia="Calibri" w:cs="Arial"/>
                <w:szCs w:val="22"/>
                <w:lang w:val="es-CL" w:eastAsia="en-US"/>
              </w:rPr>
              <w:lastRenderedPageBreak/>
              <w:t xml:space="preserve">Pensiones será gratuita para los afiliados y no podrán realizarse cargos a éstos, incluyendo a aquellos que no soliciten o estén impedidos de realizar el retiro establecido en la presente ley. </w:t>
            </w:r>
          </w:p>
          <w:p w14:paraId="3FB6965B" w14:textId="77777777" w:rsidR="00BF0CA8" w:rsidRPr="00A147CE" w:rsidRDefault="00BF0CA8" w:rsidP="00CC4260">
            <w:pPr>
              <w:widowControl w:val="0"/>
              <w:tabs>
                <w:tab w:val="clear" w:pos="2835"/>
                <w:tab w:val="left" w:pos="3402"/>
              </w:tabs>
              <w:rPr>
                <w:rFonts w:eastAsia="Calibri" w:cs="Arial"/>
                <w:szCs w:val="22"/>
                <w:lang w:val="es-CL" w:eastAsia="en-US"/>
              </w:rPr>
            </w:pPr>
          </w:p>
          <w:p w14:paraId="5AB308FC"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szCs w:val="22"/>
                <w:lang w:val="es-CL" w:eastAsia="en-US"/>
              </w:rPr>
              <w:t xml:space="preserve">La Superintendencia de Pensiones deberá dictar las instrucciones necesarias para efectos de regular la operación del referido sistema de transferencia de fondos y pagos, así como todos los aspectos operacionales relativos a la solicitud del retiro de fondos. </w:t>
            </w:r>
          </w:p>
          <w:p w14:paraId="216C82EA" w14:textId="77777777" w:rsidR="00BF0CA8" w:rsidRPr="00A147CE" w:rsidRDefault="00BF0CA8" w:rsidP="00CC4260">
            <w:pPr>
              <w:widowControl w:val="0"/>
              <w:tabs>
                <w:tab w:val="clear" w:pos="2835"/>
              </w:tabs>
              <w:rPr>
                <w:rFonts w:eastAsia="Calibri" w:cs="Arial"/>
                <w:b/>
                <w:bCs/>
                <w:szCs w:val="22"/>
                <w:lang w:val="es-CL" w:eastAsia="en-US"/>
              </w:rPr>
            </w:pPr>
          </w:p>
        </w:tc>
        <w:tc>
          <w:tcPr>
            <w:tcW w:w="1667" w:type="pct"/>
          </w:tcPr>
          <w:p w14:paraId="2DF32F97" w14:textId="77777777" w:rsidR="00BF0CA8" w:rsidRPr="00BF0CA8" w:rsidRDefault="00BF0CA8" w:rsidP="00BF0CA8">
            <w:pPr>
              <w:tabs>
                <w:tab w:val="clear" w:pos="2835"/>
              </w:tabs>
              <w:rPr>
                <w:rFonts w:cs="Arial"/>
                <w:szCs w:val="22"/>
                <w:lang w:val="es-MX"/>
              </w:rPr>
            </w:pPr>
            <w:r w:rsidRPr="00BF0CA8">
              <w:rPr>
                <w:rFonts w:cs="Arial"/>
                <w:szCs w:val="22"/>
                <w:lang w:val="es-MX"/>
              </w:rPr>
              <w:lastRenderedPageBreak/>
              <w:t xml:space="preserve">Artículo 5º.- La solicitud de retiro deberá ser presentada por el afiliado ante la Administradora de Fondos de Pensiones en la que se encuentre afiliado a </w:t>
            </w:r>
            <w:r w:rsidRPr="00BF0CA8">
              <w:rPr>
                <w:rFonts w:cs="Arial"/>
                <w:szCs w:val="22"/>
                <w:lang w:val="es-MX"/>
              </w:rPr>
              <w:lastRenderedPageBreak/>
              <w:t>la fecha de efectuar la solicitud y deberá hacerse preferentemente por canales digitales.</w:t>
            </w:r>
          </w:p>
          <w:p w14:paraId="65757ABC" w14:textId="77777777" w:rsidR="00BF0CA8" w:rsidRPr="00BF0CA8" w:rsidRDefault="00BF0CA8" w:rsidP="00BF0CA8">
            <w:pPr>
              <w:tabs>
                <w:tab w:val="clear" w:pos="2835"/>
              </w:tabs>
              <w:rPr>
                <w:rFonts w:cs="Arial"/>
                <w:szCs w:val="22"/>
                <w:lang w:val="es-MX"/>
              </w:rPr>
            </w:pPr>
          </w:p>
          <w:p w14:paraId="66F2780E" w14:textId="77777777" w:rsidR="00BF0CA8" w:rsidRPr="00BF0CA8" w:rsidRDefault="00BF0CA8" w:rsidP="00BF0CA8">
            <w:pPr>
              <w:tabs>
                <w:tab w:val="clear" w:pos="2835"/>
              </w:tabs>
              <w:rPr>
                <w:rFonts w:cs="Arial"/>
                <w:szCs w:val="22"/>
                <w:lang w:val="es-MX"/>
              </w:rPr>
            </w:pPr>
            <w:r w:rsidRPr="00BF0CA8">
              <w:rPr>
                <w:rFonts w:cs="Arial"/>
                <w:szCs w:val="22"/>
                <w:lang w:val="es-MX"/>
              </w:rPr>
              <w:t>Dichas entidades deberán adoptar medidas para resguardar las condiciones sanitarias en el caso de solicitudes presenciales.</w:t>
            </w:r>
          </w:p>
          <w:p w14:paraId="7EF4914A" w14:textId="77777777" w:rsidR="00BF0CA8" w:rsidRDefault="00BF0CA8" w:rsidP="00BF0CA8">
            <w:pPr>
              <w:tabs>
                <w:tab w:val="clear" w:pos="2835"/>
              </w:tabs>
              <w:rPr>
                <w:rFonts w:cs="Arial"/>
                <w:szCs w:val="22"/>
                <w:lang w:val="es-MX"/>
              </w:rPr>
            </w:pPr>
          </w:p>
          <w:p w14:paraId="7AB09DC1" w14:textId="77777777" w:rsidR="0079234C" w:rsidRDefault="0079234C" w:rsidP="00BF0CA8">
            <w:pPr>
              <w:tabs>
                <w:tab w:val="clear" w:pos="2835"/>
              </w:tabs>
              <w:rPr>
                <w:rFonts w:cs="Arial"/>
                <w:szCs w:val="22"/>
                <w:lang w:val="es-MX"/>
              </w:rPr>
            </w:pPr>
          </w:p>
          <w:p w14:paraId="64A10007" w14:textId="77777777" w:rsidR="0079234C" w:rsidRDefault="0079234C" w:rsidP="00BF0CA8">
            <w:pPr>
              <w:tabs>
                <w:tab w:val="clear" w:pos="2835"/>
              </w:tabs>
              <w:rPr>
                <w:rFonts w:cs="Arial"/>
                <w:szCs w:val="22"/>
                <w:lang w:val="es-MX"/>
              </w:rPr>
            </w:pPr>
          </w:p>
          <w:p w14:paraId="0F8B03C2" w14:textId="77777777" w:rsidR="0079234C" w:rsidRDefault="0079234C" w:rsidP="00BF0CA8">
            <w:pPr>
              <w:tabs>
                <w:tab w:val="clear" w:pos="2835"/>
              </w:tabs>
              <w:rPr>
                <w:rFonts w:cs="Arial"/>
                <w:szCs w:val="22"/>
                <w:lang w:val="es-MX"/>
              </w:rPr>
            </w:pPr>
          </w:p>
          <w:p w14:paraId="631BDC93" w14:textId="77777777" w:rsidR="0079234C" w:rsidRDefault="0079234C" w:rsidP="00BF0CA8">
            <w:pPr>
              <w:tabs>
                <w:tab w:val="clear" w:pos="2835"/>
              </w:tabs>
              <w:rPr>
                <w:rFonts w:cs="Arial"/>
                <w:szCs w:val="22"/>
                <w:lang w:val="es-MX"/>
              </w:rPr>
            </w:pPr>
          </w:p>
          <w:p w14:paraId="3EE9EEF6" w14:textId="77777777" w:rsidR="0079234C" w:rsidRDefault="0079234C" w:rsidP="00BF0CA8">
            <w:pPr>
              <w:tabs>
                <w:tab w:val="clear" w:pos="2835"/>
              </w:tabs>
              <w:rPr>
                <w:rFonts w:cs="Arial"/>
                <w:szCs w:val="22"/>
                <w:lang w:val="es-MX"/>
              </w:rPr>
            </w:pPr>
          </w:p>
          <w:p w14:paraId="2F811B00" w14:textId="77777777" w:rsidR="0079234C" w:rsidRDefault="0079234C" w:rsidP="00BF0CA8">
            <w:pPr>
              <w:tabs>
                <w:tab w:val="clear" w:pos="2835"/>
              </w:tabs>
              <w:rPr>
                <w:rFonts w:cs="Arial"/>
                <w:szCs w:val="22"/>
                <w:lang w:val="es-MX"/>
              </w:rPr>
            </w:pPr>
          </w:p>
          <w:p w14:paraId="06F59B5B" w14:textId="77777777" w:rsidR="0079234C" w:rsidRDefault="0079234C" w:rsidP="00BF0CA8">
            <w:pPr>
              <w:tabs>
                <w:tab w:val="clear" w:pos="2835"/>
              </w:tabs>
              <w:rPr>
                <w:rFonts w:cs="Arial"/>
                <w:szCs w:val="22"/>
                <w:lang w:val="es-MX"/>
              </w:rPr>
            </w:pPr>
          </w:p>
          <w:p w14:paraId="1755A90F" w14:textId="77777777" w:rsidR="0079234C" w:rsidRDefault="0079234C" w:rsidP="00BF0CA8">
            <w:pPr>
              <w:tabs>
                <w:tab w:val="clear" w:pos="2835"/>
              </w:tabs>
              <w:rPr>
                <w:rFonts w:cs="Arial"/>
                <w:szCs w:val="22"/>
                <w:lang w:val="es-MX"/>
              </w:rPr>
            </w:pPr>
          </w:p>
          <w:p w14:paraId="4C43645D" w14:textId="77777777" w:rsidR="0079234C" w:rsidRDefault="0079234C" w:rsidP="00BF0CA8">
            <w:pPr>
              <w:tabs>
                <w:tab w:val="clear" w:pos="2835"/>
              </w:tabs>
              <w:rPr>
                <w:rFonts w:cs="Arial"/>
                <w:szCs w:val="22"/>
                <w:lang w:val="es-MX"/>
              </w:rPr>
            </w:pPr>
          </w:p>
          <w:p w14:paraId="506E1B4D" w14:textId="77777777" w:rsidR="0079234C" w:rsidRDefault="0079234C" w:rsidP="00BF0CA8">
            <w:pPr>
              <w:tabs>
                <w:tab w:val="clear" w:pos="2835"/>
              </w:tabs>
              <w:rPr>
                <w:rFonts w:cs="Arial"/>
                <w:szCs w:val="22"/>
                <w:lang w:val="es-MX"/>
              </w:rPr>
            </w:pPr>
          </w:p>
          <w:p w14:paraId="2B1A38CF" w14:textId="77777777" w:rsidR="0079234C" w:rsidRDefault="0079234C" w:rsidP="00BF0CA8">
            <w:pPr>
              <w:tabs>
                <w:tab w:val="clear" w:pos="2835"/>
              </w:tabs>
              <w:rPr>
                <w:rFonts w:cs="Arial"/>
                <w:szCs w:val="22"/>
                <w:lang w:val="es-MX"/>
              </w:rPr>
            </w:pPr>
          </w:p>
          <w:p w14:paraId="28021CE4" w14:textId="77777777" w:rsidR="0079234C" w:rsidRDefault="0079234C" w:rsidP="00BF0CA8">
            <w:pPr>
              <w:tabs>
                <w:tab w:val="clear" w:pos="2835"/>
              </w:tabs>
              <w:rPr>
                <w:rFonts w:cs="Arial"/>
                <w:szCs w:val="22"/>
                <w:lang w:val="es-MX"/>
              </w:rPr>
            </w:pPr>
          </w:p>
          <w:p w14:paraId="741B1970" w14:textId="77777777" w:rsidR="0079234C" w:rsidRDefault="0079234C" w:rsidP="00BF0CA8">
            <w:pPr>
              <w:tabs>
                <w:tab w:val="clear" w:pos="2835"/>
              </w:tabs>
              <w:rPr>
                <w:rFonts w:cs="Arial"/>
                <w:szCs w:val="22"/>
                <w:lang w:val="es-MX"/>
              </w:rPr>
            </w:pPr>
          </w:p>
          <w:p w14:paraId="4EABC9E2" w14:textId="77777777" w:rsidR="0079234C" w:rsidRDefault="0079234C" w:rsidP="00BF0CA8">
            <w:pPr>
              <w:tabs>
                <w:tab w:val="clear" w:pos="2835"/>
              </w:tabs>
              <w:rPr>
                <w:rFonts w:cs="Arial"/>
                <w:szCs w:val="22"/>
                <w:lang w:val="es-MX"/>
              </w:rPr>
            </w:pPr>
          </w:p>
          <w:p w14:paraId="2F6CC808" w14:textId="77777777" w:rsidR="0079234C" w:rsidRDefault="0079234C" w:rsidP="00BF0CA8">
            <w:pPr>
              <w:tabs>
                <w:tab w:val="clear" w:pos="2835"/>
              </w:tabs>
              <w:rPr>
                <w:rFonts w:cs="Arial"/>
                <w:szCs w:val="22"/>
                <w:lang w:val="es-MX"/>
              </w:rPr>
            </w:pPr>
          </w:p>
          <w:p w14:paraId="7B42A814" w14:textId="77777777" w:rsidR="0079234C" w:rsidRPr="00BF0CA8" w:rsidRDefault="0079234C" w:rsidP="00BF0CA8">
            <w:pPr>
              <w:tabs>
                <w:tab w:val="clear" w:pos="2835"/>
              </w:tabs>
              <w:rPr>
                <w:rFonts w:cs="Arial"/>
                <w:szCs w:val="22"/>
                <w:lang w:val="es-MX"/>
              </w:rPr>
            </w:pPr>
          </w:p>
          <w:p w14:paraId="0776CCC8" w14:textId="77777777" w:rsidR="00BF0CA8" w:rsidRPr="00BF0CA8" w:rsidRDefault="00BF0CA8" w:rsidP="00BF0CA8">
            <w:pPr>
              <w:tabs>
                <w:tab w:val="clear" w:pos="2835"/>
              </w:tabs>
              <w:rPr>
                <w:rFonts w:cs="Arial"/>
                <w:szCs w:val="22"/>
                <w:lang w:val="es-MX"/>
              </w:rPr>
            </w:pPr>
            <w:r w:rsidRPr="00BF0CA8">
              <w:rPr>
                <w:rFonts w:cs="Arial"/>
                <w:szCs w:val="22"/>
                <w:lang w:val="es-MX"/>
              </w:rPr>
              <w:t>La entrega de los fondos acumulados y autorizados de retirar se efectuará de la siguiente manera:</w:t>
            </w:r>
          </w:p>
          <w:p w14:paraId="739AC2BC" w14:textId="77777777" w:rsidR="00BF0CA8" w:rsidRPr="00BF0CA8" w:rsidRDefault="00BF0CA8" w:rsidP="00BF0CA8">
            <w:pPr>
              <w:tabs>
                <w:tab w:val="clear" w:pos="2835"/>
              </w:tabs>
              <w:rPr>
                <w:rFonts w:cs="Arial"/>
                <w:szCs w:val="22"/>
                <w:lang w:val="es-MX"/>
              </w:rPr>
            </w:pPr>
          </w:p>
          <w:p w14:paraId="132D9B57" w14:textId="77777777" w:rsidR="00BF0CA8" w:rsidRPr="00BF0CA8" w:rsidRDefault="00BF0CA8" w:rsidP="00BF0CA8">
            <w:pPr>
              <w:tabs>
                <w:tab w:val="clear" w:pos="2835"/>
              </w:tabs>
              <w:rPr>
                <w:rFonts w:cs="Arial"/>
                <w:szCs w:val="22"/>
                <w:lang w:val="es-MX"/>
              </w:rPr>
            </w:pPr>
            <w:r w:rsidRPr="00BF0CA8">
              <w:rPr>
                <w:rFonts w:cs="Arial"/>
                <w:szCs w:val="22"/>
                <w:lang w:val="es-MX"/>
              </w:rPr>
              <w:t>i) El 50 por ciento en un plazo máximo de quince días hábiles de presentada la solicitud ante la respectiva Administradora de Fondos de Pensiones a que pertenezca el afiliado.</w:t>
            </w:r>
          </w:p>
          <w:p w14:paraId="57AD0197" w14:textId="77777777" w:rsidR="00BF0CA8" w:rsidRPr="00BF0CA8" w:rsidRDefault="00BF0CA8" w:rsidP="00BF0CA8">
            <w:pPr>
              <w:tabs>
                <w:tab w:val="clear" w:pos="2835"/>
              </w:tabs>
              <w:rPr>
                <w:rFonts w:cs="Arial"/>
                <w:szCs w:val="22"/>
                <w:lang w:val="es-MX"/>
              </w:rPr>
            </w:pPr>
          </w:p>
          <w:p w14:paraId="2322E569" w14:textId="77777777" w:rsidR="00BF0CA8" w:rsidRPr="00BF0CA8" w:rsidRDefault="00BF0CA8" w:rsidP="00BF0CA8">
            <w:pPr>
              <w:tabs>
                <w:tab w:val="clear" w:pos="2835"/>
              </w:tabs>
              <w:rPr>
                <w:rFonts w:cs="Arial"/>
                <w:szCs w:val="22"/>
                <w:lang w:val="es-MX"/>
              </w:rPr>
            </w:pPr>
            <w:r w:rsidRPr="00BF0CA8">
              <w:rPr>
                <w:rFonts w:cs="Arial"/>
                <w:szCs w:val="22"/>
                <w:lang w:val="es-MX"/>
              </w:rPr>
              <w:t>ii) El 50 por ciento restante en el plazo máximo de quince días hábiles a contar del desembolso anterior.</w:t>
            </w:r>
          </w:p>
          <w:p w14:paraId="0CC7A1AC" w14:textId="77777777" w:rsidR="00BF0CA8" w:rsidRDefault="00BF0CA8" w:rsidP="00BF0CA8">
            <w:pPr>
              <w:tabs>
                <w:tab w:val="clear" w:pos="2835"/>
              </w:tabs>
              <w:rPr>
                <w:rFonts w:cs="Arial"/>
                <w:szCs w:val="22"/>
                <w:lang w:val="es-MX"/>
              </w:rPr>
            </w:pPr>
          </w:p>
          <w:p w14:paraId="0775B2D9" w14:textId="77777777" w:rsidR="0079234C" w:rsidRPr="00BF0CA8" w:rsidRDefault="0079234C" w:rsidP="00BF0CA8">
            <w:pPr>
              <w:tabs>
                <w:tab w:val="clear" w:pos="2835"/>
              </w:tabs>
              <w:rPr>
                <w:rFonts w:cs="Arial"/>
                <w:szCs w:val="22"/>
                <w:lang w:val="es-MX"/>
              </w:rPr>
            </w:pPr>
          </w:p>
          <w:p w14:paraId="6192039F" w14:textId="77777777" w:rsidR="00BF0CA8" w:rsidRPr="00BF0CA8" w:rsidRDefault="00BF0CA8" w:rsidP="00BF0CA8">
            <w:pPr>
              <w:tabs>
                <w:tab w:val="clear" w:pos="2835"/>
              </w:tabs>
              <w:rPr>
                <w:rFonts w:cs="Arial"/>
                <w:szCs w:val="22"/>
                <w:lang w:val="es-MX"/>
              </w:rPr>
            </w:pPr>
            <w:r w:rsidRPr="00BF0CA8">
              <w:rPr>
                <w:rFonts w:cs="Arial"/>
                <w:szCs w:val="22"/>
                <w:lang w:val="es-MX"/>
              </w:rPr>
              <w:t xml:space="preserve">La implementación del sistema de transferencias de fondos por parte de las Administradoras de Fondos de </w:t>
            </w:r>
            <w:r w:rsidRPr="00BF0CA8">
              <w:rPr>
                <w:rFonts w:cs="Arial"/>
                <w:szCs w:val="22"/>
                <w:lang w:val="es-MX"/>
              </w:rPr>
              <w:lastRenderedPageBreak/>
              <w:t>Pensiones será gratuita para los afiliados y no podrán realizarse cargos a éstos, incluyendo a aquellos que no soliciten o estén impedidos de realizar el retiro establecido en la presente ley.</w:t>
            </w:r>
          </w:p>
          <w:p w14:paraId="39A1D72F" w14:textId="77777777" w:rsidR="00BF0CA8" w:rsidRPr="00BF0CA8" w:rsidRDefault="00BF0CA8" w:rsidP="00BF0CA8">
            <w:pPr>
              <w:tabs>
                <w:tab w:val="clear" w:pos="2835"/>
              </w:tabs>
              <w:rPr>
                <w:rFonts w:cs="Arial"/>
                <w:szCs w:val="22"/>
                <w:lang w:val="es-MX"/>
              </w:rPr>
            </w:pPr>
          </w:p>
          <w:p w14:paraId="10C8F98C" w14:textId="77777777" w:rsidR="00BF0CA8" w:rsidRPr="00BF0CA8" w:rsidRDefault="00BF0CA8" w:rsidP="00BF0CA8">
            <w:pPr>
              <w:tabs>
                <w:tab w:val="clear" w:pos="2835"/>
              </w:tabs>
              <w:rPr>
                <w:rFonts w:cs="Arial"/>
                <w:szCs w:val="22"/>
                <w:lang w:val="es-MX"/>
              </w:rPr>
            </w:pPr>
            <w:r w:rsidRPr="00BF0CA8">
              <w:rPr>
                <w:rFonts w:cs="Arial"/>
                <w:szCs w:val="22"/>
                <w:lang w:val="es-MX"/>
              </w:rPr>
              <w:t>La Superintendencia de Pensiones deberá dictar las instrucciones necesarias para efectos de regular la operación del referido sistema de transferencia de fondos y pagos, así como todos los aspectos operacionales relativos a la solicitud del retiro de fondos.</w:t>
            </w:r>
          </w:p>
          <w:p w14:paraId="2A80C335" w14:textId="77777777" w:rsidR="00BF0CA8" w:rsidRDefault="00BF0CA8" w:rsidP="00CC4260">
            <w:pPr>
              <w:widowControl w:val="0"/>
              <w:tabs>
                <w:tab w:val="clear" w:pos="2835"/>
                <w:tab w:val="left" w:pos="3402"/>
              </w:tabs>
              <w:rPr>
                <w:rFonts w:eastAsia="Calibri" w:cs="Arial"/>
                <w:b/>
                <w:bCs/>
                <w:szCs w:val="22"/>
                <w:lang w:val="es-CL" w:eastAsia="en-US"/>
              </w:rPr>
            </w:pPr>
          </w:p>
        </w:tc>
      </w:tr>
      <w:tr w:rsidR="00BF0CA8" w14:paraId="196999D0" w14:textId="28CD9AD4" w:rsidTr="00BF0CA8">
        <w:trPr>
          <w:jc w:val="center"/>
        </w:trPr>
        <w:tc>
          <w:tcPr>
            <w:tcW w:w="1667" w:type="pct"/>
          </w:tcPr>
          <w:p w14:paraId="32ABBD65" w14:textId="77777777" w:rsidR="00BF0CA8" w:rsidRDefault="00BF0CA8" w:rsidP="00A147CE">
            <w:pPr>
              <w:pStyle w:val="Textonotapie"/>
              <w:jc w:val="center"/>
              <w:rPr>
                <w:rFonts w:eastAsia="Calibri" w:cs="Arial"/>
                <w:sz w:val="22"/>
                <w:szCs w:val="22"/>
                <w:lang w:val="es-CL" w:eastAsia="en-US"/>
              </w:rPr>
            </w:pPr>
            <w:bookmarkStart w:id="2" w:name="_Hlk57107534"/>
            <w:r w:rsidRPr="00A147CE">
              <w:rPr>
                <w:rFonts w:eastAsia="Calibri" w:cs="Arial"/>
                <w:sz w:val="22"/>
                <w:szCs w:val="22"/>
                <w:lang w:val="es-CL" w:eastAsia="en-US"/>
              </w:rPr>
              <w:lastRenderedPageBreak/>
              <w:t>DECRETO LEY N° 3.500, DE 1980</w:t>
            </w:r>
            <w:r>
              <w:rPr>
                <w:rFonts w:eastAsia="Calibri" w:cs="Arial"/>
                <w:sz w:val="22"/>
                <w:szCs w:val="22"/>
                <w:lang w:val="es-CL" w:eastAsia="en-US"/>
              </w:rPr>
              <w:t>,</w:t>
            </w:r>
          </w:p>
          <w:p w14:paraId="018DAC6E" w14:textId="77777777" w:rsidR="00BF0CA8" w:rsidRDefault="00BF0CA8" w:rsidP="00A147CE">
            <w:pPr>
              <w:pStyle w:val="Textonotapie"/>
              <w:jc w:val="center"/>
              <w:rPr>
                <w:sz w:val="22"/>
                <w:szCs w:val="22"/>
              </w:rPr>
            </w:pPr>
            <w:r>
              <w:rPr>
                <w:sz w:val="22"/>
                <w:szCs w:val="22"/>
              </w:rPr>
              <w:t xml:space="preserve">QUE </w:t>
            </w:r>
            <w:r w:rsidRPr="00A147CE">
              <w:rPr>
                <w:sz w:val="22"/>
                <w:szCs w:val="22"/>
              </w:rPr>
              <w:t>ESTABLECE NUEVO SISTEMA DE PENSIONES</w:t>
            </w:r>
          </w:p>
          <w:p w14:paraId="331C982E" w14:textId="097422E0" w:rsidR="00BF0CA8" w:rsidRDefault="00BF0CA8" w:rsidP="00A147CE">
            <w:pPr>
              <w:pStyle w:val="Textonotapie"/>
              <w:rPr>
                <w:sz w:val="22"/>
                <w:szCs w:val="22"/>
              </w:rPr>
            </w:pPr>
          </w:p>
          <w:p w14:paraId="476A8EAB" w14:textId="77777777" w:rsidR="00BF0CA8" w:rsidRDefault="00BF0CA8" w:rsidP="00A147CE">
            <w:pPr>
              <w:pStyle w:val="Textonotapie"/>
              <w:rPr>
                <w:sz w:val="22"/>
                <w:szCs w:val="22"/>
              </w:rPr>
            </w:pPr>
          </w:p>
          <w:p w14:paraId="6B06FA98" w14:textId="686518C5" w:rsidR="00BF0CA8" w:rsidRDefault="00BF0CA8" w:rsidP="00A147CE">
            <w:pPr>
              <w:pStyle w:val="Textonotapie"/>
              <w:rPr>
                <w:sz w:val="22"/>
                <w:szCs w:val="22"/>
              </w:rPr>
            </w:pPr>
            <w:r w:rsidRPr="00A147CE">
              <w:rPr>
                <w:sz w:val="22"/>
                <w:szCs w:val="22"/>
              </w:rPr>
              <w:t>Artículo 17.- Los trabajadores afiliados al Sistema, menores de 65 años de edad si son hombres, y menores de 60 años de edad si son mujeres, estarán obligados a cotizar en su cuenta de capitalización individual el 10 por ciento de sus remuneraciones y rentas imponibles.</w:t>
            </w:r>
          </w:p>
          <w:p w14:paraId="05C8956B" w14:textId="77777777" w:rsidR="00BF0CA8" w:rsidRPr="00A147CE" w:rsidRDefault="00BF0CA8" w:rsidP="00A147CE">
            <w:pPr>
              <w:pStyle w:val="Textonotapie"/>
              <w:rPr>
                <w:sz w:val="22"/>
                <w:szCs w:val="22"/>
              </w:rPr>
            </w:pPr>
          </w:p>
          <w:p w14:paraId="7B18CCDC" w14:textId="77777777" w:rsidR="00BF0CA8" w:rsidRDefault="00BF0CA8" w:rsidP="00A147CE">
            <w:pPr>
              <w:pStyle w:val="Textonotapie"/>
              <w:rPr>
                <w:sz w:val="22"/>
                <w:szCs w:val="22"/>
              </w:rPr>
            </w:pPr>
            <w:r w:rsidRPr="00A147CE">
              <w:rPr>
                <w:sz w:val="22"/>
                <w:szCs w:val="22"/>
              </w:rPr>
              <w:t xml:space="preserve">    Además, se deberá efectuar una cotización adicional en la misma cuenta y calculada sobre la misma base que será determinada por cada Administradora y que estará destinada a su financiamiento, incluido el pago de la prima de seguro a que se refiere el artículo 59. Esta cotización adicional deberá ser comunicada de acuerdo a lo señalado en el inciso quinto del artículo 29 y tendrá el carácter de uniforme para todos los afiliados a una Administradora, sin perjuicio de lo dispuesto en el inciso tercero del mismo artículo. Tratándose de trabajadores dependientes, la parte de la cotización adicional destinada al financiamiento del seguro a que se refiere </w:t>
            </w:r>
            <w:r w:rsidRPr="00A147CE">
              <w:rPr>
                <w:sz w:val="22"/>
                <w:szCs w:val="22"/>
              </w:rPr>
              <w:lastRenderedPageBreak/>
              <w:t>el artículo 59, será de cargo del empleador, con excepción de los trabajadores jóvenes que perciban subsidio previsional, mientras se encuentren percibiendo dicho subsidio.</w:t>
            </w:r>
          </w:p>
          <w:p w14:paraId="01780D76" w14:textId="77777777" w:rsidR="00BF0CA8" w:rsidRPr="00A147CE" w:rsidRDefault="00BF0CA8" w:rsidP="00A147CE">
            <w:pPr>
              <w:pStyle w:val="Textonotapie"/>
              <w:rPr>
                <w:sz w:val="22"/>
                <w:szCs w:val="22"/>
              </w:rPr>
            </w:pPr>
          </w:p>
          <w:p w14:paraId="75A90CF4" w14:textId="77777777" w:rsidR="00BF0CA8" w:rsidRPr="00A147CE" w:rsidRDefault="00BF0CA8" w:rsidP="00A147CE">
            <w:pPr>
              <w:pStyle w:val="Textonotapie"/>
              <w:rPr>
                <w:sz w:val="22"/>
                <w:szCs w:val="22"/>
              </w:rPr>
            </w:pPr>
            <w:r w:rsidRPr="00A147CE">
              <w:rPr>
                <w:sz w:val="22"/>
                <w:szCs w:val="22"/>
              </w:rPr>
              <w:t xml:space="preserve">    Durante los períodos de incapacidad laboral, afiliados y empleadores deberán efectuar las cotizaciones a que se refiere este artículo.</w:t>
            </w:r>
          </w:p>
          <w:p w14:paraId="7162E978" w14:textId="77777777" w:rsidR="00BF0CA8" w:rsidRDefault="00BF0CA8" w:rsidP="00A147CE">
            <w:pPr>
              <w:pStyle w:val="Textonotapie"/>
              <w:rPr>
                <w:sz w:val="22"/>
                <w:szCs w:val="22"/>
              </w:rPr>
            </w:pPr>
            <w:r w:rsidRPr="00A147CE">
              <w:rPr>
                <w:sz w:val="22"/>
                <w:szCs w:val="22"/>
              </w:rPr>
              <w:t xml:space="preserve">    Asimismo, durante los referidos períodos de incapacidad laboral, los afiliados deberán efectuar la cotización para salud establecida en los artículos 84 y 92, calculada sobre las remuneraciones o rentas imponibles para salud, según corresponda.</w:t>
            </w:r>
          </w:p>
          <w:p w14:paraId="7AA39D7F" w14:textId="77777777" w:rsidR="00BF0CA8" w:rsidRPr="00A147CE" w:rsidRDefault="00BF0CA8" w:rsidP="00A147CE">
            <w:pPr>
              <w:pStyle w:val="Textonotapie"/>
              <w:rPr>
                <w:sz w:val="22"/>
                <w:szCs w:val="22"/>
              </w:rPr>
            </w:pPr>
          </w:p>
          <w:p w14:paraId="71DE098B" w14:textId="77777777" w:rsidR="00BF0CA8" w:rsidRDefault="00BF0CA8" w:rsidP="00A147CE">
            <w:pPr>
              <w:pStyle w:val="Textonotapie"/>
              <w:rPr>
                <w:sz w:val="22"/>
                <w:szCs w:val="22"/>
              </w:rPr>
            </w:pPr>
            <w:r w:rsidRPr="00A147CE">
              <w:rPr>
                <w:sz w:val="22"/>
                <w:szCs w:val="22"/>
              </w:rPr>
              <w:t xml:space="preserve">    Las cotizaciones establecidas en los incisos precedentes deberán efectuarse sobre la base de la última remuneración o renta imponible correspondiente al mes anterior a que se haya iniciado la licencia o en su defecto la estipulada en el respectivo contrato de trabajo, en su caso. Para este efecto, la referida remuneración o renta imponible se reajustará en la misma oportunidad y porcentaje en que se reajuste el subsidio respectivo.</w:t>
            </w:r>
          </w:p>
          <w:p w14:paraId="6E2115CD" w14:textId="77777777" w:rsidR="00BF0CA8" w:rsidRPr="00A147CE" w:rsidRDefault="00BF0CA8" w:rsidP="00A147CE">
            <w:pPr>
              <w:pStyle w:val="Textonotapie"/>
              <w:rPr>
                <w:sz w:val="22"/>
                <w:szCs w:val="22"/>
              </w:rPr>
            </w:pPr>
          </w:p>
          <w:p w14:paraId="064E4081" w14:textId="77777777" w:rsidR="00BF0CA8" w:rsidRPr="00A147CE" w:rsidRDefault="00BF0CA8" w:rsidP="00A147CE">
            <w:pPr>
              <w:pStyle w:val="Textonotapie"/>
              <w:rPr>
                <w:sz w:val="22"/>
                <w:szCs w:val="22"/>
              </w:rPr>
            </w:pPr>
            <w:r w:rsidRPr="00A147CE">
              <w:rPr>
                <w:sz w:val="22"/>
                <w:szCs w:val="22"/>
              </w:rPr>
              <w:t xml:space="preserve">    Las entidades pagadoras del subsidio deberán efectuar las retenciones correspondientes y enterar dichas cotizaciones en las instituciones que correspondan.</w:t>
            </w:r>
          </w:p>
          <w:p w14:paraId="030D3F0D" w14:textId="77777777" w:rsidR="00BF0CA8" w:rsidRPr="00A147CE" w:rsidRDefault="00BF0CA8">
            <w:pPr>
              <w:rPr>
                <w:szCs w:val="22"/>
              </w:rPr>
            </w:pPr>
          </w:p>
        </w:tc>
        <w:tc>
          <w:tcPr>
            <w:tcW w:w="1667" w:type="pct"/>
          </w:tcPr>
          <w:p w14:paraId="2E389351" w14:textId="77777777" w:rsidR="00BF0CA8" w:rsidRDefault="00BF0CA8" w:rsidP="00CC4260">
            <w:pPr>
              <w:widowControl w:val="0"/>
              <w:tabs>
                <w:tab w:val="clear" w:pos="2835"/>
                <w:tab w:val="left" w:pos="3402"/>
              </w:tabs>
              <w:rPr>
                <w:rFonts w:eastAsia="Calibri" w:cs="Arial"/>
                <w:b/>
                <w:bCs/>
                <w:szCs w:val="22"/>
                <w:lang w:val="es-CL" w:eastAsia="en-US"/>
              </w:rPr>
            </w:pPr>
          </w:p>
          <w:p w14:paraId="4B7849BE" w14:textId="77777777" w:rsidR="00BF0CA8" w:rsidRDefault="00BF0CA8" w:rsidP="00CC4260">
            <w:pPr>
              <w:widowControl w:val="0"/>
              <w:tabs>
                <w:tab w:val="clear" w:pos="2835"/>
                <w:tab w:val="left" w:pos="3402"/>
              </w:tabs>
              <w:rPr>
                <w:rFonts w:eastAsia="Calibri" w:cs="Arial"/>
                <w:b/>
                <w:bCs/>
                <w:szCs w:val="22"/>
                <w:lang w:val="es-CL" w:eastAsia="en-US"/>
              </w:rPr>
            </w:pPr>
          </w:p>
          <w:p w14:paraId="60B1DB28" w14:textId="77777777" w:rsidR="00BF0CA8" w:rsidRDefault="00BF0CA8" w:rsidP="00CC4260">
            <w:pPr>
              <w:widowControl w:val="0"/>
              <w:tabs>
                <w:tab w:val="clear" w:pos="2835"/>
                <w:tab w:val="left" w:pos="3402"/>
              </w:tabs>
              <w:rPr>
                <w:rFonts w:eastAsia="Calibri" w:cs="Arial"/>
                <w:b/>
                <w:bCs/>
                <w:szCs w:val="22"/>
                <w:lang w:val="es-CL" w:eastAsia="en-US"/>
              </w:rPr>
            </w:pPr>
          </w:p>
          <w:p w14:paraId="22318545" w14:textId="77777777" w:rsidR="00BF0CA8" w:rsidRDefault="00BF0CA8" w:rsidP="00CC4260">
            <w:pPr>
              <w:widowControl w:val="0"/>
              <w:tabs>
                <w:tab w:val="clear" w:pos="2835"/>
                <w:tab w:val="left" w:pos="3402"/>
              </w:tabs>
              <w:rPr>
                <w:rFonts w:eastAsia="Calibri" w:cs="Arial"/>
                <w:b/>
                <w:bCs/>
                <w:szCs w:val="22"/>
                <w:lang w:val="es-CL" w:eastAsia="en-US"/>
              </w:rPr>
            </w:pPr>
          </w:p>
          <w:p w14:paraId="60D26595" w14:textId="77777777" w:rsidR="00BF0CA8" w:rsidRDefault="00BF0CA8" w:rsidP="00CC4260">
            <w:pPr>
              <w:widowControl w:val="0"/>
              <w:tabs>
                <w:tab w:val="clear" w:pos="2835"/>
                <w:tab w:val="left" w:pos="3402"/>
              </w:tabs>
              <w:rPr>
                <w:rFonts w:eastAsia="Calibri" w:cs="Arial"/>
                <w:b/>
                <w:bCs/>
                <w:szCs w:val="22"/>
                <w:lang w:val="es-CL" w:eastAsia="en-US"/>
              </w:rPr>
            </w:pPr>
          </w:p>
          <w:p w14:paraId="028FE3D8" w14:textId="77777777" w:rsidR="00BF0CA8" w:rsidRPr="00A147CE" w:rsidRDefault="00BF0CA8" w:rsidP="00CC4260">
            <w:pPr>
              <w:widowControl w:val="0"/>
              <w:tabs>
                <w:tab w:val="clear" w:pos="2835"/>
                <w:tab w:val="left" w:pos="3402"/>
              </w:tabs>
              <w:rPr>
                <w:rFonts w:eastAsia="Calibri" w:cs="Arial"/>
                <w:szCs w:val="22"/>
                <w:lang w:val="es-CL" w:eastAsia="en-US"/>
              </w:rPr>
            </w:pPr>
            <w:r w:rsidRPr="00A147CE">
              <w:rPr>
                <w:rFonts w:eastAsia="Calibri" w:cs="Arial"/>
                <w:b/>
                <w:bCs/>
                <w:szCs w:val="22"/>
                <w:lang w:val="es-CL" w:eastAsia="en-US"/>
              </w:rPr>
              <w:t xml:space="preserve">Artículo 6º.- </w:t>
            </w:r>
            <w:bookmarkStart w:id="3" w:name="_Hlk55390218"/>
            <w:r w:rsidRPr="00A147CE">
              <w:rPr>
                <w:rFonts w:eastAsia="Calibri" w:cs="Arial"/>
                <w:szCs w:val="22"/>
                <w:lang w:val="es-CL" w:eastAsia="en-US"/>
              </w:rPr>
              <w:t xml:space="preserve">Los afiliados que soliciten el retiro de fondos previsionales de conformidad a la presente ley, deberán reintegrar los fondos retirados mediante una cotización adicional a su cuenta de capitalización individual de cotizaciones obligatorias, calculada sobre la renta o remuneración imponible que se declare para efectos del pago de la cotización obligatoria establecida en el inciso primero del </w:t>
            </w:r>
            <w:r w:rsidRPr="000C1690">
              <w:rPr>
                <w:rFonts w:eastAsia="Calibri" w:cs="Arial"/>
                <w:szCs w:val="22"/>
                <w:u w:val="single"/>
                <w:lang w:val="es-CL" w:eastAsia="en-US"/>
              </w:rPr>
              <w:t>artículo 17° del decreto ley N° 3.500, de 1980</w:t>
            </w:r>
            <w:r w:rsidRPr="00A147CE">
              <w:rPr>
                <w:rFonts w:eastAsia="Calibri" w:cs="Arial"/>
                <w:szCs w:val="22"/>
                <w:lang w:val="es-CL" w:eastAsia="en-US"/>
              </w:rPr>
              <w:t>.</w:t>
            </w:r>
          </w:p>
          <w:p w14:paraId="6524795C" w14:textId="77777777" w:rsidR="00BF0CA8" w:rsidRPr="00A147CE" w:rsidRDefault="00BF0CA8" w:rsidP="00CC4260">
            <w:pPr>
              <w:widowControl w:val="0"/>
              <w:tabs>
                <w:tab w:val="clear" w:pos="2835"/>
                <w:tab w:val="left" w:pos="3402"/>
              </w:tabs>
              <w:rPr>
                <w:rFonts w:eastAsia="Calibri" w:cs="Arial"/>
                <w:szCs w:val="22"/>
                <w:lang w:val="es-CL" w:eastAsia="en-US"/>
              </w:rPr>
            </w:pPr>
          </w:p>
          <w:bookmarkEnd w:id="3"/>
          <w:p w14:paraId="4350987D"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La cotización adicional se mantendrá vigente por todo el período que sea necesario hasta completar el monto solicitado a la Administradora de Fondos de Pensiones de conformidad al artículo 1°. Cesará está obligación al cumplirse la edad legal de jubilación, salvo que voluntariamente decida continuar realizando tales aportes.</w:t>
            </w:r>
          </w:p>
          <w:p w14:paraId="05F6CAA1" w14:textId="77777777" w:rsidR="00BF0CA8" w:rsidRPr="00A147CE" w:rsidRDefault="00BF0CA8" w:rsidP="00CC4260">
            <w:pPr>
              <w:widowControl w:val="0"/>
              <w:tabs>
                <w:tab w:val="clear" w:pos="2835"/>
              </w:tabs>
              <w:rPr>
                <w:rFonts w:eastAsia="Calibri" w:cs="Arial"/>
                <w:szCs w:val="22"/>
                <w:lang w:val="es-CL" w:eastAsia="en-US"/>
              </w:rPr>
            </w:pPr>
          </w:p>
          <w:p w14:paraId="67C84672"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 xml:space="preserve">En caso de ser trabajador independiente, deberá considerarse esta cotización adicional a efectos de la </w:t>
            </w:r>
            <w:r w:rsidRPr="00A147CE">
              <w:rPr>
                <w:rFonts w:eastAsia="Calibri" w:cs="Arial"/>
                <w:szCs w:val="22"/>
                <w:lang w:val="es-CL" w:eastAsia="en-US"/>
              </w:rPr>
              <w:lastRenderedPageBreak/>
              <w:t>aplicación de lo dispuesto en la ley N° 21.133</w:t>
            </w:r>
            <w:r w:rsidRPr="00A147CE">
              <w:rPr>
                <w:rStyle w:val="Refdenotaalpie"/>
                <w:rFonts w:eastAsia="Calibri" w:cs="Arial"/>
                <w:szCs w:val="22"/>
                <w:lang w:val="es-CL" w:eastAsia="en-US"/>
              </w:rPr>
              <w:footnoteReference w:id="4"/>
            </w:r>
            <w:r w:rsidRPr="00A147CE">
              <w:rPr>
                <w:rFonts w:eastAsia="Calibri" w:cs="Arial"/>
                <w:szCs w:val="22"/>
                <w:lang w:val="es-CL" w:eastAsia="en-US"/>
              </w:rPr>
              <w:t xml:space="preserve">. </w:t>
            </w:r>
          </w:p>
          <w:p w14:paraId="094379F4" w14:textId="77777777" w:rsidR="00BF0CA8" w:rsidRDefault="00BF0CA8" w:rsidP="00CC4260">
            <w:pPr>
              <w:widowControl w:val="0"/>
              <w:tabs>
                <w:tab w:val="clear" w:pos="2835"/>
              </w:tabs>
              <w:rPr>
                <w:rFonts w:eastAsia="Calibri" w:cs="Arial"/>
                <w:szCs w:val="22"/>
                <w:lang w:val="es-CL" w:eastAsia="en-US"/>
              </w:rPr>
            </w:pPr>
          </w:p>
          <w:p w14:paraId="7CAA46C0" w14:textId="77777777" w:rsidR="00BF0CA8" w:rsidRPr="00A147CE" w:rsidRDefault="00BF0CA8" w:rsidP="00CC4260">
            <w:pPr>
              <w:widowControl w:val="0"/>
              <w:tabs>
                <w:tab w:val="clear" w:pos="2835"/>
              </w:tabs>
              <w:rPr>
                <w:rFonts w:eastAsia="Calibri" w:cs="Arial"/>
                <w:szCs w:val="22"/>
                <w:lang w:val="es-CL" w:eastAsia="en-US"/>
              </w:rPr>
            </w:pPr>
          </w:p>
          <w:p w14:paraId="2B692E09"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Esta cotización adicional tendrá el carácter de cotización previsional obligatoria, para todos los efectos legales.</w:t>
            </w:r>
          </w:p>
          <w:p w14:paraId="7D17D387" w14:textId="77777777" w:rsidR="00BF0CA8" w:rsidRPr="00A147CE" w:rsidRDefault="00BF0CA8" w:rsidP="00CC4260">
            <w:pPr>
              <w:widowControl w:val="0"/>
              <w:tabs>
                <w:tab w:val="clear" w:pos="2835"/>
              </w:tabs>
              <w:rPr>
                <w:rFonts w:eastAsia="Calibri" w:cs="Arial"/>
                <w:szCs w:val="22"/>
                <w:lang w:val="es-CL" w:eastAsia="en-US"/>
              </w:rPr>
            </w:pPr>
          </w:p>
          <w:p w14:paraId="161ACE18"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 xml:space="preserve">La Superintendencia de Pensiones </w:t>
            </w:r>
            <w:r w:rsidRPr="00A147CE">
              <w:rPr>
                <w:rFonts w:eastAsia="Calibri" w:cs="Arial"/>
                <w:szCs w:val="22"/>
                <w:lang w:val="es-MX" w:eastAsia="en-US"/>
              </w:rPr>
              <w:t xml:space="preserve">deberá determinar la tasa de la cotización adicional aplicable, realizando para tales efectos un estudio que determine la tasa considerando los parámetros de comportamiento del mercado laboral y el perfil de los afiliados. Asimismo, definirá el período desde el cual deberán enterarse estas cotizaciones adicionales. Esta entidad además </w:t>
            </w:r>
            <w:r w:rsidRPr="00A147CE">
              <w:rPr>
                <w:rFonts w:eastAsia="Calibri" w:cs="Arial"/>
                <w:szCs w:val="22"/>
                <w:lang w:val="es-CL" w:eastAsia="en-US"/>
              </w:rPr>
              <w:t>regulará mediante norma de carácter general los procedimientos, operaciones y demás aspectos operacionales que sean necesarios para la implementación de esta disposición.</w:t>
            </w:r>
          </w:p>
          <w:p w14:paraId="1D611F80" w14:textId="77777777" w:rsidR="00BF0CA8" w:rsidRPr="00A147CE" w:rsidRDefault="00BF0CA8" w:rsidP="00CC4260">
            <w:pPr>
              <w:widowControl w:val="0"/>
              <w:tabs>
                <w:tab w:val="clear" w:pos="2835"/>
              </w:tabs>
              <w:rPr>
                <w:rFonts w:eastAsia="Calibri" w:cs="Arial"/>
                <w:b/>
                <w:bCs/>
                <w:szCs w:val="22"/>
                <w:lang w:val="es-CL" w:eastAsia="en-US"/>
              </w:rPr>
            </w:pPr>
          </w:p>
        </w:tc>
        <w:tc>
          <w:tcPr>
            <w:tcW w:w="1667" w:type="pct"/>
          </w:tcPr>
          <w:p w14:paraId="277990C7" w14:textId="77777777" w:rsidR="0079234C" w:rsidRDefault="0079234C" w:rsidP="0079234C">
            <w:pPr>
              <w:tabs>
                <w:tab w:val="clear" w:pos="2835"/>
              </w:tabs>
              <w:rPr>
                <w:rFonts w:cs="Arial"/>
                <w:szCs w:val="22"/>
                <w:lang w:val="es-MX"/>
              </w:rPr>
            </w:pPr>
          </w:p>
          <w:p w14:paraId="495ADC2A" w14:textId="77777777" w:rsidR="0079234C" w:rsidRDefault="0079234C" w:rsidP="0079234C">
            <w:pPr>
              <w:tabs>
                <w:tab w:val="clear" w:pos="2835"/>
              </w:tabs>
              <w:rPr>
                <w:rFonts w:cs="Arial"/>
                <w:szCs w:val="22"/>
                <w:lang w:val="es-MX"/>
              </w:rPr>
            </w:pPr>
          </w:p>
          <w:p w14:paraId="3DBD0CFA" w14:textId="77777777" w:rsidR="0079234C" w:rsidRDefault="0079234C" w:rsidP="0079234C">
            <w:pPr>
              <w:tabs>
                <w:tab w:val="clear" w:pos="2835"/>
              </w:tabs>
              <w:rPr>
                <w:rFonts w:cs="Arial"/>
                <w:szCs w:val="22"/>
                <w:lang w:val="es-MX"/>
              </w:rPr>
            </w:pPr>
          </w:p>
          <w:p w14:paraId="18A7A4DF" w14:textId="77777777" w:rsidR="0079234C" w:rsidRDefault="0079234C" w:rsidP="0079234C">
            <w:pPr>
              <w:tabs>
                <w:tab w:val="clear" w:pos="2835"/>
              </w:tabs>
              <w:rPr>
                <w:rFonts w:cs="Arial"/>
                <w:szCs w:val="22"/>
                <w:lang w:val="es-MX"/>
              </w:rPr>
            </w:pPr>
          </w:p>
          <w:p w14:paraId="726CAE83" w14:textId="77777777" w:rsidR="0079234C" w:rsidRPr="0079234C" w:rsidRDefault="0079234C" w:rsidP="0079234C">
            <w:pPr>
              <w:tabs>
                <w:tab w:val="clear" w:pos="2835"/>
              </w:tabs>
              <w:rPr>
                <w:rFonts w:cs="Arial"/>
                <w:szCs w:val="22"/>
                <w:lang w:val="es-MX"/>
              </w:rPr>
            </w:pPr>
          </w:p>
          <w:p w14:paraId="72B970EF" w14:textId="77777777" w:rsidR="00BF0CA8" w:rsidRDefault="00BF0CA8" w:rsidP="0079234C">
            <w:pPr>
              <w:tabs>
                <w:tab w:val="clear" w:pos="2835"/>
              </w:tabs>
              <w:rPr>
                <w:rFonts w:eastAsia="Calibri" w:cs="Arial"/>
                <w:b/>
                <w:bCs/>
                <w:szCs w:val="22"/>
                <w:lang w:val="es-CL" w:eastAsia="en-US"/>
              </w:rPr>
            </w:pPr>
          </w:p>
        </w:tc>
      </w:tr>
      <w:bookmarkEnd w:id="2"/>
      <w:tr w:rsidR="00BF0CA8" w14:paraId="5482FBF1" w14:textId="4F2E6A53" w:rsidTr="00BF0CA8">
        <w:trPr>
          <w:jc w:val="center"/>
        </w:trPr>
        <w:tc>
          <w:tcPr>
            <w:tcW w:w="1667" w:type="pct"/>
          </w:tcPr>
          <w:p w14:paraId="033E80EE" w14:textId="77777777" w:rsidR="00BF0CA8" w:rsidRDefault="00BF0CA8" w:rsidP="00A147CE">
            <w:pPr>
              <w:pStyle w:val="Textonotapie"/>
              <w:rPr>
                <w:sz w:val="22"/>
                <w:szCs w:val="22"/>
              </w:rPr>
            </w:pPr>
            <w:r w:rsidRPr="00A147CE">
              <w:rPr>
                <w:sz w:val="22"/>
                <w:szCs w:val="22"/>
              </w:rPr>
              <w:t xml:space="preserve">Artículo 53.- Se entenderá por aporte adicional el monto, expresado en Unidades de Fomento, que resulte de la diferencia entre el capital necesario para financiar las pensiones de referencia más la cuota mortuoria y la suma del capital acumulado por el afiliado y el Bono de Reconocimiento, a la fecha en </w:t>
            </w:r>
            <w:r w:rsidRPr="00A147CE">
              <w:rPr>
                <w:sz w:val="22"/>
                <w:szCs w:val="22"/>
              </w:rPr>
              <w:lastRenderedPageBreak/>
              <w:t>que el afiliado fallezca o quede ejecutoriado el dictamen que declara definitiva la invalidez. Cuando dicha diferencia sea negativa, el aporte adicional será igual a cero.</w:t>
            </w:r>
          </w:p>
          <w:p w14:paraId="0FE4DF10" w14:textId="77777777" w:rsidR="00BF0CA8" w:rsidRPr="00A147CE" w:rsidRDefault="00BF0CA8" w:rsidP="00A147CE">
            <w:pPr>
              <w:pStyle w:val="Textonotapie"/>
              <w:rPr>
                <w:sz w:val="22"/>
                <w:szCs w:val="22"/>
              </w:rPr>
            </w:pPr>
          </w:p>
          <w:p w14:paraId="5A4E2FEC" w14:textId="77777777" w:rsidR="00BF0CA8" w:rsidRDefault="00BF0CA8" w:rsidP="00A147CE">
            <w:pPr>
              <w:pStyle w:val="Textonotapie"/>
              <w:rPr>
                <w:sz w:val="22"/>
                <w:szCs w:val="22"/>
              </w:rPr>
            </w:pPr>
            <w:r w:rsidRPr="00A147CE">
              <w:rPr>
                <w:sz w:val="22"/>
                <w:szCs w:val="22"/>
              </w:rPr>
              <w:t xml:space="preserve">    Para el cálculo del aporte adicional de afiliados declarados inválidos parciales, no se considerará como capital acumulado por el afiliado las cotizaciones enteradas durante el período transitorio ni el saldo retenido a que se refiere el artículo 65 bis.</w:t>
            </w:r>
          </w:p>
          <w:p w14:paraId="049149AE" w14:textId="77777777" w:rsidR="00BF0CA8" w:rsidRPr="00A147CE" w:rsidRDefault="00BF0CA8" w:rsidP="00A147CE">
            <w:pPr>
              <w:pStyle w:val="Textonotapie"/>
              <w:rPr>
                <w:sz w:val="22"/>
                <w:szCs w:val="22"/>
              </w:rPr>
            </w:pPr>
          </w:p>
          <w:p w14:paraId="54C43CA0" w14:textId="77777777" w:rsidR="00BF0CA8" w:rsidRPr="00A147CE" w:rsidRDefault="00BF0CA8" w:rsidP="00A147CE">
            <w:pPr>
              <w:pStyle w:val="Textonotapie"/>
              <w:rPr>
                <w:sz w:val="22"/>
                <w:szCs w:val="22"/>
              </w:rPr>
            </w:pPr>
            <w:r w:rsidRPr="00A147CE">
              <w:rPr>
                <w:sz w:val="22"/>
                <w:szCs w:val="22"/>
              </w:rPr>
              <w:t xml:space="preserve">    Se entenderá por contribución el monto representativo de las cotizaciones que el afiliado habría acumulado en su cuenta de capitalización individual, si hubiere cotizado en dicha cuenta el diez por ciento de las pensiones de invalidez pagadas conforme al primer dictamen, y su valor, expresado en Unidades de Fomento, se determinará como el producto que resulte entre el monto de la pensión de invalidez y el número de meses durante el cual ésta se percibió dividido por nueve. Para todos los efectos, una vez enterada la contribución se entenderá parte del capital acumulado por el afiliado.</w:t>
            </w:r>
          </w:p>
          <w:p w14:paraId="22DBC60A" w14:textId="77777777" w:rsidR="00BF0CA8" w:rsidRPr="00A147CE" w:rsidRDefault="00BF0CA8">
            <w:pPr>
              <w:rPr>
                <w:szCs w:val="22"/>
              </w:rPr>
            </w:pPr>
          </w:p>
        </w:tc>
        <w:tc>
          <w:tcPr>
            <w:tcW w:w="1667" w:type="pct"/>
          </w:tcPr>
          <w:p w14:paraId="64493D48"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b/>
                <w:bCs/>
                <w:szCs w:val="22"/>
                <w:lang w:val="es-CL" w:eastAsia="en-US"/>
              </w:rPr>
              <w:lastRenderedPageBreak/>
              <w:t>Artículo 7º.-</w:t>
            </w:r>
            <w:r w:rsidRPr="00A147CE">
              <w:rPr>
                <w:rFonts w:eastAsia="Calibri" w:cs="Arial"/>
                <w:szCs w:val="22"/>
                <w:lang w:val="es-CL" w:eastAsia="en-US"/>
              </w:rPr>
              <w:t xml:space="preserve"> A efectos del cálculo del Aporte Adicional a que se refiere el </w:t>
            </w:r>
            <w:r w:rsidRPr="000C1690">
              <w:rPr>
                <w:rFonts w:eastAsia="Calibri" w:cs="Arial"/>
                <w:szCs w:val="22"/>
                <w:u w:val="single"/>
                <w:lang w:val="es-CL" w:eastAsia="en-US"/>
              </w:rPr>
              <w:t>artículo 53 del decreto ley Nº 3.500, de 1980</w:t>
            </w:r>
            <w:r w:rsidRPr="00A147CE">
              <w:rPr>
                <w:rFonts w:eastAsia="Calibri" w:cs="Arial"/>
                <w:szCs w:val="22"/>
                <w:lang w:val="es-CL" w:eastAsia="en-US"/>
              </w:rPr>
              <w:t xml:space="preserve">, no se considerará el retiro efectuado de conformidad a esta ley, entendiéndose que tales montos, reajustados por el Índice de Precios al Consumidor, siguen formando parte del saldo por </w:t>
            </w:r>
            <w:r w:rsidRPr="00A147CE">
              <w:rPr>
                <w:rFonts w:eastAsia="Calibri" w:cs="Arial"/>
                <w:szCs w:val="22"/>
                <w:lang w:val="es-CL" w:eastAsia="en-US"/>
              </w:rPr>
              <w:lastRenderedPageBreak/>
              <w:t xml:space="preserve">cotizaciones obligatorias del afiliado. </w:t>
            </w:r>
          </w:p>
          <w:p w14:paraId="68C0D037" w14:textId="77777777" w:rsidR="00BF0CA8" w:rsidRPr="00A147CE" w:rsidRDefault="00BF0CA8" w:rsidP="00CC4260">
            <w:pPr>
              <w:widowControl w:val="0"/>
              <w:tabs>
                <w:tab w:val="clear" w:pos="2835"/>
              </w:tabs>
              <w:rPr>
                <w:rFonts w:eastAsia="Calibri" w:cs="Arial"/>
                <w:szCs w:val="22"/>
                <w:lang w:val="es-CL" w:eastAsia="en-US"/>
              </w:rPr>
            </w:pPr>
          </w:p>
          <w:p w14:paraId="4800BEBF" w14:textId="77777777" w:rsidR="00BF0CA8" w:rsidRPr="00A147CE" w:rsidRDefault="00BF0CA8" w:rsidP="00CC4260">
            <w:pPr>
              <w:widowControl w:val="0"/>
              <w:tabs>
                <w:tab w:val="clear" w:pos="2835"/>
              </w:tabs>
              <w:rPr>
                <w:rFonts w:eastAsia="Calibri" w:cs="Arial"/>
                <w:szCs w:val="22"/>
                <w:lang w:val="es-CL" w:eastAsia="en-US"/>
              </w:rPr>
            </w:pPr>
            <w:r w:rsidRPr="00A147CE">
              <w:rPr>
                <w:rFonts w:eastAsia="Calibri" w:cs="Arial"/>
                <w:szCs w:val="22"/>
                <w:lang w:val="es-CL" w:eastAsia="en-US"/>
              </w:rPr>
              <w:t>La Superintendencia de Pensiones establecerá por norma de carácter general la forma de cálculo aplicable para estos efectos, la que deberá considerar los montos que se hayan reintegrado de acuerdo al artículo 6º.</w:t>
            </w:r>
          </w:p>
          <w:p w14:paraId="5FA28D63" w14:textId="77777777" w:rsidR="00BF0CA8" w:rsidRPr="00A147CE" w:rsidRDefault="00BF0CA8" w:rsidP="00CC4260">
            <w:pPr>
              <w:widowControl w:val="0"/>
              <w:tabs>
                <w:tab w:val="clear" w:pos="2835"/>
              </w:tabs>
              <w:rPr>
                <w:rFonts w:eastAsia="Calibri" w:cs="Arial"/>
                <w:b/>
                <w:bCs/>
                <w:szCs w:val="22"/>
                <w:lang w:val="es-CL" w:eastAsia="en-US"/>
              </w:rPr>
            </w:pPr>
          </w:p>
        </w:tc>
        <w:tc>
          <w:tcPr>
            <w:tcW w:w="1667" w:type="pct"/>
          </w:tcPr>
          <w:p w14:paraId="42B1C267" w14:textId="77777777" w:rsidR="00BF0CA8" w:rsidRPr="00A147CE" w:rsidRDefault="00BF0CA8" w:rsidP="00A32481">
            <w:pPr>
              <w:widowControl w:val="0"/>
              <w:tabs>
                <w:tab w:val="clear" w:pos="2835"/>
              </w:tabs>
              <w:rPr>
                <w:rFonts w:eastAsia="Calibri" w:cs="Arial"/>
                <w:b/>
                <w:bCs/>
                <w:szCs w:val="22"/>
                <w:lang w:val="es-CL" w:eastAsia="en-US"/>
              </w:rPr>
            </w:pPr>
          </w:p>
        </w:tc>
      </w:tr>
      <w:tr w:rsidR="00BF0CA8" w14:paraId="65EB69BE" w14:textId="387BB180" w:rsidTr="00BF0CA8">
        <w:trPr>
          <w:jc w:val="center"/>
        </w:trPr>
        <w:tc>
          <w:tcPr>
            <w:tcW w:w="1667" w:type="pct"/>
          </w:tcPr>
          <w:p w14:paraId="40081F0C" w14:textId="77777777" w:rsidR="00BF0CA8" w:rsidRPr="00A147CE" w:rsidRDefault="00BF0CA8">
            <w:pPr>
              <w:rPr>
                <w:szCs w:val="22"/>
              </w:rPr>
            </w:pPr>
          </w:p>
        </w:tc>
        <w:tc>
          <w:tcPr>
            <w:tcW w:w="1667" w:type="pct"/>
          </w:tcPr>
          <w:p w14:paraId="0239FC1C" w14:textId="77777777" w:rsidR="00BF0CA8" w:rsidRPr="00A147CE" w:rsidRDefault="00BF0CA8" w:rsidP="00CC4260">
            <w:pPr>
              <w:widowControl w:val="0"/>
              <w:tabs>
                <w:tab w:val="clear" w:pos="2835"/>
                <w:tab w:val="left" w:pos="969"/>
              </w:tabs>
              <w:rPr>
                <w:rFonts w:eastAsia="Calibri" w:cs="Arial"/>
                <w:b/>
                <w:bCs/>
                <w:szCs w:val="22"/>
                <w:lang w:val="es-CL" w:eastAsia="en-US"/>
              </w:rPr>
            </w:pPr>
            <w:r w:rsidRPr="00A147CE">
              <w:rPr>
                <w:rFonts w:eastAsia="Calibri" w:cs="Arial"/>
                <w:b/>
                <w:bCs/>
                <w:szCs w:val="22"/>
              </w:rPr>
              <w:t>Artículo 8º.-</w:t>
            </w:r>
            <w:r w:rsidRPr="00A147CE">
              <w:rPr>
                <w:rFonts w:eastAsia="Calibri" w:cs="Arial"/>
                <w:szCs w:val="22"/>
              </w:rPr>
              <w:t xml:space="preserve">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w:t>
            </w:r>
          </w:p>
          <w:p w14:paraId="058967B0" w14:textId="77777777" w:rsidR="00BF0CA8" w:rsidRPr="00A147CE" w:rsidRDefault="00BF0CA8" w:rsidP="00CC4260">
            <w:pPr>
              <w:widowControl w:val="0"/>
              <w:tabs>
                <w:tab w:val="clear" w:pos="2835"/>
                <w:tab w:val="left" w:pos="969"/>
              </w:tabs>
              <w:rPr>
                <w:rFonts w:eastAsia="Calibri" w:cs="Arial"/>
                <w:b/>
                <w:bCs/>
                <w:szCs w:val="22"/>
                <w:lang w:val="es-CL" w:eastAsia="en-US"/>
              </w:rPr>
            </w:pPr>
          </w:p>
        </w:tc>
        <w:tc>
          <w:tcPr>
            <w:tcW w:w="1667" w:type="pct"/>
          </w:tcPr>
          <w:p w14:paraId="47FBA52A" w14:textId="77777777" w:rsidR="0079234C" w:rsidRPr="0079234C" w:rsidRDefault="0079234C" w:rsidP="0079234C">
            <w:pPr>
              <w:tabs>
                <w:tab w:val="clear" w:pos="2835"/>
              </w:tabs>
              <w:rPr>
                <w:rFonts w:ascii="Calibri" w:eastAsia="Calibri" w:hAnsi="Calibri"/>
                <w:b/>
                <w:szCs w:val="22"/>
                <w:lang w:eastAsia="en-US"/>
              </w:rPr>
            </w:pPr>
            <w:r w:rsidRPr="0079234C">
              <w:rPr>
                <w:rFonts w:cs="Arial"/>
                <w:szCs w:val="22"/>
                <w:lang w:val="es-MX"/>
              </w:rPr>
              <w:t>Artículo 6º.-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w:t>
            </w:r>
            <w:r w:rsidRPr="0079234C">
              <w:rPr>
                <w:rFonts w:cs="Arial"/>
                <w:szCs w:val="22"/>
                <w:lang w:val="es-ES_tradnl"/>
              </w:rPr>
              <w:t>”.</w:t>
            </w:r>
          </w:p>
          <w:p w14:paraId="7C554B4C" w14:textId="77777777" w:rsidR="0079234C" w:rsidRDefault="0079234C" w:rsidP="00CC4260">
            <w:pPr>
              <w:widowControl w:val="0"/>
              <w:tabs>
                <w:tab w:val="clear" w:pos="2835"/>
                <w:tab w:val="left" w:pos="969"/>
              </w:tabs>
              <w:rPr>
                <w:rFonts w:eastAsia="Calibri" w:cs="Arial"/>
                <w:b/>
                <w:bCs/>
                <w:szCs w:val="22"/>
              </w:rPr>
            </w:pPr>
          </w:p>
        </w:tc>
      </w:tr>
    </w:tbl>
    <w:p w14:paraId="13449531" w14:textId="77777777" w:rsidR="00CC4260" w:rsidRPr="00CC4260" w:rsidRDefault="00CC4260">
      <w:r w:rsidRPr="00CC4260">
        <w:t>COMISIONES DE HACIENDA Y DE TRABAJO Y PREVISIÓN SOCIAL, UNIDAS, NOVIEMBRE 2020.-</w:t>
      </w:r>
    </w:p>
    <w:sectPr w:rsidR="00CC4260" w:rsidRPr="00CC4260" w:rsidSect="00C11D8F">
      <w:headerReference w:type="even" r:id="rId7"/>
      <w:headerReference w:type="default" r:id="rId8"/>
      <w:pgSz w:w="18722" w:h="12242" w:orient="landscape" w:code="14"/>
      <w:pgMar w:top="1134" w:right="1134" w:bottom="1134" w:left="1134" w:header="720" w:footer="72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AA03" w14:textId="77777777" w:rsidR="008478A1" w:rsidRDefault="008478A1">
      <w:r>
        <w:separator/>
      </w:r>
    </w:p>
  </w:endnote>
  <w:endnote w:type="continuationSeparator" w:id="0">
    <w:p w14:paraId="584BEC72" w14:textId="77777777" w:rsidR="008478A1" w:rsidRDefault="0084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6175" w14:textId="77777777" w:rsidR="008478A1" w:rsidRDefault="008478A1">
      <w:r>
        <w:separator/>
      </w:r>
    </w:p>
  </w:footnote>
  <w:footnote w:type="continuationSeparator" w:id="0">
    <w:p w14:paraId="43C80AFE" w14:textId="77777777" w:rsidR="008478A1" w:rsidRDefault="008478A1">
      <w:r>
        <w:continuationSeparator/>
      </w:r>
    </w:p>
  </w:footnote>
  <w:footnote w:id="1">
    <w:p w14:paraId="23A177ED" w14:textId="77777777" w:rsidR="00BF0CA8" w:rsidRDefault="00BF0CA8">
      <w:pPr>
        <w:pStyle w:val="Textonotapie"/>
      </w:pPr>
      <w:r>
        <w:rPr>
          <w:rStyle w:val="Refdenotaalpie"/>
        </w:rPr>
        <w:footnoteRef/>
      </w:r>
      <w:r>
        <w:t xml:space="preserve"> </w:t>
      </w:r>
      <w:r w:rsidRPr="00CC4260">
        <w:t>ESTABLECE NUEVO SISTEMA DE PENSIONES</w:t>
      </w:r>
    </w:p>
  </w:footnote>
  <w:footnote w:id="2">
    <w:p w14:paraId="04828755" w14:textId="77777777" w:rsidR="00BF0CA8" w:rsidRPr="00B051C3" w:rsidRDefault="00BF0CA8" w:rsidP="00B051C3">
      <w:pPr>
        <w:rPr>
          <w:rFonts w:cs="Arial"/>
          <w:color w:val="000000"/>
          <w:sz w:val="20"/>
          <w:lang w:val="es-CL" w:eastAsia="es-CL"/>
        </w:rPr>
      </w:pPr>
      <w:r>
        <w:rPr>
          <w:rStyle w:val="Refdenotaalpie"/>
        </w:rPr>
        <w:footnoteRef/>
      </w:r>
      <w:r>
        <w:t xml:space="preserve"> </w:t>
      </w:r>
      <w:r w:rsidRPr="00B051C3">
        <w:rPr>
          <w:rFonts w:cs="Arial"/>
          <w:color w:val="000000"/>
          <w:sz w:val="20"/>
          <w:lang w:val="es-CL" w:eastAsia="es-CL"/>
        </w:rPr>
        <w:t>A</w:t>
      </w:r>
      <w:r>
        <w:rPr>
          <w:rFonts w:cs="Arial"/>
          <w:color w:val="000000"/>
          <w:sz w:val="20"/>
          <w:lang w:val="es-CL" w:eastAsia="es-CL"/>
        </w:rPr>
        <w:t xml:space="preserve">rtículo 38 bis.- Las </w:t>
      </w:r>
      <w:r w:rsidRPr="00B051C3">
        <w:rPr>
          <w:rFonts w:cs="Arial"/>
          <w:color w:val="000000"/>
          <w:sz w:val="20"/>
          <w:lang w:val="es-CL" w:eastAsia="es-CL"/>
        </w:rPr>
        <w:t>remuneraciones del Presidente de la República, de los senadores y diputados, de los gobernadores regionales, de los funcionarios de exclusiva confianza del Jefe del Estado que señalan los números 7° y 10° del artículo 32 y de los contratados sobre la base de honorarios que asesoren directamente a las autoridades gubernativas ya indicadas, serán fijadas, cada cuatro años y con a lo menos dieciocho meses de anticipación al término de un período presidencial, por una comisión cuyo funcionamiento, organización, funciones y atribuciones establecerá una ley orgánica constitucional.</w:t>
      </w:r>
    </w:p>
    <w:p w14:paraId="1E8E7F41"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La comisión estará integrada por las siguientes personas:</w:t>
      </w:r>
    </w:p>
    <w:p w14:paraId="5BB49D01"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a) Un ex Ministro de Hacienda.</w:t>
      </w:r>
    </w:p>
    <w:p w14:paraId="3AF818A3"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b) Un ex Consejero del Banco Central.</w:t>
      </w:r>
    </w:p>
    <w:p w14:paraId="5AD606EC"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c) Un ex Contralor o Subcontralor de la Contraloría General de la República.</w:t>
      </w:r>
    </w:p>
    <w:p w14:paraId="5FD4602D"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d) Un ex Presidente de una de las ramas que integran el Congreso Nacional.</w:t>
      </w:r>
    </w:p>
    <w:p w14:paraId="717A9362"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e) Un ex Director Nacional del Servicio Civil.</w:t>
      </w:r>
    </w:p>
    <w:p w14:paraId="06750C2B"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Sus integrantes serán designados por el Presidente de la República con el acuerdo de los dos tercios de los senadores en ejercicio.</w:t>
      </w:r>
    </w:p>
    <w:p w14:paraId="536080F2" w14:textId="77777777" w:rsidR="00BF0CA8" w:rsidRPr="00B051C3" w:rsidRDefault="00BF0CA8" w:rsidP="00B051C3">
      <w:pPr>
        <w:shd w:val="clear" w:color="auto" w:fill="FFFFFF"/>
        <w:tabs>
          <w:tab w:val="clear" w:pos="2835"/>
        </w:tabs>
        <w:jc w:val="left"/>
        <w:rPr>
          <w:rFonts w:cs="Arial"/>
          <w:color w:val="000000"/>
          <w:sz w:val="20"/>
          <w:lang w:val="es-CL" w:eastAsia="es-CL"/>
        </w:rPr>
      </w:pPr>
      <w:r w:rsidRPr="00B051C3">
        <w:rPr>
          <w:rFonts w:cs="Arial"/>
          <w:color w:val="000000"/>
          <w:sz w:val="20"/>
          <w:lang w:val="es-CL" w:eastAsia="es-CL"/>
        </w:rPr>
        <w:t>    Los acuerdos de la comisión serán públicos, se fundarán en antecedentes técnicos y deberán establecer una remuneración que garantice una retribución adecuada a la responsabilidad del cargo y la independencia para cumplir sus funciones y atribuciones.</w:t>
      </w:r>
    </w:p>
    <w:p w14:paraId="383FAE03" w14:textId="77777777" w:rsidR="00BF0CA8" w:rsidRDefault="00BF0CA8">
      <w:pPr>
        <w:pStyle w:val="Textonotapie"/>
      </w:pPr>
    </w:p>
  </w:footnote>
  <w:footnote w:id="3">
    <w:p w14:paraId="7E038AB8" w14:textId="77777777" w:rsidR="00BF0CA8" w:rsidRDefault="00BF0CA8">
      <w:pPr>
        <w:pStyle w:val="Textonotapie"/>
      </w:pPr>
      <w:r>
        <w:rPr>
          <w:rStyle w:val="Refdenotaalpie"/>
        </w:rPr>
        <w:footnoteRef/>
      </w:r>
      <w:r>
        <w:t xml:space="preserve"> </w:t>
      </w:r>
      <w:r w:rsidRPr="00CC4260">
        <w:t>MODIFICA LA LEY Nº 19.968, QUE CREA LOS TRIBUNALES DE FAMILIA, PARA INCORPORAR DISPOSICIONES TRANSITORIAS DE REGULACIÓN DE MEDIDAS DE RETENCIÓN JUDICIAL DE FONDOS PREVISIONALES Y DE SUSPENSIÓN DE LA TRAMITACIÓN DE LA SOLICITUD DE RETIRO DE FONDOS EN RAZÓN DE DEUDAS POR OBLIGACIONES ALIMENTARIAS</w:t>
      </w:r>
    </w:p>
  </w:footnote>
  <w:footnote w:id="4">
    <w:p w14:paraId="68EDA8AE" w14:textId="77777777" w:rsidR="00BF0CA8" w:rsidRDefault="00BF0CA8">
      <w:pPr>
        <w:pStyle w:val="Textonotapie"/>
      </w:pPr>
      <w:r>
        <w:rPr>
          <w:rStyle w:val="Refdenotaalpie"/>
        </w:rPr>
        <w:footnoteRef/>
      </w:r>
      <w:r>
        <w:t xml:space="preserve"> </w:t>
      </w:r>
      <w:r w:rsidRPr="00CC4260">
        <w:t>MODIFICA LAS NORMAS PARA LA INCORPORACIÓN DE LOS TRABAJADORES INDEPENDIENTES A LOS REGÍMENES DE PROTECCIÓN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A70F" w14:textId="77777777" w:rsidR="004B0D5D" w:rsidRDefault="004B0D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8CD5F9" w14:textId="77777777" w:rsidR="004B0D5D" w:rsidRDefault="004B0D5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EB2D" w14:textId="77777777" w:rsidR="004B0D5D" w:rsidRDefault="004B0D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DD5">
      <w:rPr>
        <w:rStyle w:val="Nmerodepgina"/>
        <w:noProof/>
      </w:rPr>
      <w:t>7</w:t>
    </w:r>
    <w:r>
      <w:rPr>
        <w:rStyle w:val="Nmerodepgina"/>
      </w:rPr>
      <w:fldChar w:fldCharType="end"/>
    </w:r>
  </w:p>
  <w:p w14:paraId="0A9ED0E7" w14:textId="77777777" w:rsidR="004B0D5D" w:rsidRDefault="004B0D5D">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14"/>
    <w:rsid w:val="000002B6"/>
    <w:rsid w:val="000048D8"/>
    <w:rsid w:val="000060A8"/>
    <w:rsid w:val="0000780C"/>
    <w:rsid w:val="00011F48"/>
    <w:rsid w:val="000130D4"/>
    <w:rsid w:val="00013DDF"/>
    <w:rsid w:val="00024D56"/>
    <w:rsid w:val="0003466F"/>
    <w:rsid w:val="00034B8A"/>
    <w:rsid w:val="00062CC2"/>
    <w:rsid w:val="00070C1B"/>
    <w:rsid w:val="00072966"/>
    <w:rsid w:val="00074AEE"/>
    <w:rsid w:val="0008598B"/>
    <w:rsid w:val="00090BD1"/>
    <w:rsid w:val="00092919"/>
    <w:rsid w:val="000948E3"/>
    <w:rsid w:val="000A1848"/>
    <w:rsid w:val="000A4995"/>
    <w:rsid w:val="000B23F9"/>
    <w:rsid w:val="000B3E4E"/>
    <w:rsid w:val="000C1690"/>
    <w:rsid w:val="000C2D6F"/>
    <w:rsid w:val="000D3B81"/>
    <w:rsid w:val="000D5270"/>
    <w:rsid w:val="000D7BC9"/>
    <w:rsid w:val="000E038B"/>
    <w:rsid w:val="000E0814"/>
    <w:rsid w:val="000E58EE"/>
    <w:rsid w:val="000F4285"/>
    <w:rsid w:val="000F7552"/>
    <w:rsid w:val="00106E77"/>
    <w:rsid w:val="00115599"/>
    <w:rsid w:val="00117CE8"/>
    <w:rsid w:val="00122DAB"/>
    <w:rsid w:val="00134090"/>
    <w:rsid w:val="00141EB5"/>
    <w:rsid w:val="00143028"/>
    <w:rsid w:val="00153196"/>
    <w:rsid w:val="001571CA"/>
    <w:rsid w:val="001629CD"/>
    <w:rsid w:val="0017118A"/>
    <w:rsid w:val="001718C3"/>
    <w:rsid w:val="00174D50"/>
    <w:rsid w:val="00196F57"/>
    <w:rsid w:val="001A4E1D"/>
    <w:rsid w:val="001B63F4"/>
    <w:rsid w:val="001B7AF3"/>
    <w:rsid w:val="001C2D34"/>
    <w:rsid w:val="001C7388"/>
    <w:rsid w:val="001D0D80"/>
    <w:rsid w:val="001D1353"/>
    <w:rsid w:val="001D6925"/>
    <w:rsid w:val="001F55D7"/>
    <w:rsid w:val="001F689F"/>
    <w:rsid w:val="001F68AD"/>
    <w:rsid w:val="001F6D90"/>
    <w:rsid w:val="001F6FC6"/>
    <w:rsid w:val="00216303"/>
    <w:rsid w:val="00224929"/>
    <w:rsid w:val="00227CBD"/>
    <w:rsid w:val="00227FA8"/>
    <w:rsid w:val="00235B31"/>
    <w:rsid w:val="002441B5"/>
    <w:rsid w:val="002475A0"/>
    <w:rsid w:val="00254D2F"/>
    <w:rsid w:val="00255BEA"/>
    <w:rsid w:val="00261A4C"/>
    <w:rsid w:val="00266F47"/>
    <w:rsid w:val="0026761A"/>
    <w:rsid w:val="002736A9"/>
    <w:rsid w:val="002778EB"/>
    <w:rsid w:val="0028732A"/>
    <w:rsid w:val="002C259B"/>
    <w:rsid w:val="002C36F3"/>
    <w:rsid w:val="002C3B4F"/>
    <w:rsid w:val="002C3DFE"/>
    <w:rsid w:val="002D2D9E"/>
    <w:rsid w:val="002D55A7"/>
    <w:rsid w:val="002D6EF7"/>
    <w:rsid w:val="002E6046"/>
    <w:rsid w:val="002F036E"/>
    <w:rsid w:val="002F069F"/>
    <w:rsid w:val="002F2158"/>
    <w:rsid w:val="002F3DD5"/>
    <w:rsid w:val="002F5A9C"/>
    <w:rsid w:val="00302904"/>
    <w:rsid w:val="0030675C"/>
    <w:rsid w:val="003461C8"/>
    <w:rsid w:val="003473B1"/>
    <w:rsid w:val="0035224B"/>
    <w:rsid w:val="003723B2"/>
    <w:rsid w:val="003762C6"/>
    <w:rsid w:val="0037696A"/>
    <w:rsid w:val="00386584"/>
    <w:rsid w:val="00395321"/>
    <w:rsid w:val="003B2278"/>
    <w:rsid w:val="003C0E8E"/>
    <w:rsid w:val="003D1D84"/>
    <w:rsid w:val="003D2B52"/>
    <w:rsid w:val="003E0703"/>
    <w:rsid w:val="003F0C17"/>
    <w:rsid w:val="003F3A82"/>
    <w:rsid w:val="003F5AD5"/>
    <w:rsid w:val="003F7AEC"/>
    <w:rsid w:val="004065CA"/>
    <w:rsid w:val="00406A99"/>
    <w:rsid w:val="00407724"/>
    <w:rsid w:val="00425406"/>
    <w:rsid w:val="0043076F"/>
    <w:rsid w:val="00434CF5"/>
    <w:rsid w:val="00435E86"/>
    <w:rsid w:val="00446BC5"/>
    <w:rsid w:val="00453B25"/>
    <w:rsid w:val="004554C6"/>
    <w:rsid w:val="0046597C"/>
    <w:rsid w:val="00465C9F"/>
    <w:rsid w:val="00471FF5"/>
    <w:rsid w:val="00474475"/>
    <w:rsid w:val="00480813"/>
    <w:rsid w:val="00480FF9"/>
    <w:rsid w:val="00494CC4"/>
    <w:rsid w:val="00495012"/>
    <w:rsid w:val="004978E8"/>
    <w:rsid w:val="004A361C"/>
    <w:rsid w:val="004A6BAF"/>
    <w:rsid w:val="004A6D7F"/>
    <w:rsid w:val="004B0D5D"/>
    <w:rsid w:val="004B4946"/>
    <w:rsid w:val="004C0DD9"/>
    <w:rsid w:val="004C6BC0"/>
    <w:rsid w:val="004D340B"/>
    <w:rsid w:val="004E1E00"/>
    <w:rsid w:val="004E2D09"/>
    <w:rsid w:val="004E53D8"/>
    <w:rsid w:val="004F4539"/>
    <w:rsid w:val="00505047"/>
    <w:rsid w:val="005067D2"/>
    <w:rsid w:val="0051579C"/>
    <w:rsid w:val="00526211"/>
    <w:rsid w:val="00526539"/>
    <w:rsid w:val="0053068D"/>
    <w:rsid w:val="00534B5C"/>
    <w:rsid w:val="005353AB"/>
    <w:rsid w:val="00543868"/>
    <w:rsid w:val="00545B79"/>
    <w:rsid w:val="00555737"/>
    <w:rsid w:val="005603D1"/>
    <w:rsid w:val="005737F2"/>
    <w:rsid w:val="00584D8C"/>
    <w:rsid w:val="0058553E"/>
    <w:rsid w:val="005877AC"/>
    <w:rsid w:val="005906F3"/>
    <w:rsid w:val="00595B85"/>
    <w:rsid w:val="00595CC0"/>
    <w:rsid w:val="00597AF7"/>
    <w:rsid w:val="005A0248"/>
    <w:rsid w:val="005A39F3"/>
    <w:rsid w:val="005D075D"/>
    <w:rsid w:val="005D1B9A"/>
    <w:rsid w:val="005D1FEC"/>
    <w:rsid w:val="005D6DD2"/>
    <w:rsid w:val="005E0717"/>
    <w:rsid w:val="005E21D2"/>
    <w:rsid w:val="005F60B6"/>
    <w:rsid w:val="005F727B"/>
    <w:rsid w:val="005F72FD"/>
    <w:rsid w:val="0060133C"/>
    <w:rsid w:val="00613087"/>
    <w:rsid w:val="00614ADA"/>
    <w:rsid w:val="00624836"/>
    <w:rsid w:val="00627891"/>
    <w:rsid w:val="00630A94"/>
    <w:rsid w:val="00634312"/>
    <w:rsid w:val="00635441"/>
    <w:rsid w:val="00636700"/>
    <w:rsid w:val="00641AA7"/>
    <w:rsid w:val="00646BEC"/>
    <w:rsid w:val="0065432F"/>
    <w:rsid w:val="00677B6A"/>
    <w:rsid w:val="00690618"/>
    <w:rsid w:val="006A0204"/>
    <w:rsid w:val="006A22F9"/>
    <w:rsid w:val="006B2AB1"/>
    <w:rsid w:val="006B2FCB"/>
    <w:rsid w:val="006C1535"/>
    <w:rsid w:val="006C5153"/>
    <w:rsid w:val="006D370F"/>
    <w:rsid w:val="006D6576"/>
    <w:rsid w:val="006D74E2"/>
    <w:rsid w:val="006F4DE7"/>
    <w:rsid w:val="00730FBD"/>
    <w:rsid w:val="007365C3"/>
    <w:rsid w:val="007367A3"/>
    <w:rsid w:val="00772E15"/>
    <w:rsid w:val="0078090B"/>
    <w:rsid w:val="00783D0E"/>
    <w:rsid w:val="0079234C"/>
    <w:rsid w:val="007A41FA"/>
    <w:rsid w:val="007C1A07"/>
    <w:rsid w:val="007C204E"/>
    <w:rsid w:val="007D588F"/>
    <w:rsid w:val="007E00DF"/>
    <w:rsid w:val="007E0B49"/>
    <w:rsid w:val="007F69C2"/>
    <w:rsid w:val="00805E1C"/>
    <w:rsid w:val="00814258"/>
    <w:rsid w:val="00835F19"/>
    <w:rsid w:val="00836BE6"/>
    <w:rsid w:val="0084241F"/>
    <w:rsid w:val="00842723"/>
    <w:rsid w:val="00842EB6"/>
    <w:rsid w:val="00846F2E"/>
    <w:rsid w:val="008478A1"/>
    <w:rsid w:val="00851706"/>
    <w:rsid w:val="00857029"/>
    <w:rsid w:val="008658C2"/>
    <w:rsid w:val="00865F78"/>
    <w:rsid w:val="00866A94"/>
    <w:rsid w:val="00873FF4"/>
    <w:rsid w:val="0088007B"/>
    <w:rsid w:val="00892D42"/>
    <w:rsid w:val="00893530"/>
    <w:rsid w:val="00894344"/>
    <w:rsid w:val="00895690"/>
    <w:rsid w:val="00897260"/>
    <w:rsid w:val="008B211E"/>
    <w:rsid w:val="008B2CC7"/>
    <w:rsid w:val="008B61EC"/>
    <w:rsid w:val="008C0E9C"/>
    <w:rsid w:val="008D3E7D"/>
    <w:rsid w:val="008D7289"/>
    <w:rsid w:val="008E2A88"/>
    <w:rsid w:val="008E5E54"/>
    <w:rsid w:val="008E6518"/>
    <w:rsid w:val="00904C8F"/>
    <w:rsid w:val="0090679E"/>
    <w:rsid w:val="009141D7"/>
    <w:rsid w:val="0091420C"/>
    <w:rsid w:val="00917B05"/>
    <w:rsid w:val="00932A39"/>
    <w:rsid w:val="009401C4"/>
    <w:rsid w:val="00940BE9"/>
    <w:rsid w:val="009425D0"/>
    <w:rsid w:val="00947F0B"/>
    <w:rsid w:val="00955A39"/>
    <w:rsid w:val="0095614E"/>
    <w:rsid w:val="00963A5B"/>
    <w:rsid w:val="00971BD7"/>
    <w:rsid w:val="009729FA"/>
    <w:rsid w:val="009873BE"/>
    <w:rsid w:val="009957B8"/>
    <w:rsid w:val="00995AD1"/>
    <w:rsid w:val="0099678A"/>
    <w:rsid w:val="009A4622"/>
    <w:rsid w:val="009B5FC8"/>
    <w:rsid w:val="009C2C0D"/>
    <w:rsid w:val="009C5DE0"/>
    <w:rsid w:val="009D1947"/>
    <w:rsid w:val="009F27A4"/>
    <w:rsid w:val="009F6C6D"/>
    <w:rsid w:val="00A040CE"/>
    <w:rsid w:val="00A04E45"/>
    <w:rsid w:val="00A06301"/>
    <w:rsid w:val="00A147CE"/>
    <w:rsid w:val="00A31B6F"/>
    <w:rsid w:val="00A32481"/>
    <w:rsid w:val="00A3370B"/>
    <w:rsid w:val="00A3485D"/>
    <w:rsid w:val="00A37D81"/>
    <w:rsid w:val="00A40C04"/>
    <w:rsid w:val="00A446FA"/>
    <w:rsid w:val="00A45D8A"/>
    <w:rsid w:val="00A56170"/>
    <w:rsid w:val="00A62DC1"/>
    <w:rsid w:val="00A74AAB"/>
    <w:rsid w:val="00A75E9E"/>
    <w:rsid w:val="00A93E2D"/>
    <w:rsid w:val="00AA0435"/>
    <w:rsid w:val="00AA06E2"/>
    <w:rsid w:val="00AA56B5"/>
    <w:rsid w:val="00AA6463"/>
    <w:rsid w:val="00AA7E8D"/>
    <w:rsid w:val="00AC0199"/>
    <w:rsid w:val="00AC788A"/>
    <w:rsid w:val="00AE43F9"/>
    <w:rsid w:val="00AF65C0"/>
    <w:rsid w:val="00B03553"/>
    <w:rsid w:val="00B051C3"/>
    <w:rsid w:val="00B142EE"/>
    <w:rsid w:val="00B21614"/>
    <w:rsid w:val="00B31F38"/>
    <w:rsid w:val="00B32ED8"/>
    <w:rsid w:val="00B34F0D"/>
    <w:rsid w:val="00B46312"/>
    <w:rsid w:val="00B5080B"/>
    <w:rsid w:val="00B56A3B"/>
    <w:rsid w:val="00B63DFB"/>
    <w:rsid w:val="00B678EF"/>
    <w:rsid w:val="00B67EBA"/>
    <w:rsid w:val="00B816C5"/>
    <w:rsid w:val="00B82259"/>
    <w:rsid w:val="00BA63BE"/>
    <w:rsid w:val="00BB6B1F"/>
    <w:rsid w:val="00BC3F47"/>
    <w:rsid w:val="00BC7306"/>
    <w:rsid w:val="00BF0CA8"/>
    <w:rsid w:val="00C0209F"/>
    <w:rsid w:val="00C02B97"/>
    <w:rsid w:val="00C03818"/>
    <w:rsid w:val="00C07C16"/>
    <w:rsid w:val="00C11D8F"/>
    <w:rsid w:val="00C20045"/>
    <w:rsid w:val="00C260D0"/>
    <w:rsid w:val="00C3230D"/>
    <w:rsid w:val="00C3301A"/>
    <w:rsid w:val="00C37823"/>
    <w:rsid w:val="00C37F79"/>
    <w:rsid w:val="00C45C9B"/>
    <w:rsid w:val="00C92DF8"/>
    <w:rsid w:val="00C93123"/>
    <w:rsid w:val="00C934AA"/>
    <w:rsid w:val="00C94C2E"/>
    <w:rsid w:val="00CB1653"/>
    <w:rsid w:val="00CB4A26"/>
    <w:rsid w:val="00CC1159"/>
    <w:rsid w:val="00CC4260"/>
    <w:rsid w:val="00CC4D47"/>
    <w:rsid w:val="00CC5DDD"/>
    <w:rsid w:val="00CC617B"/>
    <w:rsid w:val="00CD0A5C"/>
    <w:rsid w:val="00CD2A00"/>
    <w:rsid w:val="00CD7DDD"/>
    <w:rsid w:val="00CE34AF"/>
    <w:rsid w:val="00CE64DF"/>
    <w:rsid w:val="00CE730B"/>
    <w:rsid w:val="00D01C70"/>
    <w:rsid w:val="00D07D96"/>
    <w:rsid w:val="00D12BA4"/>
    <w:rsid w:val="00D15164"/>
    <w:rsid w:val="00D24550"/>
    <w:rsid w:val="00D4407C"/>
    <w:rsid w:val="00D50A8F"/>
    <w:rsid w:val="00D53510"/>
    <w:rsid w:val="00D647A7"/>
    <w:rsid w:val="00D73924"/>
    <w:rsid w:val="00D92D65"/>
    <w:rsid w:val="00D9397E"/>
    <w:rsid w:val="00D96156"/>
    <w:rsid w:val="00D96B6E"/>
    <w:rsid w:val="00DA4FFB"/>
    <w:rsid w:val="00DA6099"/>
    <w:rsid w:val="00DB1580"/>
    <w:rsid w:val="00DB6C4B"/>
    <w:rsid w:val="00DC628D"/>
    <w:rsid w:val="00DD6090"/>
    <w:rsid w:val="00DD6EF0"/>
    <w:rsid w:val="00DE0FC5"/>
    <w:rsid w:val="00DE292B"/>
    <w:rsid w:val="00E02972"/>
    <w:rsid w:val="00E03EAA"/>
    <w:rsid w:val="00E07B88"/>
    <w:rsid w:val="00E15A60"/>
    <w:rsid w:val="00E16382"/>
    <w:rsid w:val="00E222D3"/>
    <w:rsid w:val="00E226A8"/>
    <w:rsid w:val="00E27356"/>
    <w:rsid w:val="00E35009"/>
    <w:rsid w:val="00E4131F"/>
    <w:rsid w:val="00E422FE"/>
    <w:rsid w:val="00E67040"/>
    <w:rsid w:val="00E80412"/>
    <w:rsid w:val="00E84EFD"/>
    <w:rsid w:val="00E96FA0"/>
    <w:rsid w:val="00EA2BBC"/>
    <w:rsid w:val="00EA55F8"/>
    <w:rsid w:val="00EA5AB2"/>
    <w:rsid w:val="00EA7C63"/>
    <w:rsid w:val="00EB5998"/>
    <w:rsid w:val="00EB77CC"/>
    <w:rsid w:val="00EC115B"/>
    <w:rsid w:val="00EC1474"/>
    <w:rsid w:val="00EC3448"/>
    <w:rsid w:val="00EC3A07"/>
    <w:rsid w:val="00EC5C20"/>
    <w:rsid w:val="00ED2409"/>
    <w:rsid w:val="00EE35E6"/>
    <w:rsid w:val="00F00946"/>
    <w:rsid w:val="00F10BC8"/>
    <w:rsid w:val="00F125B3"/>
    <w:rsid w:val="00F21FE1"/>
    <w:rsid w:val="00F2507B"/>
    <w:rsid w:val="00F33DBF"/>
    <w:rsid w:val="00F34E56"/>
    <w:rsid w:val="00F407EB"/>
    <w:rsid w:val="00F426CA"/>
    <w:rsid w:val="00F47CA7"/>
    <w:rsid w:val="00F768D4"/>
    <w:rsid w:val="00F82F1C"/>
    <w:rsid w:val="00F83725"/>
    <w:rsid w:val="00F837EC"/>
    <w:rsid w:val="00F867E0"/>
    <w:rsid w:val="00F90270"/>
    <w:rsid w:val="00F933B1"/>
    <w:rsid w:val="00F93F9A"/>
    <w:rsid w:val="00F94C96"/>
    <w:rsid w:val="00F9585F"/>
    <w:rsid w:val="00FB0041"/>
    <w:rsid w:val="00FC68AC"/>
    <w:rsid w:val="00FC7338"/>
    <w:rsid w:val="00FC7D7F"/>
    <w:rsid w:val="00FE6C09"/>
    <w:rsid w:val="00FF66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4472A"/>
  <w15:docId w15:val="{508E3096-0FC7-49E1-99CB-E91A0892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35"/>
      </w:tabs>
      <w:jc w:val="both"/>
    </w:pPr>
    <w:rPr>
      <w:rFonts w:ascii="Arial"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Ttulo">
    <w:name w:val="Title"/>
    <w:basedOn w:val="Normal"/>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styleId="Piedepgina">
    <w:name w:val="footer"/>
    <w:basedOn w:val="Normal"/>
    <w:pPr>
      <w:tabs>
        <w:tab w:val="clear" w:pos="2835"/>
        <w:tab w:val="center" w:pos="4252"/>
        <w:tab w:val="right" w:pos="8504"/>
      </w:tabs>
    </w:pPr>
  </w:style>
  <w:style w:type="paragraph" w:styleId="Textonotapie">
    <w:name w:val="footnote text"/>
    <w:basedOn w:val="Normal"/>
    <w:link w:val="TextonotapieCar"/>
    <w:rsid w:val="00CC4260"/>
    <w:rPr>
      <w:sz w:val="20"/>
    </w:rPr>
  </w:style>
  <w:style w:type="character" w:customStyle="1" w:styleId="TextonotapieCar">
    <w:name w:val="Texto nota pie Car"/>
    <w:basedOn w:val="Fuentedeprrafopredeter"/>
    <w:link w:val="Textonotapie"/>
    <w:rsid w:val="00CC4260"/>
    <w:rPr>
      <w:rFonts w:ascii="Arial" w:hAnsi="Arial"/>
      <w:lang w:val="es-ES" w:eastAsia="es-ES"/>
    </w:rPr>
  </w:style>
  <w:style w:type="character" w:styleId="Refdenotaalpie">
    <w:name w:val="footnote reference"/>
    <w:basedOn w:val="Fuentedeprrafopredeter"/>
    <w:rsid w:val="00CC4260"/>
    <w:rPr>
      <w:vertAlign w:val="superscript"/>
    </w:rPr>
  </w:style>
  <w:style w:type="character" w:customStyle="1" w:styleId="n">
    <w:name w:val="n"/>
    <w:basedOn w:val="Fuentedeprrafopredeter"/>
    <w:rsid w:val="00B051C3"/>
  </w:style>
  <w:style w:type="character" w:styleId="Hipervnculo">
    <w:name w:val="Hyperlink"/>
    <w:basedOn w:val="Fuentedeprrafopredeter"/>
    <w:uiPriority w:val="99"/>
    <w:unhideWhenUsed/>
    <w:rsid w:val="00B051C3"/>
    <w:rPr>
      <w:color w:val="0000FF"/>
      <w:u w:val="single"/>
    </w:rPr>
  </w:style>
  <w:style w:type="paragraph" w:styleId="Prrafodelista">
    <w:name w:val="List Paragraph"/>
    <w:basedOn w:val="Normal"/>
    <w:uiPriority w:val="34"/>
    <w:qFormat/>
    <w:rsid w:val="0050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132">
      <w:bodyDiv w:val="1"/>
      <w:marLeft w:val="0"/>
      <w:marRight w:val="0"/>
      <w:marTop w:val="0"/>
      <w:marBottom w:val="0"/>
      <w:divBdr>
        <w:top w:val="none" w:sz="0" w:space="0" w:color="auto"/>
        <w:left w:val="none" w:sz="0" w:space="0" w:color="auto"/>
        <w:bottom w:val="none" w:sz="0" w:space="0" w:color="auto"/>
        <w:right w:val="none" w:sz="0" w:space="0" w:color="auto"/>
      </w:divBdr>
    </w:div>
    <w:div w:id="659970764">
      <w:bodyDiv w:val="1"/>
      <w:marLeft w:val="0"/>
      <w:marRight w:val="0"/>
      <w:marTop w:val="0"/>
      <w:marBottom w:val="0"/>
      <w:divBdr>
        <w:top w:val="none" w:sz="0" w:space="0" w:color="auto"/>
        <w:left w:val="none" w:sz="0" w:space="0" w:color="auto"/>
        <w:bottom w:val="none" w:sz="0" w:space="0" w:color="auto"/>
        <w:right w:val="none" w:sz="0" w:space="0" w:color="auto"/>
      </w:divBdr>
    </w:div>
    <w:div w:id="1273899698">
      <w:bodyDiv w:val="1"/>
      <w:marLeft w:val="0"/>
      <w:marRight w:val="0"/>
      <w:marTop w:val="0"/>
      <w:marBottom w:val="0"/>
      <w:divBdr>
        <w:top w:val="none" w:sz="0" w:space="0" w:color="auto"/>
        <w:left w:val="none" w:sz="0" w:space="0" w:color="auto"/>
        <w:bottom w:val="none" w:sz="0" w:space="0" w:color="auto"/>
        <w:right w:val="none" w:sz="0" w:space="0" w:color="auto"/>
      </w:divBdr>
    </w:div>
    <w:div w:id="1305814142">
      <w:bodyDiv w:val="1"/>
      <w:marLeft w:val="0"/>
      <w:marRight w:val="0"/>
      <w:marTop w:val="0"/>
      <w:marBottom w:val="0"/>
      <w:divBdr>
        <w:top w:val="none" w:sz="0" w:space="0" w:color="auto"/>
        <w:left w:val="none" w:sz="0" w:space="0" w:color="auto"/>
        <w:bottom w:val="none" w:sz="0" w:space="0" w:color="auto"/>
        <w:right w:val="none" w:sz="0" w:space="0" w:color="auto"/>
      </w:divBdr>
    </w:div>
    <w:div w:id="1569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esktop\VARIOS%20DOCUMENTOS\Comparado%20T%20y%20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4F8C-4C3B-4F5D-9F31-2F8BFCD6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Comparado T y T</Template>
  <TotalTime>3</TotalTime>
  <Pages>7</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TITULO</vt:lpstr>
    </vt:vector>
  </TitlesOfParts>
  <Company>Senado de la República</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SAMSUNG</dc:creator>
  <cp:lastModifiedBy>EMARZI</cp:lastModifiedBy>
  <cp:revision>2</cp:revision>
  <cp:lastPrinted>2020-11-19T01:24:00Z</cp:lastPrinted>
  <dcterms:created xsi:type="dcterms:W3CDTF">2020-11-25T03:13:00Z</dcterms:created>
  <dcterms:modified xsi:type="dcterms:W3CDTF">2020-11-25T03:13:00Z</dcterms:modified>
</cp:coreProperties>
</file>