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CD" w:rsidRDefault="000C3BCD">
      <w:pPr>
        <w:pStyle w:val="Ttulo"/>
        <w:shd w:val="pct10" w:color="auto" w:fill="FFFFFF"/>
        <w:jc w:val="both"/>
        <w:rPr>
          <w:rFonts w:cs="Arial"/>
          <w:szCs w:val="22"/>
        </w:rPr>
      </w:pPr>
    </w:p>
    <w:p w:rsidR="00694E86" w:rsidRDefault="00694E86">
      <w:pPr>
        <w:pStyle w:val="Ttulo"/>
        <w:shd w:val="pct10" w:color="auto" w:fill="FFFFFF"/>
        <w:jc w:val="both"/>
        <w:rPr>
          <w:rFonts w:cs="Arial"/>
          <w:szCs w:val="22"/>
        </w:rPr>
      </w:pPr>
    </w:p>
    <w:p w:rsidR="000C3BCD" w:rsidRPr="001C20E4" w:rsidRDefault="009A045F">
      <w:pPr>
        <w:pStyle w:val="Ttulo"/>
        <w:shd w:val="pct10" w:color="auto" w:fill="FFFFFF"/>
        <w:rPr>
          <w:rFonts w:cs="Arial"/>
          <w:szCs w:val="22"/>
        </w:rPr>
      </w:pPr>
      <w:r w:rsidRPr="001C20E4">
        <w:rPr>
          <w:rFonts w:cs="Arial"/>
          <w:szCs w:val="22"/>
        </w:rPr>
        <w:t xml:space="preserve">PROYECTO DE LEY, EN </w:t>
      </w:r>
      <w:r w:rsidR="0045036E">
        <w:rPr>
          <w:rFonts w:cs="Arial"/>
          <w:szCs w:val="22"/>
        </w:rPr>
        <w:t>TERCER</w:t>
      </w:r>
      <w:r w:rsidRPr="001C20E4">
        <w:rPr>
          <w:rFonts w:cs="Arial"/>
          <w:szCs w:val="22"/>
        </w:rPr>
        <w:t xml:space="preserve"> TRÁMITE CONSTITUCIONAL, QUE MODIFICA LAS LEYES N°S 18.045 Y 18.046, PARA ESTABLECER NUEVAS EXIGENCIAS DE TRANSPARENCIA Y REFORZAMIENTO DE RESPONSABILIDADES DE LOS AGENTES DE LOS MERCADOS.</w:t>
      </w:r>
    </w:p>
    <w:p w:rsidR="000C3BCD" w:rsidRPr="001C20E4" w:rsidRDefault="009A045F">
      <w:pPr>
        <w:pStyle w:val="Ttulo"/>
        <w:shd w:val="pct10" w:color="auto" w:fill="FFFFFF"/>
        <w:rPr>
          <w:rFonts w:cs="Arial"/>
          <w:szCs w:val="22"/>
          <w:lang w:val="es-ES_tradnl"/>
        </w:rPr>
      </w:pPr>
      <w:r w:rsidRPr="001C20E4">
        <w:rPr>
          <w:rFonts w:cs="Arial"/>
          <w:szCs w:val="22"/>
          <w:lang w:val="es-ES_tradnl"/>
        </w:rPr>
        <w:t>(BOLETÍN Nº 10.162-05)</w:t>
      </w:r>
    </w:p>
    <w:p w:rsidR="000C3BCD" w:rsidRPr="001C20E4" w:rsidRDefault="000C3BCD">
      <w:pPr>
        <w:pStyle w:val="Ttulo"/>
        <w:shd w:val="pct10" w:color="auto" w:fill="FFFFFF"/>
        <w:rPr>
          <w:rFonts w:cs="Arial"/>
          <w:szCs w:val="22"/>
        </w:rPr>
      </w:pPr>
    </w:p>
    <w:p w:rsidR="000C3BCD" w:rsidRPr="001C20E4" w:rsidRDefault="000C3BCD">
      <w:pPr>
        <w:rPr>
          <w:rFonts w:cs="Arial"/>
          <w:szCs w:val="22"/>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5"/>
        <w:gridCol w:w="5499"/>
        <w:gridCol w:w="5529"/>
      </w:tblGrid>
      <w:tr w:rsidR="00096CE0" w:rsidRPr="001C20E4" w:rsidTr="00096CE0">
        <w:trPr>
          <w:tblHeader/>
          <w:jc w:val="center"/>
        </w:trPr>
        <w:tc>
          <w:tcPr>
            <w:tcW w:w="1661" w:type="pct"/>
            <w:shd w:val="pct10" w:color="auto" w:fill="FFFFFF"/>
          </w:tcPr>
          <w:p w:rsidR="0045036E" w:rsidRPr="001C20E4" w:rsidRDefault="0045036E">
            <w:pPr>
              <w:jc w:val="center"/>
              <w:rPr>
                <w:rFonts w:cs="Arial"/>
                <w:b/>
                <w:bCs/>
                <w:szCs w:val="22"/>
              </w:rPr>
            </w:pPr>
          </w:p>
          <w:p w:rsidR="0045036E" w:rsidRPr="001C20E4" w:rsidRDefault="0045036E">
            <w:pPr>
              <w:jc w:val="center"/>
              <w:rPr>
                <w:rFonts w:cs="Arial"/>
                <w:b/>
                <w:szCs w:val="22"/>
              </w:rPr>
            </w:pPr>
            <w:r w:rsidRPr="001C20E4">
              <w:rPr>
                <w:rFonts w:cs="Arial"/>
                <w:b/>
                <w:szCs w:val="22"/>
              </w:rPr>
              <w:t>TEXTO LEGAL VIGENTE</w:t>
            </w:r>
          </w:p>
        </w:tc>
        <w:tc>
          <w:tcPr>
            <w:tcW w:w="1665" w:type="pct"/>
            <w:shd w:val="pct10" w:color="auto" w:fill="FFFFFF"/>
          </w:tcPr>
          <w:p w:rsidR="0045036E" w:rsidRPr="001C20E4" w:rsidRDefault="0045036E">
            <w:pPr>
              <w:jc w:val="center"/>
              <w:rPr>
                <w:rFonts w:cs="Arial"/>
                <w:b/>
                <w:bCs/>
                <w:szCs w:val="22"/>
              </w:rPr>
            </w:pPr>
            <w:r>
              <w:rPr>
                <w:rFonts w:cs="Arial"/>
                <w:b/>
                <w:bCs/>
                <w:szCs w:val="22"/>
              </w:rPr>
              <w:t>PROYECTO DE LEY APROBADO POR EL SENADO EN PRIMER TRÁMITE CONSTITUCIONAL</w:t>
            </w:r>
          </w:p>
        </w:tc>
        <w:tc>
          <w:tcPr>
            <w:tcW w:w="1674" w:type="pct"/>
            <w:shd w:val="pct10" w:color="auto" w:fill="FFFFFF"/>
          </w:tcPr>
          <w:p w:rsidR="0045036E" w:rsidRPr="001C20E4" w:rsidRDefault="0045036E">
            <w:pPr>
              <w:jc w:val="center"/>
              <w:rPr>
                <w:rFonts w:cs="Arial"/>
                <w:b/>
                <w:bCs/>
                <w:szCs w:val="22"/>
              </w:rPr>
            </w:pPr>
            <w:r>
              <w:rPr>
                <w:rFonts w:cs="Arial"/>
                <w:b/>
                <w:bCs/>
                <w:szCs w:val="22"/>
              </w:rPr>
              <w:t>ENMIENDAS INSTRODUCIDAS POR LA CÁMARA DE DIPUTADOS EN SEGUNDO TRÁMITE CONSTITUCIONAL</w:t>
            </w:r>
          </w:p>
        </w:tc>
      </w:tr>
      <w:tr w:rsidR="00096CE0" w:rsidRPr="001C20E4" w:rsidTr="00096CE0">
        <w:trPr>
          <w:trHeight w:val="315"/>
          <w:jc w:val="center"/>
        </w:trPr>
        <w:tc>
          <w:tcPr>
            <w:tcW w:w="1661" w:type="pct"/>
          </w:tcPr>
          <w:p w:rsidR="0045036E" w:rsidRPr="001C20E4" w:rsidRDefault="0045036E" w:rsidP="00185253">
            <w:pPr>
              <w:jc w:val="center"/>
              <w:rPr>
                <w:rFonts w:cs="Arial"/>
                <w:b/>
                <w:bCs/>
                <w:szCs w:val="22"/>
                <w:lang w:val="es-ES_tradnl"/>
              </w:rPr>
            </w:pPr>
          </w:p>
          <w:p w:rsidR="0045036E" w:rsidRPr="001C20E4" w:rsidRDefault="0045036E" w:rsidP="00185253">
            <w:pPr>
              <w:jc w:val="center"/>
              <w:rPr>
                <w:rFonts w:cs="Arial"/>
                <w:b/>
                <w:bCs/>
                <w:szCs w:val="22"/>
                <w:lang w:val="es-ES_tradnl"/>
              </w:rPr>
            </w:pPr>
          </w:p>
          <w:p w:rsidR="0045036E" w:rsidRPr="001C20E4" w:rsidRDefault="0045036E" w:rsidP="00185253">
            <w:pPr>
              <w:jc w:val="center"/>
              <w:rPr>
                <w:rFonts w:cs="Arial"/>
                <w:b/>
                <w:bCs/>
                <w:szCs w:val="22"/>
                <w:lang w:val="es-ES_tradnl"/>
              </w:rPr>
            </w:pPr>
            <w:r w:rsidRPr="001C20E4">
              <w:rPr>
                <w:rFonts w:cs="Arial"/>
                <w:b/>
                <w:bCs/>
                <w:szCs w:val="22"/>
                <w:lang w:val="es-ES_tradnl"/>
              </w:rPr>
              <w:t>LEY N° 18.045 DE MERCADO DE VALORES</w:t>
            </w: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rsidP="00453903">
            <w:pPr>
              <w:widowControl w:val="0"/>
              <w:tabs>
                <w:tab w:val="clear" w:pos="2835"/>
              </w:tabs>
              <w:autoSpaceDE w:val="0"/>
              <w:autoSpaceDN w:val="0"/>
              <w:adjustRightInd w:val="0"/>
              <w:rPr>
                <w:rFonts w:cs="Arial"/>
                <w:b/>
                <w:bCs/>
                <w:szCs w:val="22"/>
                <w:lang w:val="es-ES_tradnl"/>
              </w:rPr>
            </w:pPr>
          </w:p>
        </w:tc>
        <w:tc>
          <w:tcPr>
            <w:tcW w:w="1665" w:type="pct"/>
          </w:tcPr>
          <w:p w:rsidR="00147AAB" w:rsidRPr="00147AAB" w:rsidRDefault="00147AAB" w:rsidP="00147AAB">
            <w:pPr>
              <w:contextualSpacing/>
              <w:rPr>
                <w:rFonts w:cs="Arial"/>
                <w:szCs w:val="22"/>
              </w:rPr>
            </w:pPr>
            <w:r>
              <w:rPr>
                <w:rFonts w:cs="Arial"/>
                <w:szCs w:val="22"/>
              </w:rPr>
              <w:t xml:space="preserve">                         </w:t>
            </w:r>
            <w:r w:rsidRPr="00147AAB">
              <w:rPr>
                <w:rFonts w:cs="Arial"/>
                <w:szCs w:val="22"/>
              </w:rPr>
              <w:t>PROYECTO DE LEY:</w:t>
            </w:r>
          </w:p>
          <w:p w:rsidR="00147AAB" w:rsidRPr="00147AAB" w:rsidRDefault="00147AAB" w:rsidP="00147AAB">
            <w:pPr>
              <w:contextualSpacing/>
              <w:rPr>
                <w:rFonts w:cs="Arial"/>
                <w:szCs w:val="22"/>
              </w:rPr>
            </w:pPr>
          </w:p>
          <w:p w:rsidR="00147AAB" w:rsidRPr="00147AAB" w:rsidRDefault="00147AAB" w:rsidP="00147AAB">
            <w:pPr>
              <w:contextualSpacing/>
              <w:rPr>
                <w:rFonts w:cs="Arial"/>
                <w:szCs w:val="22"/>
              </w:rPr>
            </w:pPr>
            <w:r w:rsidRPr="00147AAB">
              <w:rPr>
                <w:rFonts w:cs="Arial"/>
                <w:szCs w:val="22"/>
              </w:rPr>
              <w:t>“Artículo 1°.- Introdúcense las siguientes modificaciones en la ley N° 18.045, de Mercado de Valores:</w:t>
            </w:r>
          </w:p>
          <w:p w:rsidR="00147AAB" w:rsidRPr="00147AAB" w:rsidRDefault="00147AAB" w:rsidP="00147AAB">
            <w:pPr>
              <w:contextualSpacing/>
              <w:rPr>
                <w:rFonts w:cs="Arial"/>
                <w:szCs w:val="22"/>
              </w:rPr>
            </w:pPr>
          </w:p>
          <w:p w:rsidR="00110630" w:rsidRPr="001C20E4" w:rsidRDefault="00147AAB" w:rsidP="00E224DE">
            <w:pPr>
              <w:contextualSpacing/>
              <w:rPr>
                <w:rFonts w:cs="Arial"/>
                <w:szCs w:val="22"/>
              </w:rPr>
            </w:pPr>
            <w:r w:rsidRPr="00147AAB">
              <w:rPr>
                <w:rFonts w:cs="Arial"/>
                <w:szCs w:val="22"/>
              </w:rPr>
              <w:t>1) Reemplázase la expresión “Superintendencia de Valores y Seguros”, por la siguiente: “Comisión para el Mercado Financiero”, todas las veces que aparece en el texto de la ley.</w:t>
            </w:r>
          </w:p>
        </w:tc>
        <w:tc>
          <w:tcPr>
            <w:tcW w:w="1674" w:type="pct"/>
          </w:tcPr>
          <w:p w:rsidR="008F3D04" w:rsidRPr="008F3D04" w:rsidRDefault="008F3D04" w:rsidP="008F3D04">
            <w:pPr>
              <w:tabs>
                <w:tab w:val="clear" w:pos="2835"/>
              </w:tabs>
              <w:jc w:val="center"/>
              <w:rPr>
                <w:rFonts w:cs="Arial"/>
                <w:b/>
                <w:szCs w:val="22"/>
                <w:u w:val="single"/>
                <w:lang w:val="es-ES_tradnl"/>
              </w:rPr>
            </w:pPr>
            <w:r w:rsidRPr="008F3D04">
              <w:rPr>
                <w:rFonts w:cs="Arial"/>
                <w:b/>
                <w:szCs w:val="22"/>
                <w:u w:val="single"/>
                <w:lang w:val="es-ES_tradnl"/>
              </w:rPr>
              <w:t>AL ARTÍCULO 1</w:t>
            </w:r>
          </w:p>
          <w:p w:rsidR="0045036E" w:rsidRPr="001C20E4" w:rsidRDefault="0045036E" w:rsidP="006B0452">
            <w:pPr>
              <w:tabs>
                <w:tab w:val="clear" w:pos="2835"/>
              </w:tabs>
              <w:rPr>
                <w:rFonts w:cs="Arial"/>
                <w:szCs w:val="22"/>
                <w:lang w:val="es-ES_tradnl"/>
              </w:rPr>
            </w:pPr>
          </w:p>
        </w:tc>
      </w:tr>
      <w:tr w:rsidR="008F3D04" w:rsidRPr="001C20E4" w:rsidTr="00096CE0">
        <w:trPr>
          <w:trHeight w:val="315"/>
          <w:jc w:val="center"/>
        </w:trPr>
        <w:tc>
          <w:tcPr>
            <w:tcW w:w="1661" w:type="pct"/>
          </w:tcPr>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B0260F" w:rsidRDefault="00B0260F"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B0260F" w:rsidRDefault="00B0260F"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Artículo 10. Las entidades inscritas en el Registro de Valores quedarán sujetas a esta ley y a sus normas complementarias y deberán proporcionar la información que establece la ley a la Superintendencia y al público en general con la periodicidad, publicidad y en la forma que la Superintendencia determine por norma de carácter general.</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001CA" w:rsidRDefault="004001CA"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001CA" w:rsidRPr="000369CD" w:rsidRDefault="004001CA"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2"/>
                <w:lang w:val="es-CL" w:eastAsia="es-CL"/>
              </w:rPr>
            </w:pPr>
            <w:r w:rsidRPr="000369CD">
              <w:rPr>
                <w:rFonts w:cs="Arial"/>
                <w:szCs w:val="22"/>
                <w:lang w:val="es-CL" w:eastAsia="es-CL"/>
              </w:rPr>
              <w:t>   </w:t>
            </w:r>
            <w:r w:rsidRPr="000369CD">
              <w:rPr>
                <w:rFonts w:cs="Arial"/>
                <w:b/>
                <w:szCs w:val="22"/>
                <w:lang w:val="es-CL" w:eastAsia="es-CL"/>
              </w:rPr>
              <w:t xml:space="preserve"> Asimismo, y sin perjuicio de lo dispuesto en el inciso anterior, las entidades comprendidas en él deberán divulgar en forma veraz, suficiente y oportuna, todo hecho o información esencial respecto de ellas mismas y de sus negocios al momento que él ocurra o llegue a su conocimiento. Será responsabilidad del directorio de cada entidad adoptar una norma interna que contemple los procedimientos, mecanismos de control y responsabilidades que aseguren dicha divulgación. La norma respectiva, deberá ajustarse a la norma de carácter general que dicte la Superintendencia.</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B0260F" w:rsidRDefault="00B0260F"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9001D" w:rsidRDefault="0009001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F443C0" w:rsidRPr="000369CD" w:rsidRDefault="00F443C0"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xml:space="preserve">    No obstante lo dispuesto en el </w:t>
            </w:r>
            <w:r w:rsidRPr="002E5E05">
              <w:rPr>
                <w:rFonts w:cs="Arial"/>
                <w:b/>
                <w:szCs w:val="22"/>
                <w:u w:val="single"/>
                <w:lang w:val="es-CL" w:eastAsia="es-CL"/>
              </w:rPr>
              <w:t>inciso anterior</w:t>
            </w:r>
            <w:r w:rsidRPr="000369CD">
              <w:rPr>
                <w:rFonts w:cs="Arial"/>
                <w:szCs w:val="22"/>
                <w:lang w:val="es-CL" w:eastAsia="es-CL"/>
              </w:rPr>
              <w:t>, con la aprobación de las tres cuartas partes de los directores en ejercicio podrá darse el carácter de reservado a ciertos hechos o antecedentes que se refieran a negociaciones aún pendientes que al conocerse puedan perjudicar el interés social. Tratándose de emisores no administrados por un directorio u otro órgano colegiado, la decisión de reserva debe ser tomada por todos los administradores.</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Las decisiones y acuerdos a que se refiere el inciso anterior deberán ser comunicados a la Superintendencia al día siguiente a su adopción  por los medios tecnológicos que habilite la Superintendencia.</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Los que dolosa o culpablemente califiquen o concurran con su voto favorable a declarar como reservado un hecho o antecedente, de aquellos a que se refiere el inciso tercero de este artículo, responderán en la forma y términos establecidos en el artículo 55 de esta ley.</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F3D04" w:rsidRPr="001C20E4" w:rsidRDefault="008F3D04" w:rsidP="00453903">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tc>
        <w:tc>
          <w:tcPr>
            <w:tcW w:w="1665" w:type="pct"/>
          </w:tcPr>
          <w:p w:rsidR="008F3D04" w:rsidRDefault="008F3D04" w:rsidP="00110630">
            <w:pPr>
              <w:contextualSpacing/>
              <w:rPr>
                <w:rFonts w:cs="Arial"/>
                <w:szCs w:val="22"/>
              </w:rPr>
            </w:pPr>
          </w:p>
        </w:tc>
        <w:tc>
          <w:tcPr>
            <w:tcW w:w="1674" w:type="pct"/>
          </w:tcPr>
          <w:p w:rsidR="008F3D04" w:rsidRDefault="008F3D04" w:rsidP="008F3D04">
            <w:pPr>
              <w:contextualSpacing/>
              <w:jc w:val="center"/>
              <w:rPr>
                <w:rFonts w:cs="Arial"/>
                <w:b/>
                <w:szCs w:val="22"/>
                <w:u w:val="single"/>
                <w:lang w:val="es-ES_tradnl"/>
              </w:rPr>
            </w:pPr>
            <w:r w:rsidRPr="008F3D04">
              <w:rPr>
                <w:rFonts w:cs="Arial"/>
                <w:b/>
                <w:szCs w:val="22"/>
                <w:u w:val="single"/>
                <w:lang w:val="es-ES_tradnl"/>
              </w:rPr>
              <w:t>Numerales 4, 5, 6 y 7, nuevos</w:t>
            </w:r>
          </w:p>
          <w:p w:rsidR="008F3D04" w:rsidRPr="008F3D04" w:rsidRDefault="008F3D04" w:rsidP="008F3D04">
            <w:pPr>
              <w:contextualSpacing/>
              <w:jc w:val="center"/>
              <w:rPr>
                <w:rFonts w:cs="Arial"/>
                <w:b/>
                <w:szCs w:val="22"/>
                <w:u w:val="single"/>
                <w:lang w:val="es-ES_tradnl"/>
              </w:rPr>
            </w:pPr>
          </w:p>
          <w:p w:rsidR="008F3D04" w:rsidRPr="008F3D04" w:rsidRDefault="008F3D04" w:rsidP="008F3D04">
            <w:pPr>
              <w:contextualSpacing/>
              <w:rPr>
                <w:rFonts w:cs="Arial"/>
                <w:szCs w:val="22"/>
                <w:lang w:val="es-ES_tradnl"/>
              </w:rPr>
            </w:pPr>
            <w:r w:rsidRPr="008F3D04">
              <w:rPr>
                <w:rFonts w:cs="Arial"/>
                <w:szCs w:val="22"/>
                <w:lang w:val="es-ES_tradnl"/>
              </w:rPr>
              <w:t>Ha incorporado los siguientes numerales 4, 5, 6 y 7, nuevos, del siguiente tenor:</w:t>
            </w:r>
          </w:p>
          <w:p w:rsidR="008F3D04" w:rsidRPr="008F3D04" w:rsidRDefault="008F3D04" w:rsidP="008F3D04">
            <w:pPr>
              <w:contextualSpacing/>
              <w:rPr>
                <w:rFonts w:cs="Arial"/>
                <w:szCs w:val="22"/>
                <w:lang w:val="es-ES_tradnl"/>
              </w:rPr>
            </w:pPr>
          </w:p>
          <w:p w:rsidR="008F3D04" w:rsidRDefault="008F3D04" w:rsidP="008F3D04">
            <w:pPr>
              <w:contextualSpacing/>
              <w:rPr>
                <w:rFonts w:cs="Arial"/>
                <w:szCs w:val="22"/>
                <w:lang w:val="es-ES_tradnl"/>
              </w:rPr>
            </w:pPr>
            <w:r w:rsidRPr="008F3D04">
              <w:rPr>
                <w:rFonts w:cs="Arial"/>
                <w:szCs w:val="22"/>
                <w:lang w:val="es-ES_tradnl"/>
              </w:rPr>
              <w:t>“4) Modifícase el artículo 10 en el siguiente sentido:</w:t>
            </w:r>
          </w:p>
          <w:p w:rsidR="008F3D04" w:rsidRDefault="008F3D04" w:rsidP="008F3D04">
            <w:pPr>
              <w:contextualSpacing/>
              <w:rPr>
                <w:rFonts w:cs="Arial"/>
                <w:szCs w:val="22"/>
                <w:lang w:val="es-ES_tradnl"/>
              </w:rPr>
            </w:pPr>
          </w:p>
          <w:p w:rsidR="000369CD" w:rsidRDefault="000369CD" w:rsidP="008F3D04">
            <w:pPr>
              <w:contextualSpacing/>
              <w:rPr>
                <w:rFonts w:cs="Arial"/>
                <w:szCs w:val="22"/>
                <w:lang w:val="es-ES_tradnl"/>
              </w:rPr>
            </w:pPr>
          </w:p>
          <w:p w:rsidR="000369CD" w:rsidRDefault="000369CD" w:rsidP="008F3D04">
            <w:pPr>
              <w:contextualSpacing/>
              <w:rPr>
                <w:rFonts w:cs="Arial"/>
                <w:szCs w:val="22"/>
                <w:lang w:val="es-ES_tradnl"/>
              </w:rPr>
            </w:pPr>
          </w:p>
          <w:p w:rsidR="004001CA" w:rsidRDefault="004001CA" w:rsidP="008F3D04">
            <w:pPr>
              <w:contextualSpacing/>
              <w:rPr>
                <w:rFonts w:cs="Arial"/>
                <w:szCs w:val="22"/>
                <w:lang w:val="es-ES_tradnl"/>
              </w:rPr>
            </w:pPr>
          </w:p>
          <w:p w:rsidR="000369CD" w:rsidRDefault="000369CD" w:rsidP="008F3D04">
            <w:pPr>
              <w:contextualSpacing/>
              <w:rPr>
                <w:rFonts w:cs="Arial"/>
                <w:szCs w:val="22"/>
                <w:lang w:val="es-ES_tradnl"/>
              </w:rPr>
            </w:pPr>
          </w:p>
          <w:p w:rsidR="000369CD" w:rsidRDefault="000369CD" w:rsidP="008F3D04">
            <w:pPr>
              <w:contextualSpacing/>
              <w:rPr>
                <w:rFonts w:cs="Arial"/>
                <w:szCs w:val="22"/>
                <w:lang w:val="es-ES_tradnl"/>
              </w:rPr>
            </w:pPr>
          </w:p>
          <w:p w:rsidR="00B0260F" w:rsidRDefault="00B0260F" w:rsidP="008F3D04">
            <w:pPr>
              <w:contextualSpacing/>
              <w:rPr>
                <w:rFonts w:cs="Arial"/>
                <w:szCs w:val="22"/>
                <w:lang w:val="es-ES_tradnl"/>
              </w:rPr>
            </w:pPr>
          </w:p>
          <w:p w:rsidR="000369CD" w:rsidRDefault="000369CD" w:rsidP="008F3D04">
            <w:pPr>
              <w:contextualSpacing/>
              <w:rPr>
                <w:rFonts w:cs="Arial"/>
                <w:szCs w:val="22"/>
                <w:lang w:val="es-ES_tradnl"/>
              </w:rPr>
            </w:pPr>
          </w:p>
          <w:p w:rsidR="000369CD" w:rsidRPr="008F3D04" w:rsidRDefault="000369CD" w:rsidP="008F3D04">
            <w:pPr>
              <w:contextualSpacing/>
              <w:rPr>
                <w:rFonts w:cs="Arial"/>
                <w:szCs w:val="22"/>
                <w:lang w:val="es-ES_tradnl"/>
              </w:rPr>
            </w:pPr>
          </w:p>
          <w:p w:rsidR="008F3D04" w:rsidRDefault="008F3D04" w:rsidP="008F3D04">
            <w:pPr>
              <w:contextualSpacing/>
              <w:rPr>
                <w:rFonts w:cs="Arial"/>
                <w:szCs w:val="22"/>
                <w:lang w:val="es-ES_tradnl"/>
              </w:rPr>
            </w:pPr>
            <w:r w:rsidRPr="008F3D04">
              <w:rPr>
                <w:rFonts w:cs="Arial"/>
                <w:szCs w:val="22"/>
                <w:lang w:val="es-ES_tradnl"/>
              </w:rPr>
              <w:t>a) Reemplázase su inciso segundo por los siguientes incisos segundo y tercero, nuevos, pasando el actual inciso tercero a ser cuarto, y así sucesivamente:</w:t>
            </w:r>
          </w:p>
          <w:p w:rsidR="008F3D04" w:rsidRPr="008F3D04" w:rsidRDefault="008F3D04" w:rsidP="008F3D04">
            <w:pPr>
              <w:contextualSpacing/>
              <w:rPr>
                <w:rFonts w:cs="Arial"/>
                <w:szCs w:val="22"/>
                <w:lang w:val="es-ES_tradnl"/>
              </w:rPr>
            </w:pPr>
          </w:p>
          <w:p w:rsidR="008F3D04" w:rsidRDefault="008F3D04" w:rsidP="008F3D04">
            <w:pPr>
              <w:contextualSpacing/>
              <w:rPr>
                <w:rFonts w:cs="Arial"/>
                <w:szCs w:val="22"/>
                <w:lang w:val="es-ES_tradnl"/>
              </w:rPr>
            </w:pPr>
            <w:r w:rsidRPr="008F3D04">
              <w:rPr>
                <w:rFonts w:cs="Arial"/>
                <w:szCs w:val="22"/>
                <w:lang w:val="es-ES_tradnl"/>
              </w:rPr>
              <w:t>“Asimismo, y sin perjuicio de lo dispuesto en el inciso anterior, las entidades comprendidas en él deberán divulgar en forma veraz, suficiente y oportuna todo hecho o información esencial respecto de ellas mismas y de sus negocios en el momento en que éste ocurra o llegue a su conocimiento. El directorio o administrador de cada entidad deberá implementar políticas, procedimientos, sistemas y controles con el objeto de asegurar dicha divulgación y evitar que se filtre información esencial mientras no haya ocurrido la referida divulgación.</w:t>
            </w:r>
          </w:p>
          <w:p w:rsidR="008F3D04" w:rsidRDefault="008F3D04" w:rsidP="008F3D04">
            <w:pPr>
              <w:contextualSpacing/>
              <w:rPr>
                <w:rFonts w:cs="Arial"/>
                <w:szCs w:val="22"/>
                <w:lang w:val="es-ES_tradnl"/>
              </w:rPr>
            </w:pPr>
          </w:p>
          <w:p w:rsidR="00B0260F" w:rsidRPr="008F3D04" w:rsidRDefault="00B0260F" w:rsidP="008F3D04">
            <w:pPr>
              <w:contextualSpacing/>
              <w:rPr>
                <w:rFonts w:cs="Arial"/>
                <w:szCs w:val="22"/>
                <w:lang w:val="es-ES_tradnl"/>
              </w:rPr>
            </w:pPr>
          </w:p>
          <w:p w:rsidR="008F3D04" w:rsidRDefault="008F3D04" w:rsidP="008F3D04">
            <w:pPr>
              <w:contextualSpacing/>
              <w:rPr>
                <w:rFonts w:cs="Arial"/>
                <w:szCs w:val="22"/>
                <w:lang w:val="es-ES_tradnl"/>
              </w:rPr>
            </w:pPr>
            <w:r w:rsidRPr="008F3D04">
              <w:rPr>
                <w:rFonts w:cs="Arial"/>
                <w:szCs w:val="22"/>
                <w:lang w:val="es-ES_tradnl"/>
              </w:rPr>
              <w:t>La Comisión, mediante norma de carácter general, establecerá los requisitos y condiciones que deberán cumplir las políticas, procedimientos, sistemas y controles a que se refiere el inciso anterior.”.</w:t>
            </w:r>
          </w:p>
          <w:p w:rsidR="008F3D04" w:rsidRDefault="008F3D04" w:rsidP="008F3D04">
            <w:pPr>
              <w:contextualSpacing/>
              <w:rPr>
                <w:rFonts w:cs="Arial"/>
                <w:szCs w:val="22"/>
                <w:lang w:val="es-ES_tradnl"/>
              </w:rPr>
            </w:pPr>
          </w:p>
          <w:p w:rsidR="00B0260F" w:rsidRPr="008F3D04" w:rsidRDefault="00B0260F" w:rsidP="008F3D04">
            <w:pPr>
              <w:contextualSpacing/>
              <w:rPr>
                <w:rFonts w:cs="Arial"/>
                <w:szCs w:val="22"/>
                <w:lang w:val="es-ES_tradnl"/>
              </w:rPr>
            </w:pPr>
          </w:p>
          <w:p w:rsidR="008F3D04" w:rsidRPr="008F3D04" w:rsidRDefault="008F3D04" w:rsidP="008F3D04">
            <w:pPr>
              <w:contextualSpacing/>
              <w:rPr>
                <w:rFonts w:cs="Arial"/>
                <w:szCs w:val="22"/>
                <w:lang w:val="es-ES_tradnl"/>
              </w:rPr>
            </w:pPr>
            <w:r w:rsidRPr="008F3D04">
              <w:rPr>
                <w:rFonts w:cs="Arial"/>
                <w:szCs w:val="22"/>
                <w:lang w:val="es-ES_tradnl"/>
              </w:rPr>
              <w:t>b) Reemplázase en su inciso tercero, que ha pasado a ser cuarto, la expresión “el inciso anterior” por “los incisos anteriores”.</w:t>
            </w:r>
          </w:p>
          <w:p w:rsidR="008F3D04" w:rsidRDefault="008F3D04" w:rsidP="008F3D04">
            <w:pPr>
              <w:contextualSpacing/>
              <w:rPr>
                <w:rFonts w:cs="Arial"/>
                <w:szCs w:val="22"/>
                <w:lang w:val="es-ES_tradnl"/>
              </w:rPr>
            </w:pPr>
          </w:p>
          <w:p w:rsidR="00DC30F1" w:rsidRDefault="00DC30F1" w:rsidP="008F3D04">
            <w:pPr>
              <w:contextualSpacing/>
              <w:rPr>
                <w:rFonts w:cs="Arial"/>
                <w:szCs w:val="22"/>
                <w:lang w:val="es-ES_tradnl"/>
              </w:rPr>
            </w:pPr>
          </w:p>
          <w:p w:rsidR="00DC30F1" w:rsidRPr="008F3D04" w:rsidRDefault="00DC30F1" w:rsidP="008F3D04">
            <w:pPr>
              <w:contextualSpacing/>
              <w:rPr>
                <w:rFonts w:cs="Arial"/>
                <w:szCs w:val="22"/>
                <w:lang w:val="es-ES_tradnl"/>
              </w:rPr>
            </w:pPr>
          </w:p>
          <w:p w:rsidR="008F3D04" w:rsidRPr="008F3D04" w:rsidRDefault="008F3D04" w:rsidP="0018189D">
            <w:pPr>
              <w:contextualSpacing/>
              <w:rPr>
                <w:rFonts w:cs="Arial"/>
                <w:szCs w:val="22"/>
                <w:lang w:val="es-ES_tradnl"/>
              </w:rPr>
            </w:pPr>
          </w:p>
        </w:tc>
      </w:tr>
      <w:tr w:rsidR="0018189D" w:rsidRPr="001C20E4" w:rsidTr="00096CE0">
        <w:trPr>
          <w:trHeight w:val="315"/>
          <w:jc w:val="center"/>
        </w:trPr>
        <w:tc>
          <w:tcPr>
            <w:tcW w:w="1661" w:type="pct"/>
          </w:tcPr>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Artículo 16. Los emisores de valores de oferta pública, deberán adoptar una política que establezca normas, procedimientos, mecanismos de control y responsabilidades, conforme a las cuales los directores, gerentes, administradores y ejecutivos principales, así como las entidades controladas directamente por ellos o a través de terceros, podrán adquirir o enajenar valores de la sociedad o valores cuyo precio o resultado dependa o esté condicionado, en todo o en parte significativa, a la variación o evolución del precio de dichos valores.</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Dicha política podrá imponer, entre otras, las siguientes limitaciones a las personas indicadas en el inciso anterior:</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a) Una prohibición total y permanente de efectuar cualquiera de las operaciones indicadas en el inciso anterior.</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b) Una prohibición transitoria, por períodos definidos por el directorio en atención a las actividades, eventos o procesos de la entidad, durante el cual deberán abstenerse de realizar cualquiera de las operaciones indicadas en el inciso anterior.</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c) Una prohibición permanente de adquirir y enajenar, o de enajenar y posteriormente adquirir, los valores indicados en el inciso anterior, si entre tales operaciones no hubiere transcurrido a lo menos un plazo determinado de días hábiles bursátiles.</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En los casos indicados en las letras anteriores, así como en los demás que pueda adoptar la política interna de cada entidad, se podrá establecer que la violación de la prohibición genere para el infractor, además de los efectos laborales que correspondan, la obligación de pagar, a la entidad respectiva, una multa equivalente a: i) un porcentaje de la operación o ii) el monto total de la ganancia obtenida o la pérdida evitada. La aplicación de esta multa no obstará a la aplicación de las sanciones legales que sean procedentes cuando además se haya infringido la ley.</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Las normas adoptadas por el directorio o administrador en conformidad a este artículo, y sus correspondientes modificaciones, deberán ser puestas en conocimiento del público, mediante un aviso insertado en un diario de circulación nacional o bien en su sitio en Internet, cuando cuenten con este medio. </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18189D" w:rsidRPr="001C20E4" w:rsidRDefault="0018189D" w:rsidP="00453903">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tc>
        <w:tc>
          <w:tcPr>
            <w:tcW w:w="1665" w:type="pct"/>
          </w:tcPr>
          <w:p w:rsidR="0018189D" w:rsidRDefault="0018189D" w:rsidP="00110630">
            <w:pPr>
              <w:contextualSpacing/>
              <w:rPr>
                <w:rFonts w:cs="Arial"/>
                <w:szCs w:val="22"/>
              </w:rPr>
            </w:pPr>
          </w:p>
        </w:tc>
        <w:tc>
          <w:tcPr>
            <w:tcW w:w="1674" w:type="pct"/>
          </w:tcPr>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0369CD" w:rsidRDefault="000369CD" w:rsidP="0018189D">
            <w:pPr>
              <w:contextualSpacing/>
              <w:rPr>
                <w:rFonts w:cs="Arial"/>
                <w:szCs w:val="22"/>
                <w:lang w:val="es-ES_tradnl"/>
              </w:rPr>
            </w:pPr>
          </w:p>
          <w:p w:rsidR="00176425" w:rsidRDefault="00176425" w:rsidP="0018189D">
            <w:pPr>
              <w:contextualSpacing/>
              <w:rPr>
                <w:rFonts w:cs="Arial"/>
                <w:szCs w:val="22"/>
                <w:lang w:val="es-ES_tradnl"/>
              </w:rPr>
            </w:pPr>
          </w:p>
          <w:p w:rsidR="0018189D" w:rsidRPr="0018189D" w:rsidRDefault="0018189D" w:rsidP="0018189D">
            <w:pPr>
              <w:contextualSpacing/>
              <w:rPr>
                <w:rFonts w:cs="Arial"/>
                <w:szCs w:val="22"/>
                <w:lang w:val="es-ES_tradnl"/>
              </w:rPr>
            </w:pPr>
            <w:r w:rsidRPr="0018189D">
              <w:rPr>
                <w:rFonts w:cs="Arial"/>
                <w:szCs w:val="22"/>
                <w:lang w:val="es-ES_tradnl"/>
              </w:rPr>
              <w:t>“5) Incorpóranse en el artículo 16 los siguientes incisos quinto, sexto y séptimo:</w:t>
            </w:r>
          </w:p>
          <w:p w:rsidR="0018189D" w:rsidRPr="0018189D" w:rsidRDefault="0018189D" w:rsidP="0018189D">
            <w:pPr>
              <w:contextualSpacing/>
              <w:rPr>
                <w:rFonts w:cs="Arial"/>
                <w:szCs w:val="22"/>
                <w:lang w:val="es-ES_tradnl"/>
              </w:rPr>
            </w:pPr>
          </w:p>
          <w:p w:rsidR="0018189D" w:rsidRPr="0018189D" w:rsidRDefault="0018189D" w:rsidP="0018189D">
            <w:pPr>
              <w:contextualSpacing/>
              <w:rPr>
                <w:rFonts w:cs="Arial"/>
                <w:szCs w:val="22"/>
                <w:lang w:val="es-ES_tradnl"/>
              </w:rPr>
            </w:pPr>
            <w:r w:rsidRPr="0018189D">
              <w:rPr>
                <w:rFonts w:cs="Arial"/>
                <w:szCs w:val="22"/>
                <w:lang w:val="es-ES_tradnl"/>
              </w:rPr>
              <w:t>“Sin perjuicio de las políticas que adopte cada emisor, los directores, gerentes, administradores y ejecutivos principales de un emisor de valores de oferta pública, así como sus cónyuges, convivientes y parientes hasta el segundo grado de consanguineidad o afinidad, no podrán efectuar, directa o indirectamente, transacciones sobre los valores emitidos por el emisor, dentro de los treinta días previos a la divulgación de los estados financieros trimestrales o anuales de este último.</w:t>
            </w:r>
          </w:p>
          <w:p w:rsidR="0018189D" w:rsidRPr="0018189D" w:rsidRDefault="0018189D" w:rsidP="0018189D">
            <w:pPr>
              <w:contextualSpacing/>
              <w:rPr>
                <w:rFonts w:cs="Arial"/>
                <w:szCs w:val="22"/>
                <w:lang w:val="es-ES_tradnl"/>
              </w:rPr>
            </w:pPr>
          </w:p>
          <w:p w:rsidR="0018189D" w:rsidRPr="0018189D" w:rsidRDefault="0018189D" w:rsidP="0018189D">
            <w:pPr>
              <w:contextualSpacing/>
              <w:rPr>
                <w:rFonts w:cs="Arial"/>
                <w:szCs w:val="22"/>
                <w:lang w:val="es-ES_tradnl"/>
              </w:rPr>
            </w:pPr>
            <w:r w:rsidRPr="0018189D">
              <w:rPr>
                <w:rFonts w:cs="Arial"/>
                <w:szCs w:val="22"/>
                <w:lang w:val="es-ES_tradnl"/>
              </w:rPr>
              <w:t xml:space="preserve">Para efectos del inciso anterior, los emisores de valores de oferta pública deberán siempre publicar la fecha en que se divulgarán sus próximos estados financieros, con a lo menos treinta días de anticipación a dicha divulgación. </w:t>
            </w:r>
          </w:p>
          <w:p w:rsidR="0018189D" w:rsidRPr="0018189D" w:rsidRDefault="0018189D" w:rsidP="0018189D">
            <w:pPr>
              <w:contextualSpacing/>
              <w:rPr>
                <w:rFonts w:cs="Arial"/>
                <w:szCs w:val="22"/>
                <w:lang w:val="es-ES_tradnl"/>
              </w:rPr>
            </w:pPr>
          </w:p>
          <w:p w:rsidR="0018189D" w:rsidRPr="0018189D" w:rsidRDefault="0018189D" w:rsidP="0018189D">
            <w:pPr>
              <w:contextualSpacing/>
              <w:rPr>
                <w:rFonts w:cs="Arial"/>
                <w:szCs w:val="22"/>
                <w:lang w:val="es-ES_tradnl"/>
              </w:rPr>
            </w:pPr>
            <w:r w:rsidRPr="0018189D">
              <w:rPr>
                <w:rFonts w:cs="Arial"/>
                <w:szCs w:val="22"/>
                <w:lang w:val="es-ES_tradnl"/>
              </w:rPr>
              <w:t>En caso de que se efectúen operaciones en contravención de lo dispuesto en el inciso quinto, que infringieren las prohibiciones establecidas en el Título XXI de esta ley, primarán las disposiciones de dicho Título.”.</w:t>
            </w:r>
          </w:p>
          <w:p w:rsidR="0018189D" w:rsidRPr="0018189D" w:rsidRDefault="0018189D" w:rsidP="0018189D">
            <w:pPr>
              <w:contextualSpacing/>
              <w:rPr>
                <w:rFonts w:cs="Arial"/>
                <w:szCs w:val="22"/>
                <w:lang w:val="es-ES_tradnl"/>
              </w:rPr>
            </w:pPr>
          </w:p>
          <w:p w:rsidR="0018189D" w:rsidRDefault="0018189D" w:rsidP="008F3D04">
            <w:pPr>
              <w:contextualSpacing/>
              <w:rPr>
                <w:rFonts w:cs="Arial"/>
                <w:szCs w:val="22"/>
                <w:lang w:val="es-ES_tradnl"/>
              </w:rPr>
            </w:pPr>
          </w:p>
          <w:p w:rsidR="000369CD" w:rsidRPr="008F3D04" w:rsidRDefault="000369CD" w:rsidP="008F3D04">
            <w:pPr>
              <w:contextualSpacing/>
              <w:rPr>
                <w:rFonts w:cs="Arial"/>
                <w:szCs w:val="22"/>
                <w:lang w:val="es-ES_tradnl"/>
              </w:rPr>
            </w:pPr>
          </w:p>
        </w:tc>
      </w:tr>
      <w:tr w:rsidR="008F3D04" w:rsidRPr="001C20E4" w:rsidTr="00096CE0">
        <w:trPr>
          <w:trHeight w:val="315"/>
          <w:jc w:val="center"/>
        </w:trPr>
        <w:tc>
          <w:tcPr>
            <w:tcW w:w="1661" w:type="pct"/>
          </w:tcPr>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xml:space="preserve">Artículo 18. Las personas indicadas </w:t>
            </w:r>
            <w:r w:rsidRPr="002E5E05">
              <w:rPr>
                <w:rFonts w:cs="Arial"/>
                <w:b/>
                <w:szCs w:val="22"/>
                <w:u w:val="single"/>
                <w:lang w:val="es-CL" w:eastAsia="es-CL"/>
              </w:rPr>
              <w:t>en el artículo 16</w:t>
            </w:r>
            <w:r w:rsidRPr="000369CD">
              <w:rPr>
                <w:rFonts w:cs="Arial"/>
                <w:szCs w:val="22"/>
                <w:lang w:val="es-CL" w:eastAsia="es-CL"/>
              </w:rPr>
              <w:t xml:space="preserve"> deberán, además, informar mensualmente y en forma reservada, al directorio o administrador del emisor, su posición en valores de los proveedores, clientes y competidores más relevantes de la entidad, incluyendo aquellos valores que posean a través de entidades controladas directamente o a través de terceros. El directorio o administrador del emisor determinará quiénes estarán comprendidos en las mencionadas calidades, debiendo al efecto formar una nómina reservada que mantendrá debidamente actualizada. </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F3D04" w:rsidRPr="001C20E4" w:rsidRDefault="008F3D04"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tc>
        <w:tc>
          <w:tcPr>
            <w:tcW w:w="1665" w:type="pct"/>
          </w:tcPr>
          <w:p w:rsidR="008F3D04" w:rsidRDefault="008F3D04" w:rsidP="00110630">
            <w:pPr>
              <w:contextualSpacing/>
              <w:rPr>
                <w:rFonts w:cs="Arial"/>
                <w:szCs w:val="22"/>
              </w:rPr>
            </w:pPr>
          </w:p>
        </w:tc>
        <w:tc>
          <w:tcPr>
            <w:tcW w:w="1674" w:type="pct"/>
          </w:tcPr>
          <w:p w:rsidR="008F3D04" w:rsidRDefault="008F3D04" w:rsidP="008F3D04">
            <w:pPr>
              <w:contextualSpacing/>
              <w:rPr>
                <w:rFonts w:cs="Arial"/>
                <w:szCs w:val="22"/>
                <w:lang w:val="es-ES_tradnl"/>
              </w:rPr>
            </w:pPr>
            <w:r w:rsidRPr="008F3D04">
              <w:rPr>
                <w:rFonts w:cs="Arial"/>
                <w:szCs w:val="22"/>
                <w:lang w:val="es-ES_tradnl"/>
              </w:rPr>
              <w:t>6) Intercala en el artículo 18, entre las expresiones “en el” y “artículo 16”, la frase “inciso primero del”.</w:t>
            </w:r>
          </w:p>
          <w:p w:rsidR="008F3D04" w:rsidRPr="008F3D04" w:rsidRDefault="008F3D04" w:rsidP="008F3D04">
            <w:pPr>
              <w:contextualSpacing/>
              <w:rPr>
                <w:rFonts w:cs="Arial"/>
                <w:szCs w:val="22"/>
                <w:lang w:val="es-ES_tradnl"/>
              </w:rPr>
            </w:pPr>
          </w:p>
        </w:tc>
      </w:tr>
      <w:tr w:rsidR="008F3D04" w:rsidRPr="001C20E4" w:rsidTr="00096CE0">
        <w:trPr>
          <w:trHeight w:val="315"/>
          <w:jc w:val="center"/>
        </w:trPr>
        <w:tc>
          <w:tcPr>
            <w:tcW w:w="1661" w:type="pct"/>
          </w:tcPr>
          <w:p w:rsid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2"/>
                <w:lang w:val="es-CL" w:eastAsia="es-CL"/>
              </w:rPr>
            </w:pPr>
            <w:r w:rsidRPr="000369CD">
              <w:rPr>
                <w:rFonts w:cs="Arial"/>
                <w:szCs w:val="22"/>
                <w:lang w:val="es-CL" w:eastAsia="es-CL"/>
              </w:rPr>
              <w:t xml:space="preserve">    </w:t>
            </w:r>
            <w:r w:rsidRPr="000369CD">
              <w:rPr>
                <w:rFonts w:cs="Arial"/>
                <w:b/>
                <w:szCs w:val="22"/>
                <w:lang w:val="es-CL" w:eastAsia="es-CL"/>
              </w:rPr>
              <w:t>Artículo 19. La Superintendencia, mediante norma de carácter general, definirá casos que puedan eximirse de la aplicación de las restricciones indicadas en el artículo 16.</w:t>
            </w: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0369CD" w:rsidRPr="000369CD" w:rsidRDefault="000369CD" w:rsidP="000369C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0369CD">
              <w:rPr>
                <w:rFonts w:cs="Arial"/>
                <w:szCs w:val="22"/>
                <w:lang w:val="es-CL" w:eastAsia="es-CL"/>
              </w:rPr>
              <w:t xml:space="preserve">    </w:t>
            </w:r>
            <w:r w:rsidRPr="002E5E05">
              <w:rPr>
                <w:rFonts w:cs="Arial"/>
                <w:b/>
                <w:szCs w:val="22"/>
                <w:u w:val="single"/>
                <w:lang w:val="es-CL" w:eastAsia="es-CL"/>
              </w:rPr>
              <w:t>Asimismo, la Superintendencia</w:t>
            </w:r>
            <w:r w:rsidRPr="000369CD">
              <w:rPr>
                <w:rFonts w:cs="Arial"/>
                <w:szCs w:val="22"/>
                <w:lang w:val="es-CL" w:eastAsia="es-CL"/>
              </w:rPr>
              <w:t xml:space="preserve"> determinará, mediante norma de carácter general, los criterios mínimos y las excepciones que se deberán considerar en la preparación y presentación de la información contemplada en el artículo 17, como asimismo la oportunidad y forma en que ella se le deberá remitir.</w:t>
            </w:r>
          </w:p>
          <w:p w:rsidR="008F3D04" w:rsidRPr="001C20E4" w:rsidRDefault="008F3D04" w:rsidP="00453903">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tc>
        <w:tc>
          <w:tcPr>
            <w:tcW w:w="1665" w:type="pct"/>
          </w:tcPr>
          <w:p w:rsidR="008F3D04" w:rsidRDefault="008F3D04" w:rsidP="00110630">
            <w:pPr>
              <w:contextualSpacing/>
              <w:rPr>
                <w:rFonts w:cs="Arial"/>
                <w:szCs w:val="22"/>
              </w:rPr>
            </w:pPr>
          </w:p>
        </w:tc>
        <w:tc>
          <w:tcPr>
            <w:tcW w:w="1674" w:type="pct"/>
          </w:tcPr>
          <w:p w:rsidR="008F3D04" w:rsidRDefault="008F3D04" w:rsidP="008F3D04">
            <w:pPr>
              <w:contextualSpacing/>
              <w:rPr>
                <w:rFonts w:cs="Arial"/>
                <w:szCs w:val="22"/>
                <w:lang w:val="es-ES_tradnl"/>
              </w:rPr>
            </w:pPr>
            <w:r w:rsidRPr="008F3D04">
              <w:rPr>
                <w:rFonts w:cs="Arial"/>
                <w:szCs w:val="22"/>
                <w:lang w:val="es-ES_tradnl"/>
              </w:rPr>
              <w:t>7) Modifica el artículo 19 en el siguiente sentido:</w:t>
            </w:r>
          </w:p>
          <w:p w:rsidR="008F3D04" w:rsidRPr="008F3D04" w:rsidRDefault="008F3D04" w:rsidP="008F3D04">
            <w:pPr>
              <w:contextualSpacing/>
              <w:rPr>
                <w:rFonts w:cs="Arial"/>
                <w:szCs w:val="22"/>
                <w:lang w:val="es-ES_tradnl"/>
              </w:rPr>
            </w:pPr>
          </w:p>
          <w:p w:rsidR="008F3D04" w:rsidRDefault="008F3D04" w:rsidP="008F3D04">
            <w:pPr>
              <w:contextualSpacing/>
              <w:rPr>
                <w:rFonts w:cs="Arial"/>
                <w:szCs w:val="22"/>
                <w:lang w:val="es-ES_tradnl"/>
              </w:rPr>
            </w:pPr>
            <w:r w:rsidRPr="008F3D04">
              <w:rPr>
                <w:rFonts w:cs="Arial"/>
                <w:szCs w:val="22"/>
                <w:lang w:val="es-ES_tradnl"/>
              </w:rPr>
              <w:t>a) Elimínase su inciso primero.</w:t>
            </w:r>
          </w:p>
          <w:p w:rsidR="008F3D04" w:rsidRDefault="008F3D04" w:rsidP="008F3D04">
            <w:pPr>
              <w:contextualSpacing/>
              <w:rPr>
                <w:rFonts w:cs="Arial"/>
                <w:szCs w:val="22"/>
                <w:lang w:val="es-ES_tradnl"/>
              </w:rPr>
            </w:pPr>
          </w:p>
          <w:p w:rsidR="000369CD" w:rsidRDefault="000369CD" w:rsidP="008F3D04">
            <w:pPr>
              <w:contextualSpacing/>
              <w:rPr>
                <w:rFonts w:cs="Arial"/>
                <w:szCs w:val="22"/>
                <w:lang w:val="es-ES_tradnl"/>
              </w:rPr>
            </w:pPr>
          </w:p>
          <w:p w:rsidR="000369CD" w:rsidRDefault="000369CD" w:rsidP="008F3D04">
            <w:pPr>
              <w:contextualSpacing/>
              <w:rPr>
                <w:rFonts w:cs="Arial"/>
                <w:szCs w:val="22"/>
                <w:lang w:val="es-ES_tradnl"/>
              </w:rPr>
            </w:pPr>
          </w:p>
          <w:p w:rsidR="000369CD" w:rsidRPr="008F3D04" w:rsidRDefault="000369CD" w:rsidP="008F3D04">
            <w:pPr>
              <w:contextualSpacing/>
              <w:rPr>
                <w:rFonts w:cs="Arial"/>
                <w:szCs w:val="22"/>
                <w:lang w:val="es-ES_tradnl"/>
              </w:rPr>
            </w:pPr>
          </w:p>
          <w:p w:rsidR="008F3D04" w:rsidRPr="008F3D04" w:rsidRDefault="008F3D04" w:rsidP="008F3D04">
            <w:pPr>
              <w:contextualSpacing/>
              <w:rPr>
                <w:rFonts w:cs="Arial"/>
                <w:szCs w:val="22"/>
                <w:lang w:val="es-ES_tradnl"/>
              </w:rPr>
            </w:pPr>
            <w:r w:rsidRPr="008F3D04">
              <w:rPr>
                <w:rFonts w:cs="Arial"/>
                <w:szCs w:val="22"/>
                <w:lang w:val="es-ES_tradnl"/>
              </w:rPr>
              <w:t>b) Reemplázase en su inciso segundo la expresión “Asimismo, la Superintendencia” por “La Comisión”.</w:t>
            </w:r>
          </w:p>
          <w:p w:rsidR="008F3D04" w:rsidRPr="008F3D04" w:rsidRDefault="008F3D04" w:rsidP="008F3D04">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rsidP="00453903">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453903">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Artículo 29.- Los corredores de bolsa y agentes de valores, deberán cumplir y mantener los márgenes de endeudamiento, de colocaciones y otras condiciones de liquidez </w:t>
            </w:r>
            <w:r w:rsidRPr="002E5E05">
              <w:rPr>
                <w:rFonts w:cs="Arial"/>
                <w:b/>
                <w:szCs w:val="22"/>
                <w:u w:val="single"/>
                <w:lang w:val="es-CL" w:eastAsia="es-CL"/>
              </w:rPr>
              <w:t>y solvencia patrimonial que la Superintendencia establezca</w:t>
            </w:r>
            <w:r w:rsidRPr="001C20E4">
              <w:rPr>
                <w:rFonts w:cs="Arial"/>
                <w:szCs w:val="22"/>
                <w:lang w:val="es-CL" w:eastAsia="es-CL"/>
              </w:rPr>
              <w:t xml:space="preserve"> mediante normas de aplicación general que dictará especialmente en relación a la naturaleza de las operaciones, su cuantía, el tipo de instrumentos que se negocien y la clase de intermediarios a que deben aplicarse.</w:t>
            </w:r>
          </w:p>
          <w:p w:rsidR="0045036E" w:rsidRDefault="0045036E" w:rsidP="00453903">
            <w:pPr>
              <w:rPr>
                <w:rFonts w:cs="Arial"/>
                <w:b/>
                <w:bCs/>
                <w:szCs w:val="22"/>
                <w:lang w:val="es-ES_tradnl"/>
              </w:rPr>
            </w:pPr>
          </w:p>
          <w:p w:rsidR="002E1269" w:rsidRDefault="002E1269" w:rsidP="00453903">
            <w:pPr>
              <w:rPr>
                <w:rFonts w:cs="Arial"/>
                <w:b/>
                <w:bCs/>
                <w:szCs w:val="22"/>
                <w:lang w:val="es-ES_tradnl"/>
              </w:rPr>
            </w:pPr>
          </w:p>
          <w:p w:rsidR="002E1269" w:rsidRPr="001C20E4" w:rsidRDefault="002E1269" w:rsidP="00453903">
            <w:pPr>
              <w:rPr>
                <w:rFonts w:cs="Arial"/>
                <w:b/>
                <w:bCs/>
                <w:szCs w:val="22"/>
                <w:lang w:val="es-ES_tradnl"/>
              </w:rPr>
            </w:pPr>
          </w:p>
        </w:tc>
        <w:tc>
          <w:tcPr>
            <w:tcW w:w="1665" w:type="pct"/>
          </w:tcPr>
          <w:p w:rsidR="00110630" w:rsidRDefault="00110630" w:rsidP="00110630">
            <w:pPr>
              <w:contextualSpacing/>
              <w:rPr>
                <w:rFonts w:cs="Arial"/>
                <w:szCs w:val="22"/>
              </w:rPr>
            </w:pPr>
          </w:p>
          <w:p w:rsidR="00110630" w:rsidRDefault="00110630" w:rsidP="00110630">
            <w:pPr>
              <w:contextualSpacing/>
              <w:rPr>
                <w:rFonts w:cs="Arial"/>
                <w:szCs w:val="22"/>
              </w:rPr>
            </w:pPr>
          </w:p>
          <w:p w:rsidR="00110630" w:rsidRDefault="00110630" w:rsidP="00110630">
            <w:pPr>
              <w:contextualSpacing/>
              <w:rPr>
                <w:rFonts w:cs="Arial"/>
                <w:szCs w:val="22"/>
              </w:rPr>
            </w:pPr>
          </w:p>
          <w:p w:rsidR="00110630" w:rsidRPr="00110630" w:rsidRDefault="00110630" w:rsidP="00110630">
            <w:pPr>
              <w:contextualSpacing/>
              <w:rPr>
                <w:rFonts w:cs="Arial"/>
                <w:szCs w:val="22"/>
              </w:rPr>
            </w:pPr>
            <w:r w:rsidRPr="003B5069">
              <w:rPr>
                <w:rFonts w:cs="Arial"/>
                <w:b/>
                <w:szCs w:val="22"/>
              </w:rPr>
              <w:t>4)</w:t>
            </w:r>
            <w:r w:rsidRPr="00110630">
              <w:rPr>
                <w:rFonts w:cs="Arial"/>
                <w:szCs w:val="22"/>
              </w:rPr>
              <w:t xml:space="preserve"> Reemplázase, en el artículo 29, la frase “y solvencia patrimonial que la Superintendencia establezca”, por la que sigue: “, solvencia patrimonial y gestión de riesgos que establezca la Comisión”.</w:t>
            </w:r>
          </w:p>
          <w:p w:rsidR="0045036E" w:rsidRPr="001C20E4" w:rsidRDefault="0045036E">
            <w:pPr>
              <w:contextualSpacing/>
              <w:rPr>
                <w:rFonts w:cs="Arial"/>
                <w:szCs w:val="22"/>
              </w:rPr>
            </w:pPr>
          </w:p>
        </w:tc>
        <w:tc>
          <w:tcPr>
            <w:tcW w:w="1674" w:type="pct"/>
          </w:tcPr>
          <w:p w:rsidR="003B5069" w:rsidRPr="003B5069" w:rsidRDefault="003B5069" w:rsidP="003B5069">
            <w:pPr>
              <w:contextualSpacing/>
              <w:jc w:val="center"/>
              <w:rPr>
                <w:rFonts w:cs="Arial"/>
                <w:b/>
                <w:szCs w:val="22"/>
                <w:u w:val="single"/>
                <w:lang w:val="es-ES_tradnl"/>
              </w:rPr>
            </w:pPr>
            <w:r w:rsidRPr="003B5069">
              <w:rPr>
                <w:rFonts w:cs="Arial"/>
                <w:b/>
                <w:szCs w:val="22"/>
                <w:u w:val="single"/>
                <w:lang w:val="es-ES_tradnl"/>
              </w:rPr>
              <w:t>Numerales 4) y 5)</w:t>
            </w:r>
          </w:p>
          <w:p w:rsidR="003B5069" w:rsidRDefault="003B5069" w:rsidP="003B5069">
            <w:pPr>
              <w:contextualSpacing/>
              <w:rPr>
                <w:rFonts w:cs="Arial"/>
                <w:b/>
                <w:szCs w:val="22"/>
                <w:lang w:val="es-ES_tradnl"/>
              </w:rPr>
            </w:pPr>
          </w:p>
          <w:p w:rsidR="002E1269" w:rsidRPr="003B5069" w:rsidRDefault="002E1269" w:rsidP="003B5069">
            <w:pPr>
              <w:contextualSpacing/>
              <w:rPr>
                <w:rFonts w:cs="Arial"/>
                <w:b/>
                <w:szCs w:val="22"/>
                <w:lang w:val="es-ES_tradnl"/>
              </w:rPr>
            </w:pPr>
          </w:p>
          <w:p w:rsidR="003B5069" w:rsidRPr="003B5069" w:rsidRDefault="003B5069" w:rsidP="003B5069">
            <w:pPr>
              <w:contextualSpacing/>
              <w:rPr>
                <w:rFonts w:cs="Arial"/>
                <w:szCs w:val="22"/>
                <w:lang w:val="es-ES_tradnl"/>
              </w:rPr>
            </w:pPr>
            <w:r w:rsidRPr="003B5069">
              <w:rPr>
                <w:rFonts w:cs="Arial"/>
                <w:szCs w:val="22"/>
                <w:lang w:val="es-ES_tradnl"/>
              </w:rPr>
              <w:t>Han pasado a ser numerales 8 y 9, respectivamente, sin enmiendas.</w:t>
            </w:r>
          </w:p>
          <w:p w:rsidR="0045036E" w:rsidRPr="001C20E4" w:rsidRDefault="0045036E">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rsidP="00453903">
            <w:pPr>
              <w:jc w:val="center"/>
              <w:rPr>
                <w:rFonts w:cs="Arial"/>
                <w:b/>
                <w:bCs/>
                <w:szCs w:val="22"/>
                <w:lang w:val="es-ES_tradnl"/>
              </w:rPr>
            </w:pPr>
          </w:p>
          <w:p w:rsidR="0045036E" w:rsidRPr="001C20E4" w:rsidRDefault="0045036E" w:rsidP="00453903">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TITULO VII</w:t>
            </w:r>
          </w:p>
          <w:p w:rsidR="0045036E" w:rsidRPr="001C20E4" w:rsidRDefault="0045036E" w:rsidP="00453903">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De las Bolsas de Valores</w:t>
            </w:r>
          </w:p>
          <w:p w:rsidR="0045036E" w:rsidRPr="001C20E4" w:rsidRDefault="0045036E" w:rsidP="00453903">
            <w:pPr>
              <w:jc w:val="center"/>
              <w:rPr>
                <w:rFonts w:cs="Arial"/>
                <w:b/>
                <w:bCs/>
                <w:szCs w:val="22"/>
                <w:lang w:val="es-ES_tradn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Art</w:t>
            </w:r>
            <w:r w:rsidRPr="001C20E4">
              <w:rPr>
                <w:rFonts w:cs="Arial"/>
                <w:lang w:eastAsia="es-CL"/>
              </w:rPr>
              <w:t>ículo</w:t>
            </w:r>
            <w:r w:rsidRPr="001C20E4">
              <w:rPr>
                <w:rFonts w:cs="Arial"/>
                <w:szCs w:val="22"/>
                <w:lang w:eastAsia="es-CL"/>
              </w:rPr>
              <w:t xml:space="preserve"> 44.</w:t>
            </w:r>
            <w:r w:rsidRPr="001C20E4">
              <w:rPr>
                <w:rFonts w:cs="Arial"/>
                <w:lang w:eastAsia="es-CL"/>
              </w:rPr>
              <w:t>-</w:t>
            </w:r>
            <w:r w:rsidRPr="001C20E4">
              <w:rPr>
                <w:rFonts w:cs="Arial"/>
                <w:szCs w:val="22"/>
                <w:lang w:eastAsia="es-CL"/>
              </w:rPr>
              <w:t xml:space="preserve"> En la reglamentación de sus propias actividades y las de sus miembros, las bolsas de valores deberán contemplar normas, sobre las materias que a continuación se indican:</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a) Normas que establezcan los derechos y obligaciones de los corredores de bolsa en relación a las operaciones que realizan y, en especial:</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1. Que establezcan cuando, en los casos que no exista una norma legal al respecto, los corredores de bolsa, deben llevar las órdenes que reciban directamente a la rueda, de modo de garantizar la reunión en ésta, en un mercado activo y de continua subasta, de todos los intereses de compra y de venta a fin de que todas las transacciones se efectúen en un mercado abierto y el inversionista pueda obtener la más conveniente ejecución de sus órdenes;</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2. Que establezcan la prioridad, paridad y precedencia de las órdenes, de modo de garantizar mercados justos y ordenados, y un adecuado cumplimiento de todas las órdenes recibidas;</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3. Que establezcan en qué casos los corredores de bolsa pueden negociar por su propia cuenta, de modo de asegurar que la bolsa funcione como un mercado abierto e informado en beneficio de los inversionistas en general;</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4. que establezcan procedimientos de canje y transferencia de las transacciones en forma rápida y ordenada, tanto de los volúmenes operacionales actuales como de los futuros previsibles;</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5. Que establezcan las obligaciones de los corredores con sus clientes, incluyendo aquellas derivadas de las recomendaciones de inversión que hagan éstos, y</w:t>
            </w:r>
            <w:r w:rsidRPr="001C20E4">
              <w:rPr>
                <w:rFonts w:cs="Arial"/>
                <w:lang w:eastAsia="es-CL"/>
              </w:rPr>
              <w:t xml:space="preserve"> </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6. Que establezcan la Organización administrativa interna de sus miembros necesaria para asegurar los fines de la presente ley.</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b) Normas tendientes a promover principios justos y equitativos en las transacciones de bolsa, y a proteger a los inversionistas de fraudes y otras prácticas ilegítimas.</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c) Normas y procedimientos justos y uniformes por los cuales los miembros de una bolsa de valores y los socios y empleados de éstos, puedan ser sancionados, suspendidos o expulsados de ella en caso que hayan incurrido en infracción a la presente ley y sus normas complementarias o de los estatutos o normas internas de la misma.</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d) Normas estableciendo que deberán llevar un sistema de registro de los reclamos interpuestos en contra de los corredores, y de las medidas tomadas y sanciones aplicadas por la bolsa en contra de sus miembros, cuando procediere.</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e) Normas estableciendo requisitos generales y uniformes para la inscripción y transacción de valores en la bolsa, y para la suspensión, cancelación y retiro de los mismos.</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f) Normas que establezcan con claridad los derechos y obligaciones de los emisores de valores registrados o transados en la bolsa, en particular, en lo relativo a las informaciones que deberán proporcionar al mercado respecto de su situación jurídica, económica y financiera, y demás hechos que pueden ser relevantes en la transacción de sus valores.</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g) Normas que regulen los sistemas de transacción de valores, con el objeto de que pueda determinarse en forma cierta si las transacciones efectuadas por los corredores de bolsa corresponden a operaciones por cuenta propia o por cuenta de terceros. Esta información será pública. Asimismo, se establecerán por la bolsa que corresponda, sistemas similares respecto de las operaciones o transacciones que se realicen por corredores por cuenta de la administradora o por los fondos que éstas administran. El corredor de bolsa y la bolsa respectiva deberán guardar reserva sobre el origen y el titular de la orden respectiva.</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h) Normas que aseguren un tratamiento justo y no arbitrario para todos los corredores que operen en ellas.</w:t>
            </w: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p>
          <w:p w:rsidR="0045036E" w:rsidRPr="001C20E4" w:rsidRDefault="0045036E" w:rsidP="0004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s-CL"/>
              </w:rPr>
            </w:pPr>
            <w:r w:rsidRPr="001C20E4">
              <w:rPr>
                <w:rFonts w:cs="Arial"/>
                <w:szCs w:val="22"/>
                <w:lang w:eastAsia="es-CL"/>
              </w:rPr>
              <w:t>Todas las normas internas que adopten las bolsas en relación a sus operaciones como tales, deberán ser previamente aprobadas por la Superintendencia, la que estará facultada para rechazarlas, modificarlas o suprimirlas, mediante resolución fundada.</w:t>
            </w:r>
          </w:p>
          <w:p w:rsidR="0045036E" w:rsidRPr="001C20E4" w:rsidRDefault="0045036E" w:rsidP="00B447A5">
            <w:pPr>
              <w:widowControl w:val="0"/>
              <w:tabs>
                <w:tab w:val="clear" w:pos="2835"/>
              </w:tabs>
              <w:autoSpaceDE w:val="0"/>
              <w:autoSpaceDN w:val="0"/>
              <w:adjustRightInd w:val="0"/>
              <w:rPr>
                <w:rFonts w:cs="Arial"/>
                <w:b/>
                <w:bCs/>
                <w:szCs w:val="22"/>
                <w:lang w:val="es-ES_tradnl"/>
              </w:rPr>
            </w:pPr>
          </w:p>
          <w:p w:rsidR="0045036E" w:rsidRPr="001C20E4" w:rsidRDefault="0045036E" w:rsidP="00B447A5">
            <w:pPr>
              <w:widowControl w:val="0"/>
              <w:tabs>
                <w:tab w:val="clear" w:pos="2835"/>
              </w:tabs>
              <w:autoSpaceDE w:val="0"/>
              <w:autoSpaceDN w:val="0"/>
              <w:adjustRightInd w:val="0"/>
              <w:rPr>
                <w:rFonts w:cs="Arial"/>
                <w:b/>
                <w:bCs/>
                <w:szCs w:val="22"/>
                <w:lang w:val="es-ES_tradnl"/>
              </w:rPr>
            </w:pPr>
          </w:p>
        </w:tc>
        <w:tc>
          <w:tcPr>
            <w:tcW w:w="1665" w:type="pct"/>
          </w:tcPr>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110630" w:rsidRPr="00110630" w:rsidRDefault="00110630" w:rsidP="00110630">
            <w:pPr>
              <w:contextualSpacing/>
              <w:rPr>
                <w:rFonts w:cs="Arial"/>
                <w:szCs w:val="22"/>
              </w:rPr>
            </w:pPr>
            <w:r w:rsidRPr="003B5069">
              <w:rPr>
                <w:rFonts w:cs="Arial"/>
                <w:b/>
                <w:szCs w:val="22"/>
              </w:rPr>
              <w:t>5)</w:t>
            </w:r>
            <w:r w:rsidRPr="00110630">
              <w:rPr>
                <w:rFonts w:cs="Arial"/>
                <w:szCs w:val="22"/>
              </w:rPr>
              <w:t xml:space="preserve"> Agrégase, en el inciso primero del artículo 44, la siguiente letra i):</w:t>
            </w:r>
          </w:p>
          <w:p w:rsidR="00110630" w:rsidRDefault="00110630"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4001CA" w:rsidRDefault="004001CA" w:rsidP="00110630">
            <w:pPr>
              <w:contextualSpacing/>
              <w:rPr>
                <w:rFonts w:cs="Arial"/>
                <w:szCs w:val="22"/>
              </w:rPr>
            </w:pPr>
          </w:p>
          <w:p w:rsidR="004001CA" w:rsidRDefault="004001CA" w:rsidP="00110630">
            <w:pPr>
              <w:contextualSpacing/>
              <w:rPr>
                <w:rFonts w:cs="Arial"/>
                <w:szCs w:val="22"/>
              </w:rPr>
            </w:pPr>
          </w:p>
          <w:p w:rsidR="004001CA" w:rsidRDefault="004001C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Default="0065306A" w:rsidP="00110630">
            <w:pPr>
              <w:contextualSpacing/>
              <w:rPr>
                <w:rFonts w:cs="Arial"/>
                <w:szCs w:val="22"/>
              </w:rPr>
            </w:pPr>
          </w:p>
          <w:p w:rsidR="0065306A" w:rsidRPr="00110630" w:rsidRDefault="0065306A" w:rsidP="00110630">
            <w:pPr>
              <w:contextualSpacing/>
              <w:rPr>
                <w:rFonts w:cs="Arial"/>
                <w:szCs w:val="22"/>
              </w:rPr>
            </w:pPr>
          </w:p>
          <w:p w:rsidR="00110630" w:rsidRPr="00110630" w:rsidRDefault="00110630" w:rsidP="00110630">
            <w:pPr>
              <w:contextualSpacing/>
              <w:rPr>
                <w:rFonts w:cs="Arial"/>
                <w:szCs w:val="22"/>
              </w:rPr>
            </w:pPr>
            <w:r w:rsidRPr="00110630">
              <w:rPr>
                <w:rFonts w:cs="Arial"/>
                <w:szCs w:val="22"/>
              </w:rPr>
              <w:t>“i) Normas que establezcan las estructuras tarifarias de interconexión, u otras condiciones aplicables a sus participantes o a terceras bolsas.”.</w:t>
            </w:r>
          </w:p>
          <w:p w:rsidR="0045036E" w:rsidRPr="001C20E4" w:rsidRDefault="0045036E">
            <w:pPr>
              <w:contextualSpacing/>
              <w:rPr>
                <w:rFonts w:cs="Arial"/>
                <w:szCs w:val="22"/>
              </w:rPr>
            </w:pPr>
          </w:p>
        </w:tc>
        <w:tc>
          <w:tcPr>
            <w:tcW w:w="1674" w:type="pct"/>
          </w:tcPr>
          <w:p w:rsidR="0045036E" w:rsidRPr="001C20E4" w:rsidRDefault="0045036E" w:rsidP="00B447A5">
            <w:pPr>
              <w:rPr>
                <w:rFonts w:cs="Arial"/>
                <w:szCs w:val="22"/>
                <w:lang w:val="es-ES_tradnl"/>
              </w:rPr>
            </w:pPr>
          </w:p>
        </w:tc>
      </w:tr>
      <w:tr w:rsidR="00096CE0" w:rsidRPr="001C20E4" w:rsidTr="00096CE0">
        <w:trPr>
          <w:trHeight w:val="315"/>
          <w:jc w:val="center"/>
        </w:trPr>
        <w:tc>
          <w:tcPr>
            <w:tcW w:w="1661" w:type="pct"/>
          </w:tcPr>
          <w:p w:rsidR="0045036E" w:rsidRDefault="0045036E" w:rsidP="00B447A5">
            <w:pPr>
              <w:rPr>
                <w:rFonts w:cs="Arial"/>
                <w:bCs/>
                <w:szCs w:val="22"/>
                <w:lang w:val="es-ES_tradnl"/>
              </w:rPr>
            </w:pPr>
          </w:p>
          <w:p w:rsidR="009660B6" w:rsidRDefault="009660B6" w:rsidP="00B447A5">
            <w:pPr>
              <w:rPr>
                <w:rFonts w:cs="Arial"/>
                <w:bCs/>
                <w:szCs w:val="22"/>
                <w:lang w:val="es-ES_tradnl"/>
              </w:rPr>
            </w:pPr>
          </w:p>
          <w:p w:rsidR="009660B6" w:rsidRDefault="009660B6" w:rsidP="00B447A5">
            <w:pPr>
              <w:rPr>
                <w:rFonts w:cs="Arial"/>
                <w:bCs/>
                <w:szCs w:val="22"/>
                <w:lang w:val="es-ES_tradnl"/>
              </w:rPr>
            </w:pPr>
          </w:p>
          <w:p w:rsidR="003B5069" w:rsidRPr="001C20E4" w:rsidRDefault="003B5069" w:rsidP="00B447A5">
            <w:pPr>
              <w:rPr>
                <w:rFonts w:cs="Arial"/>
                <w:bCs/>
                <w:szCs w:val="22"/>
                <w:lang w:val="es-ES_tradnl"/>
              </w:rPr>
            </w:pPr>
          </w:p>
          <w:p w:rsidR="0045036E" w:rsidRPr="001C20E4" w:rsidRDefault="0045036E" w:rsidP="00B447A5">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44 bis.- Las bolsas de valores deberán establecer entre sí, sistemas expeditos de comunicación e información en tiempo real respecto de las transacciones de valores que se realicen en cada una de ellas, sin que puedan comercializar o reproducir estas informaciones, salvo autorización expresa de la bolsa que las origina.</w:t>
            </w:r>
          </w:p>
          <w:p w:rsidR="0045036E" w:rsidRPr="001C20E4" w:rsidRDefault="0045036E" w:rsidP="00B447A5">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447A5">
            <w:pPr>
              <w:widowControl w:val="0"/>
              <w:tabs>
                <w:tab w:val="clear" w:pos="2835"/>
              </w:tabs>
              <w:autoSpaceDE w:val="0"/>
              <w:autoSpaceDN w:val="0"/>
              <w:adjustRightInd w:val="0"/>
              <w:rPr>
                <w:rFonts w:eastAsiaTheme="minorEastAsia" w:cs="Arial"/>
                <w:szCs w:val="22"/>
                <w:lang w:val="es-ES_tradnl" w:eastAsia="es-CL"/>
              </w:rPr>
            </w:pPr>
          </w:p>
          <w:p w:rsidR="0045036E" w:rsidRPr="009660B6" w:rsidRDefault="0045036E" w:rsidP="00B447A5">
            <w:pPr>
              <w:widowControl w:val="0"/>
              <w:tabs>
                <w:tab w:val="clear" w:pos="2835"/>
              </w:tabs>
              <w:autoSpaceDE w:val="0"/>
              <w:autoSpaceDN w:val="0"/>
              <w:adjustRightInd w:val="0"/>
              <w:rPr>
                <w:rFonts w:eastAsiaTheme="minorEastAsia" w:cs="Arial"/>
                <w:b/>
                <w:szCs w:val="22"/>
                <w:lang w:val="es-ES_tradnl" w:eastAsia="es-CL"/>
              </w:rPr>
            </w:pPr>
            <w:r w:rsidRPr="009660B6">
              <w:rPr>
                <w:rFonts w:eastAsiaTheme="minorEastAsia" w:cs="Arial"/>
                <w:b/>
                <w:szCs w:val="22"/>
                <w:lang w:val="es-ES_tradnl" w:eastAsia="es-CL"/>
              </w:rPr>
              <w:t>Las bolsas de valores convendrán sistemas de comunicación, información, entrega de dineros y títulos; uniformidad de procedimientos y demás que sean convenientes a fin de facilitar el cierre de operaciones entre corredores de distintas bolsas, permitiendo al público inversionista la mejor ejecución de sus órdenes e instando por la existencia de un mercado equitativo, competitivo, ordenado y transparente.</w:t>
            </w:r>
          </w:p>
          <w:p w:rsidR="0045036E" w:rsidRPr="001C20E4" w:rsidRDefault="0045036E">
            <w:pPr>
              <w:jc w:val="center"/>
              <w:rPr>
                <w:rFonts w:cs="Arial"/>
                <w:b/>
                <w:bCs/>
                <w:szCs w:val="22"/>
                <w:lang w:val="es-ES_tradnl"/>
              </w:rPr>
            </w:pPr>
          </w:p>
        </w:tc>
        <w:tc>
          <w:tcPr>
            <w:tcW w:w="1665" w:type="pct"/>
          </w:tcPr>
          <w:p w:rsidR="003B5069" w:rsidRDefault="003B5069" w:rsidP="009660B6">
            <w:pPr>
              <w:contextualSpacing/>
              <w:rPr>
                <w:rFonts w:cs="Arial"/>
                <w:szCs w:val="22"/>
              </w:rPr>
            </w:pPr>
          </w:p>
          <w:p w:rsidR="009660B6" w:rsidRPr="009660B6" w:rsidRDefault="009660B6" w:rsidP="009660B6">
            <w:pPr>
              <w:contextualSpacing/>
              <w:rPr>
                <w:rFonts w:cs="Arial"/>
                <w:szCs w:val="22"/>
              </w:rPr>
            </w:pPr>
            <w:r w:rsidRPr="003B5069">
              <w:rPr>
                <w:rFonts w:cs="Arial"/>
                <w:b/>
                <w:szCs w:val="22"/>
              </w:rPr>
              <w:t>6)</w:t>
            </w:r>
            <w:r w:rsidRPr="009660B6">
              <w:rPr>
                <w:rFonts w:cs="Arial"/>
                <w:szCs w:val="22"/>
              </w:rPr>
              <w:t xml:space="preserve"> Reemplázase el inciso segundo del artículo 44 bis, por los siguientes:</w:t>
            </w: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Default="009660B6" w:rsidP="009660B6">
            <w:pPr>
              <w:contextualSpacing/>
              <w:rPr>
                <w:rFonts w:cs="Arial"/>
                <w:szCs w:val="22"/>
              </w:rPr>
            </w:pPr>
          </w:p>
          <w:p w:rsidR="009660B6" w:rsidRPr="009660B6" w:rsidRDefault="009660B6" w:rsidP="009660B6">
            <w:pPr>
              <w:contextualSpacing/>
              <w:rPr>
                <w:rFonts w:cs="Arial"/>
                <w:szCs w:val="22"/>
              </w:rPr>
            </w:pPr>
          </w:p>
          <w:p w:rsidR="009660B6" w:rsidRPr="009660B6" w:rsidRDefault="009660B6" w:rsidP="009660B6">
            <w:pPr>
              <w:contextualSpacing/>
              <w:rPr>
                <w:rFonts w:cs="Arial"/>
                <w:szCs w:val="22"/>
              </w:rPr>
            </w:pPr>
            <w:r w:rsidRPr="009660B6">
              <w:rPr>
                <w:rFonts w:cs="Arial"/>
                <w:szCs w:val="22"/>
              </w:rPr>
              <w:t xml:space="preserve">“Asimismo, las bolsas deberán </w:t>
            </w:r>
            <w:r w:rsidRPr="002E5E05">
              <w:rPr>
                <w:rFonts w:cs="Arial"/>
                <w:b/>
                <w:szCs w:val="22"/>
                <w:u w:val="single"/>
              </w:rPr>
              <w:t>establecer mecanismos de interconexión</w:t>
            </w:r>
            <w:r w:rsidRPr="00344A71">
              <w:rPr>
                <w:rFonts w:cs="Arial"/>
                <w:b/>
                <w:szCs w:val="22"/>
              </w:rPr>
              <w:t xml:space="preserve"> </w:t>
            </w:r>
            <w:r w:rsidRPr="002E5E05">
              <w:rPr>
                <w:rFonts w:cs="Arial"/>
                <w:b/>
                <w:szCs w:val="22"/>
                <w:u w:val="single"/>
              </w:rPr>
              <w:t>que permitan la mejor ejecución</w:t>
            </w:r>
            <w:r w:rsidRPr="009660B6">
              <w:rPr>
                <w:rFonts w:cs="Arial"/>
                <w:szCs w:val="22"/>
              </w:rPr>
              <w:t xml:space="preserve"> de las órdenes de los inversionistas, incluyendo aquellas que provengan de terceras bolsas. La Comisión establecerá, mediante norma de carácter general, los sistemas de negociación que deberán interconectarse de manera vinculante, así como la forma, condiciones, requisitos técnicos, de comunicación, de seguridad y cualquier otro que deban cumplir los mecanismos de interconexión, las bolsas y sus participantes, para efectos de implementar esta norma, velando siempre por el adecuado funcionamiento del mercado financiero.</w:t>
            </w:r>
          </w:p>
          <w:p w:rsidR="009660B6" w:rsidRPr="009660B6" w:rsidRDefault="009660B6" w:rsidP="009660B6">
            <w:pPr>
              <w:contextualSpacing/>
              <w:rPr>
                <w:rFonts w:cs="Arial"/>
                <w:szCs w:val="22"/>
              </w:rPr>
            </w:pPr>
          </w:p>
          <w:p w:rsidR="009660B6" w:rsidRPr="009660B6" w:rsidRDefault="009660B6" w:rsidP="009660B6">
            <w:pPr>
              <w:contextualSpacing/>
              <w:rPr>
                <w:rFonts w:cs="Arial"/>
                <w:szCs w:val="22"/>
              </w:rPr>
            </w:pPr>
            <w:r w:rsidRPr="009660B6">
              <w:rPr>
                <w:rFonts w:cs="Arial"/>
                <w:szCs w:val="22"/>
              </w:rPr>
              <w:t>La Comisión, al momento de evaluar la aprobación de las normas de las bolsas que establezcan las estructuras tarifarias de interconexión, u otras condiciones aplicables a sus participantes o a terceras bolsas, deberá propender siempre a la búsqueda de un mercado equitativo, competitivo, ordenado y transparente.</w:t>
            </w:r>
          </w:p>
          <w:p w:rsidR="009660B6" w:rsidRPr="009660B6" w:rsidRDefault="009660B6" w:rsidP="009660B6">
            <w:pPr>
              <w:contextualSpacing/>
              <w:rPr>
                <w:rFonts w:cs="Arial"/>
                <w:szCs w:val="22"/>
              </w:rPr>
            </w:pPr>
          </w:p>
          <w:p w:rsidR="000B0EAC" w:rsidRDefault="009660B6" w:rsidP="004D0446">
            <w:pPr>
              <w:contextualSpacing/>
              <w:rPr>
                <w:rFonts w:cs="Arial"/>
                <w:szCs w:val="22"/>
              </w:rPr>
            </w:pPr>
            <w:r w:rsidRPr="009660B6">
              <w:rPr>
                <w:rFonts w:cs="Arial"/>
                <w:szCs w:val="22"/>
              </w:rPr>
              <w:t>Sin perjuicio de lo dispuesto en el inciso final del artículo 44, la Comisión, en caso que considere que una o más condiciones establecidas en el reglamento de una bolsa de valores sean discriminatorias o afecten la libre competencia, rechazará, mediante resolución fundada, la solicitud de aprobación de dicha reglamentación. La resolución deberá contener un plazo prudente para que la bolsa respectiva subsane las observaciones de la Comisión, el que comenzará a correr desde que la referida resolución sea notificada a la bolsa de valores. En caso que la bolsa no corrija la situación en el plazo indicado, la Comisión podrá proceder de acuerdo al Título IV del decreto ley N° 3.538, del Ministerio de Hacienda, de 1980, cuyo texto fue reemplazado por el artículo primero de la ley N° 21.000, que crea la Comisión para el Mercado Financiero. Para efectos de lo establecido en el presente inciso, la Comisión podrá requerir del informe técnico de la Fiscalía Nacional Económica, la que deberá remitir dicho informe a más tardar dentro del plazo de noventa días de solicitado por la Comisión.”.</w:t>
            </w:r>
          </w:p>
          <w:p w:rsidR="000B0EAC" w:rsidRPr="001C20E4" w:rsidRDefault="000B0EAC" w:rsidP="004D0446">
            <w:pPr>
              <w:contextualSpacing/>
              <w:rPr>
                <w:rFonts w:cs="Arial"/>
                <w:szCs w:val="22"/>
              </w:rPr>
            </w:pPr>
          </w:p>
        </w:tc>
        <w:tc>
          <w:tcPr>
            <w:tcW w:w="1674" w:type="pct"/>
          </w:tcPr>
          <w:p w:rsidR="003B5069" w:rsidRPr="003B5069" w:rsidRDefault="003B5069" w:rsidP="003B5069">
            <w:pPr>
              <w:contextualSpacing/>
              <w:jc w:val="center"/>
              <w:rPr>
                <w:rFonts w:cs="Arial"/>
                <w:b/>
                <w:szCs w:val="22"/>
                <w:u w:val="single"/>
                <w:lang w:val="es-ES_tradnl"/>
              </w:rPr>
            </w:pPr>
            <w:r w:rsidRPr="003B5069">
              <w:rPr>
                <w:rFonts w:cs="Arial"/>
                <w:b/>
                <w:szCs w:val="22"/>
                <w:u w:val="single"/>
                <w:lang w:val="es-ES_tradnl"/>
              </w:rPr>
              <w:t>Numeral 6)</w:t>
            </w:r>
          </w:p>
          <w:p w:rsidR="003B5069" w:rsidRDefault="003B5069"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Default="0084249F" w:rsidP="003B5069">
            <w:pPr>
              <w:contextualSpacing/>
              <w:rPr>
                <w:rFonts w:cs="Arial"/>
                <w:b/>
                <w:szCs w:val="22"/>
                <w:lang w:val="es-ES_tradnl"/>
              </w:rPr>
            </w:pPr>
          </w:p>
          <w:p w:rsidR="002E1269" w:rsidRDefault="002E1269" w:rsidP="003B5069">
            <w:pPr>
              <w:contextualSpacing/>
              <w:rPr>
                <w:rFonts w:cs="Arial"/>
                <w:b/>
                <w:szCs w:val="22"/>
                <w:lang w:val="es-ES_tradnl"/>
              </w:rPr>
            </w:pPr>
          </w:p>
          <w:p w:rsidR="0084249F" w:rsidRDefault="0084249F" w:rsidP="003B5069">
            <w:pPr>
              <w:contextualSpacing/>
              <w:rPr>
                <w:rFonts w:cs="Arial"/>
                <w:b/>
                <w:szCs w:val="22"/>
                <w:lang w:val="es-ES_tradnl"/>
              </w:rPr>
            </w:pPr>
          </w:p>
          <w:p w:rsidR="0084249F" w:rsidRPr="003B5069" w:rsidRDefault="0084249F" w:rsidP="003B5069">
            <w:pPr>
              <w:contextualSpacing/>
              <w:rPr>
                <w:rFonts w:cs="Arial"/>
                <w:b/>
                <w:szCs w:val="22"/>
                <w:lang w:val="es-ES_tradnl"/>
              </w:rPr>
            </w:pPr>
          </w:p>
          <w:p w:rsidR="003B5069" w:rsidRPr="003B5069" w:rsidRDefault="003B5069" w:rsidP="003B5069">
            <w:pPr>
              <w:contextualSpacing/>
              <w:rPr>
                <w:rFonts w:cs="Arial"/>
                <w:szCs w:val="22"/>
                <w:lang w:val="es-ES_tradnl"/>
              </w:rPr>
            </w:pPr>
            <w:r w:rsidRPr="003B5069">
              <w:rPr>
                <w:rFonts w:cs="Arial"/>
                <w:szCs w:val="22"/>
                <w:lang w:val="es-ES_tradnl"/>
              </w:rPr>
              <w:t>Ha pasado a ser numeral 10, intercalándose entre las frases “establecer mecanismos de interconexión” y “que permitan la mejor ejecución”, el siguiente texto: “en tiempo real, con calce vinculante y automático entre distintas bolsas de valores, de manera”</w:t>
            </w:r>
          </w:p>
          <w:p w:rsidR="003B5069" w:rsidRPr="003B5069" w:rsidRDefault="003B5069" w:rsidP="003B5069">
            <w:pPr>
              <w:contextualSpacing/>
              <w:rPr>
                <w:rFonts w:cs="Arial"/>
                <w:szCs w:val="22"/>
                <w:lang w:val="es-ES_tradnl"/>
              </w:rPr>
            </w:pPr>
          </w:p>
          <w:p w:rsidR="0045036E" w:rsidRPr="001C20E4" w:rsidRDefault="0045036E">
            <w:pPr>
              <w:contextualSpacing/>
              <w:rPr>
                <w:rFonts w:cs="Arial"/>
                <w:szCs w:val="22"/>
                <w:lang w:val="es-ES_tradnl"/>
              </w:rPr>
            </w:pPr>
          </w:p>
        </w:tc>
      </w:tr>
      <w:tr w:rsidR="00096CE0" w:rsidRPr="001C20E4" w:rsidTr="00096CE0">
        <w:trPr>
          <w:trHeight w:val="315"/>
          <w:jc w:val="center"/>
        </w:trPr>
        <w:tc>
          <w:tcPr>
            <w:tcW w:w="1661" w:type="pct"/>
          </w:tcPr>
          <w:p w:rsidR="0045036E" w:rsidRDefault="0045036E">
            <w:pPr>
              <w:jc w:val="center"/>
              <w:rPr>
                <w:rFonts w:cs="Arial"/>
                <w:b/>
                <w:bCs/>
                <w:szCs w:val="22"/>
                <w:lang w:val="es-ES_tradnl"/>
              </w:rPr>
            </w:pPr>
          </w:p>
          <w:p w:rsidR="000B0EAC" w:rsidRPr="001C20E4" w:rsidRDefault="000B0EAC">
            <w:pPr>
              <w:jc w:val="center"/>
              <w:rPr>
                <w:rFonts w:cs="Arial"/>
                <w:b/>
                <w:bCs/>
                <w:szCs w:val="22"/>
                <w:lang w:val="es-ES_tradnl"/>
              </w:rPr>
            </w:pPr>
          </w:p>
          <w:p w:rsidR="0045036E" w:rsidRPr="001C20E4" w:rsidRDefault="0045036E">
            <w:pPr>
              <w:jc w:val="center"/>
              <w:rPr>
                <w:rFonts w:cs="Arial"/>
                <w:szCs w:val="22"/>
              </w:rPr>
            </w:pPr>
            <w:r w:rsidRPr="001C20E4">
              <w:rPr>
                <w:rFonts w:cs="Arial"/>
                <w:szCs w:val="22"/>
              </w:rPr>
              <w:t>TITULO VIII</w:t>
            </w:r>
          </w:p>
          <w:p w:rsidR="0045036E" w:rsidRPr="001C20E4" w:rsidRDefault="0045036E">
            <w:pPr>
              <w:jc w:val="center"/>
              <w:rPr>
                <w:rFonts w:cs="Arial"/>
                <w:szCs w:val="22"/>
              </w:rPr>
            </w:pPr>
            <w:r w:rsidRPr="001C20E4">
              <w:rPr>
                <w:rFonts w:cs="Arial"/>
                <w:szCs w:val="22"/>
              </w:rPr>
              <w:t>De las actividades prohibidas.</w:t>
            </w:r>
          </w:p>
          <w:p w:rsidR="0045036E" w:rsidRPr="001C20E4" w:rsidRDefault="0045036E">
            <w:pPr>
              <w:rPr>
                <w:rFonts w:cs="Arial"/>
                <w:szCs w:val="22"/>
              </w:rPr>
            </w:pPr>
          </w:p>
          <w:p w:rsidR="0045036E" w:rsidRPr="004D0446" w:rsidRDefault="0045036E">
            <w:pPr>
              <w:rPr>
                <w:rFonts w:cs="Arial"/>
                <w:b/>
                <w:szCs w:val="22"/>
              </w:rPr>
            </w:pPr>
            <w:r w:rsidRPr="004D0446">
              <w:rPr>
                <w:rFonts w:cs="Arial"/>
                <w:b/>
                <w:szCs w:val="22"/>
              </w:rPr>
              <w:t>Artículo 52.- Es contrario a la presente ley efectuar transacciones en valores con el objeto de estabilizar, fijar o hacer variar artificialmente los precios.</w:t>
            </w:r>
          </w:p>
          <w:p w:rsidR="0045036E" w:rsidRPr="004D0446" w:rsidRDefault="0045036E">
            <w:pPr>
              <w:rPr>
                <w:rFonts w:cs="Arial"/>
                <w:b/>
                <w:szCs w:val="22"/>
              </w:rPr>
            </w:pPr>
          </w:p>
          <w:p w:rsidR="0045036E" w:rsidRPr="004D0446" w:rsidRDefault="0045036E">
            <w:pPr>
              <w:rPr>
                <w:rFonts w:cs="Arial"/>
                <w:b/>
                <w:szCs w:val="22"/>
              </w:rPr>
            </w:pPr>
          </w:p>
          <w:p w:rsidR="0045036E" w:rsidRPr="004D0446" w:rsidRDefault="0045036E">
            <w:pPr>
              <w:rPr>
                <w:rFonts w:cs="Arial"/>
                <w:b/>
                <w:szCs w:val="22"/>
              </w:rPr>
            </w:pPr>
          </w:p>
          <w:p w:rsidR="0045036E" w:rsidRPr="004D0446" w:rsidRDefault="0045036E">
            <w:pPr>
              <w:rPr>
                <w:rFonts w:cs="Arial"/>
                <w:b/>
                <w:szCs w:val="22"/>
              </w:rPr>
            </w:pPr>
            <w:r w:rsidRPr="004D0446">
              <w:rPr>
                <w:rFonts w:cs="Arial"/>
                <w:b/>
                <w:szCs w:val="22"/>
              </w:rPr>
              <w:t>Sin perjuicio de lo dispuesto en el inciso anterior, podrán efectuarse actividades de estabilización de precios en valores de acuerdo a reglas de carácter general que imparta la Superintendencia y únicamente para llevar adelante una oferta pública de valores nuevos o de valores anteriormente emitidos y que no habían sido objeto de oferta pública.</w:t>
            </w:r>
          </w:p>
          <w:p w:rsidR="0045036E" w:rsidRPr="001C20E4" w:rsidRDefault="0045036E">
            <w:pPr>
              <w:jc w:val="center"/>
              <w:rPr>
                <w:rFonts w:cs="Arial"/>
                <w:bCs/>
                <w:szCs w:val="22"/>
              </w:rPr>
            </w:pPr>
          </w:p>
        </w:tc>
        <w:tc>
          <w:tcPr>
            <w:tcW w:w="1665" w:type="pct"/>
          </w:tcPr>
          <w:p w:rsidR="000B0EAC" w:rsidRDefault="000B0EAC" w:rsidP="004D0446">
            <w:pPr>
              <w:contextualSpacing/>
              <w:rPr>
                <w:rFonts w:cs="Arial"/>
                <w:b/>
                <w:bCs/>
                <w:szCs w:val="22"/>
              </w:rPr>
            </w:pPr>
          </w:p>
          <w:p w:rsidR="004D0446" w:rsidRPr="004D0446" w:rsidRDefault="004D0446" w:rsidP="004D0446">
            <w:pPr>
              <w:contextualSpacing/>
              <w:rPr>
                <w:rFonts w:cs="Arial"/>
                <w:bCs/>
                <w:szCs w:val="22"/>
              </w:rPr>
            </w:pPr>
            <w:r w:rsidRPr="000B0EAC">
              <w:rPr>
                <w:rFonts w:cs="Arial"/>
                <w:b/>
                <w:bCs/>
                <w:szCs w:val="22"/>
              </w:rPr>
              <w:t>7)</w:t>
            </w:r>
            <w:r w:rsidRPr="004D0446">
              <w:rPr>
                <w:rFonts w:cs="Arial"/>
                <w:bCs/>
                <w:szCs w:val="22"/>
              </w:rPr>
              <w:t xml:space="preserve"> Reemplázase el artículo 52, por el siguiente:</w:t>
            </w:r>
          </w:p>
          <w:p w:rsidR="004D0446" w:rsidRDefault="004D0446" w:rsidP="004D0446">
            <w:pPr>
              <w:contextualSpacing/>
              <w:rPr>
                <w:rFonts w:cs="Arial"/>
                <w:bCs/>
                <w:szCs w:val="22"/>
              </w:rPr>
            </w:pPr>
          </w:p>
          <w:p w:rsidR="004D0446" w:rsidRDefault="004D0446" w:rsidP="004D0446">
            <w:pPr>
              <w:contextualSpacing/>
              <w:rPr>
                <w:rFonts w:cs="Arial"/>
                <w:bCs/>
                <w:szCs w:val="22"/>
              </w:rPr>
            </w:pPr>
          </w:p>
          <w:p w:rsidR="004D0446" w:rsidRPr="004D0446" w:rsidRDefault="004D0446" w:rsidP="004D0446">
            <w:pPr>
              <w:contextualSpacing/>
              <w:rPr>
                <w:rFonts w:cs="Arial"/>
                <w:bCs/>
                <w:szCs w:val="22"/>
              </w:rPr>
            </w:pPr>
          </w:p>
          <w:p w:rsidR="004D0446" w:rsidRDefault="004D0446" w:rsidP="004D0446">
            <w:pPr>
              <w:contextualSpacing/>
              <w:rPr>
                <w:rFonts w:cs="Arial"/>
                <w:bCs/>
                <w:szCs w:val="22"/>
              </w:rPr>
            </w:pPr>
            <w:r w:rsidRPr="004D0446">
              <w:rPr>
                <w:rFonts w:cs="Arial"/>
                <w:bCs/>
                <w:szCs w:val="22"/>
              </w:rPr>
              <w:t>“Artículo 52.- Es contrario a la presente ley la manipulación de precios, entendiendo por tal aquella acción que se efectúa con el objeto de estabilizar, fijar o hacer variar artificialmente los precios de valores de oferta pública.</w:t>
            </w:r>
          </w:p>
          <w:p w:rsidR="004D0446" w:rsidRPr="004D0446" w:rsidRDefault="004D0446" w:rsidP="004D0446">
            <w:pPr>
              <w:contextualSpacing/>
              <w:rPr>
                <w:rFonts w:cs="Arial"/>
                <w:bCs/>
                <w:szCs w:val="22"/>
              </w:rPr>
            </w:pPr>
          </w:p>
          <w:p w:rsidR="004D0446" w:rsidRPr="004D0446" w:rsidRDefault="004D0446" w:rsidP="004D0446">
            <w:pPr>
              <w:contextualSpacing/>
              <w:rPr>
                <w:rFonts w:cs="Arial"/>
                <w:bCs/>
                <w:szCs w:val="22"/>
              </w:rPr>
            </w:pPr>
            <w:r w:rsidRPr="004D0446">
              <w:rPr>
                <w:rFonts w:cs="Arial"/>
                <w:bCs/>
                <w:szCs w:val="22"/>
              </w:rPr>
              <w:t>Quedarán exceptuadas de la prohibición contemplada en el inciso precedente aquellas actuaciones que, cumpliendo con los requisitos que establezca la Comisión para el Mercado Financiero mediante normas de carácter general, tengan por objeto fomentar la liquidez o profundidad del mercado.”.</w:t>
            </w:r>
          </w:p>
          <w:p w:rsidR="0045036E" w:rsidRPr="001C20E4" w:rsidRDefault="0045036E">
            <w:pPr>
              <w:contextualSpacing/>
              <w:rPr>
                <w:rFonts w:cs="Arial"/>
                <w:bCs/>
                <w:szCs w:val="22"/>
              </w:rPr>
            </w:pPr>
          </w:p>
        </w:tc>
        <w:tc>
          <w:tcPr>
            <w:tcW w:w="1674" w:type="pct"/>
          </w:tcPr>
          <w:p w:rsidR="000B0EAC" w:rsidRPr="000B0EAC" w:rsidRDefault="000B0EAC" w:rsidP="000B0EAC">
            <w:pPr>
              <w:contextualSpacing/>
              <w:jc w:val="center"/>
              <w:rPr>
                <w:rFonts w:cs="Arial"/>
                <w:b/>
                <w:szCs w:val="22"/>
                <w:u w:val="single"/>
                <w:lang w:val="es-ES_tradnl"/>
              </w:rPr>
            </w:pPr>
            <w:r w:rsidRPr="000B0EAC">
              <w:rPr>
                <w:rFonts w:cs="Arial"/>
                <w:b/>
                <w:szCs w:val="22"/>
                <w:u w:val="single"/>
                <w:lang w:val="es-ES_tradnl"/>
              </w:rPr>
              <w:t>Numeral 7)</w:t>
            </w:r>
          </w:p>
          <w:p w:rsidR="000B0EAC" w:rsidRPr="000B0EAC" w:rsidRDefault="000B0EAC" w:rsidP="000B0EAC">
            <w:pPr>
              <w:contextualSpacing/>
              <w:rPr>
                <w:rFonts w:cs="Arial"/>
                <w:b/>
                <w:szCs w:val="22"/>
                <w:u w:val="single"/>
                <w:lang w:val="es-ES_tradnl"/>
              </w:rPr>
            </w:pPr>
          </w:p>
          <w:p w:rsidR="000B0EAC" w:rsidRPr="000B0EAC" w:rsidRDefault="000B0EAC" w:rsidP="000B0EAC">
            <w:pPr>
              <w:contextualSpacing/>
              <w:rPr>
                <w:rFonts w:cs="Arial"/>
                <w:szCs w:val="22"/>
                <w:lang w:val="es-ES_tradnl"/>
              </w:rPr>
            </w:pPr>
            <w:r w:rsidRPr="000B0EAC">
              <w:rPr>
                <w:rFonts w:cs="Arial"/>
                <w:szCs w:val="22"/>
                <w:lang w:val="es-ES_tradnl"/>
              </w:rPr>
              <w:t>Ha pasado a ser numeral 11, sin enmiendas.</w:t>
            </w:r>
          </w:p>
          <w:p w:rsidR="0045036E" w:rsidRPr="001C20E4" w:rsidRDefault="0045036E">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pPr>
              <w:jc w:val="center"/>
              <w:rPr>
                <w:rFonts w:cs="Arial"/>
                <w:szCs w:val="22"/>
              </w:rPr>
            </w:pPr>
          </w:p>
          <w:p w:rsidR="0045036E" w:rsidRPr="001C20E4" w:rsidRDefault="0045036E">
            <w:pPr>
              <w:jc w:val="center"/>
              <w:rPr>
                <w:rFonts w:cs="Arial"/>
                <w:szCs w:val="22"/>
              </w:rPr>
            </w:pPr>
            <w:r w:rsidRPr="001C20E4">
              <w:rPr>
                <w:rFonts w:cs="Arial"/>
                <w:szCs w:val="22"/>
              </w:rPr>
              <w:t>TITULO XI</w:t>
            </w:r>
          </w:p>
          <w:p w:rsidR="0045036E" w:rsidRPr="001C20E4" w:rsidRDefault="0045036E">
            <w:pPr>
              <w:jc w:val="center"/>
              <w:rPr>
                <w:rFonts w:cs="Arial"/>
                <w:szCs w:val="22"/>
              </w:rPr>
            </w:pPr>
            <w:r w:rsidRPr="001C20E4">
              <w:rPr>
                <w:rFonts w:cs="Arial"/>
                <w:szCs w:val="22"/>
              </w:rPr>
              <w:t>De las sanciones</w:t>
            </w:r>
          </w:p>
          <w:p w:rsidR="0045036E" w:rsidRDefault="0045036E"/>
          <w:p w:rsidR="006C6507" w:rsidRPr="001C20E4" w:rsidRDefault="006C6507"/>
          <w:p w:rsidR="0045036E" w:rsidRPr="001C20E4" w:rsidRDefault="0045036E">
            <w:pPr>
              <w:rPr>
                <w:rFonts w:cs="Arial"/>
                <w:szCs w:val="22"/>
              </w:rPr>
            </w:pPr>
            <w:r w:rsidRPr="001C20E4">
              <w:rPr>
                <w:rFonts w:cs="Arial"/>
                <w:szCs w:val="22"/>
              </w:rPr>
              <w:t xml:space="preserve">Artículo 59.- Sufrirán las penas de presidio menor en su grado </w:t>
            </w:r>
            <w:r w:rsidRPr="006C6507">
              <w:rPr>
                <w:rFonts w:cs="Arial"/>
                <w:b/>
                <w:szCs w:val="22"/>
              </w:rPr>
              <w:t>medio</w:t>
            </w:r>
            <w:r w:rsidRPr="001C20E4">
              <w:rPr>
                <w:rFonts w:cs="Arial"/>
                <w:szCs w:val="22"/>
              </w:rPr>
              <w:t xml:space="preserve"> a presidio mayor en su grado mínimo:</w:t>
            </w:r>
          </w:p>
          <w:p w:rsidR="0045036E" w:rsidRDefault="0045036E">
            <w:pPr>
              <w:rPr>
                <w:rFonts w:cs="Arial"/>
                <w:szCs w:val="22"/>
              </w:rPr>
            </w:pPr>
          </w:p>
          <w:p w:rsidR="006C6507" w:rsidRDefault="006C6507">
            <w:pPr>
              <w:rPr>
                <w:rFonts w:cs="Arial"/>
                <w:szCs w:val="22"/>
              </w:rPr>
            </w:pPr>
          </w:p>
          <w:p w:rsidR="006C6507" w:rsidRPr="001C20E4" w:rsidRDefault="006C6507">
            <w:pPr>
              <w:rPr>
                <w:rFonts w:cs="Arial"/>
                <w:szCs w:val="22"/>
              </w:rPr>
            </w:pPr>
          </w:p>
          <w:p w:rsidR="0045036E" w:rsidRPr="001C20E4" w:rsidRDefault="0045036E">
            <w:pPr>
              <w:rPr>
                <w:rFonts w:cs="Arial"/>
                <w:szCs w:val="22"/>
              </w:rPr>
            </w:pPr>
            <w:r w:rsidRPr="001C20E4">
              <w:rPr>
                <w:rFonts w:cs="Arial"/>
                <w:szCs w:val="22"/>
              </w:rPr>
              <w:t>a) Los que maliciosamente proporcionaren antecedentes falsos o certificaren hechos falsos a la Superintendencia, a una bolsa de valores o al público en general, para los efectos de lo dispuesto en esta ley;</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b) Los administradores y apoderados de una bolsa de valores que den certificaciones falsas sobre las operaciones que se realicen en ella.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c) Los corredores de bolsa y agentes de valores que den certificaciones falsas sobre las operaciones en que hubieren intervenido.</w:t>
            </w:r>
          </w:p>
          <w:p w:rsidR="0045036E" w:rsidRPr="001C20E4" w:rsidRDefault="0045036E">
            <w:pPr>
              <w:rPr>
                <w:rFonts w:cs="Arial"/>
                <w:szCs w:val="22"/>
              </w:rPr>
            </w:pPr>
          </w:p>
          <w:p w:rsidR="0045036E" w:rsidRPr="001C20E4" w:rsidRDefault="0045036E">
            <w:pPr>
              <w:rPr>
                <w:rFonts w:cs="Arial"/>
                <w:szCs w:val="22"/>
              </w:rPr>
            </w:pPr>
          </w:p>
          <w:p w:rsidR="0045036E" w:rsidRDefault="0045036E">
            <w:pPr>
              <w:rPr>
                <w:rFonts w:cs="Arial"/>
                <w:szCs w:val="22"/>
              </w:rPr>
            </w:pPr>
          </w:p>
          <w:p w:rsidR="003240B4" w:rsidRPr="001C20E4" w:rsidRDefault="003240B4">
            <w:pPr>
              <w:rPr>
                <w:rFonts w:cs="Arial"/>
                <w:szCs w:val="22"/>
              </w:rPr>
            </w:pPr>
          </w:p>
          <w:p w:rsidR="0045036E" w:rsidRDefault="0045036E">
            <w:pPr>
              <w:rPr>
                <w:rFonts w:cs="Arial"/>
                <w:szCs w:val="22"/>
              </w:rPr>
            </w:pPr>
          </w:p>
          <w:p w:rsidR="004001CA" w:rsidRPr="001C20E4" w:rsidRDefault="004001CA">
            <w:pPr>
              <w:rPr>
                <w:rFonts w:cs="Arial"/>
                <w:szCs w:val="22"/>
              </w:rPr>
            </w:pPr>
          </w:p>
          <w:p w:rsidR="0045036E" w:rsidRPr="001C20E4" w:rsidRDefault="0045036E">
            <w:pPr>
              <w:rPr>
                <w:rFonts w:cs="Arial"/>
                <w:szCs w:val="22"/>
                <w:u w:val="single"/>
              </w:rPr>
            </w:pPr>
            <w:r w:rsidRPr="001C20E4">
              <w:rPr>
                <w:rFonts w:cs="Arial"/>
                <w:szCs w:val="22"/>
                <w:u w:val="single"/>
              </w:rPr>
              <w:t>d) Los contadores y auditores que dictaminen falsamente sobre la situación financiera de una persona sujeta a obligación de registro de conformidad a esta ley.</w:t>
            </w: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e) Las personas que infrinjan las prohibiciones consignadas en los artículos 52, 53, inciso primero del artículo 85 y letras a), d), e) y h) del artículo 162 de esta ley.</w:t>
            </w:r>
          </w:p>
          <w:p w:rsidR="0045036E" w:rsidRPr="001C20E4" w:rsidRDefault="0045036E">
            <w:pPr>
              <w:rPr>
                <w:rFonts w:cs="Arial"/>
                <w:szCs w:val="22"/>
              </w:rPr>
            </w:pPr>
          </w:p>
          <w:p w:rsidR="0045036E" w:rsidRDefault="0045036E">
            <w:pPr>
              <w:rPr>
                <w:rFonts w:cs="Arial"/>
                <w:szCs w:val="22"/>
              </w:rPr>
            </w:pPr>
          </w:p>
          <w:p w:rsidR="00245952" w:rsidRPr="001C20E4" w:rsidRDefault="00245952">
            <w:pPr>
              <w:rPr>
                <w:rFonts w:cs="Arial"/>
                <w:szCs w:val="22"/>
              </w:rPr>
            </w:pPr>
          </w:p>
          <w:p w:rsidR="0045036E" w:rsidRPr="001C20E4" w:rsidRDefault="0045036E">
            <w:pPr>
              <w:rPr>
                <w:rFonts w:cs="Arial"/>
                <w:szCs w:val="22"/>
              </w:rPr>
            </w:pPr>
            <w:r w:rsidRPr="001C20E4">
              <w:rPr>
                <w:rFonts w:cs="Arial"/>
                <w:szCs w:val="22"/>
              </w:rPr>
              <w:t xml:space="preserve">f) Los directores, administradores </w:t>
            </w:r>
            <w:r w:rsidRPr="001C20E4">
              <w:rPr>
                <w:rFonts w:cs="Arial"/>
                <w:szCs w:val="22"/>
                <w:u w:val="single"/>
              </w:rPr>
              <w:t>y gerentes</w:t>
            </w:r>
            <w:r w:rsidRPr="001C20E4">
              <w:rPr>
                <w:rFonts w:cs="Arial"/>
                <w:szCs w:val="22"/>
              </w:rPr>
              <w:t xml:space="preserve"> de un emisor de valores de oferta pública, cuando efectuaren declaraciones maliciosamente falsas en la respectiva escritura de emisión de valores de oferta pública, en el prospecto de inscripción, en los antecedentes acompañados a la solicitud de inscripción, en las informaciones que deban proporcionar a </w:t>
            </w:r>
            <w:r w:rsidRPr="001C20E4">
              <w:rPr>
                <w:rFonts w:cs="Arial"/>
                <w:szCs w:val="22"/>
                <w:u w:val="single"/>
              </w:rPr>
              <w:t>las Superintendencias de Valores y Seguros o de Bancos e Instituciones Financieras en su caso</w:t>
            </w:r>
            <w:r w:rsidRPr="001C20E4">
              <w:rPr>
                <w:rFonts w:cs="Arial"/>
                <w:szCs w:val="22"/>
              </w:rPr>
              <w:t>, o a los tenedores de valores de oferta pública o en las noticias o propaganda divulgada por ellos al mercado.</w:t>
            </w:r>
          </w:p>
          <w:p w:rsidR="0045036E" w:rsidRDefault="0045036E">
            <w:pPr>
              <w:rPr>
                <w:rFonts w:cs="Arial"/>
                <w:szCs w:val="22"/>
              </w:rPr>
            </w:pPr>
          </w:p>
          <w:p w:rsidR="00245952" w:rsidRPr="001C20E4" w:rsidRDefault="00245952">
            <w:pPr>
              <w:rPr>
                <w:rFonts w:cs="Arial"/>
                <w:szCs w:val="22"/>
              </w:rPr>
            </w:pPr>
          </w:p>
          <w:p w:rsidR="0045036E" w:rsidRPr="001C20E4" w:rsidRDefault="0045036E">
            <w:pPr>
              <w:rPr>
                <w:rFonts w:cs="Arial"/>
                <w:szCs w:val="22"/>
              </w:rPr>
            </w:pPr>
            <w:r w:rsidRPr="001C20E4">
              <w:rPr>
                <w:rFonts w:cs="Arial"/>
                <w:szCs w:val="22"/>
              </w:rPr>
              <w:t>g) Los socios, administradores y, en general cualquier  persona que en razón de su cargo o posición en las sociedades clasificadoras, se concertare con otra persona para otorgar una clasificación que no corresponda al riesgo de los títulos que clasifique.</w:t>
            </w:r>
          </w:p>
          <w:p w:rsidR="0045036E" w:rsidRPr="001C20E4" w:rsidRDefault="0045036E">
            <w:pPr>
              <w:jc w:val="center"/>
              <w:rPr>
                <w:rFonts w:cs="Arial"/>
                <w:b/>
                <w:bCs/>
                <w:szCs w:val="22"/>
              </w:rPr>
            </w:pPr>
          </w:p>
        </w:tc>
        <w:tc>
          <w:tcPr>
            <w:tcW w:w="1665" w:type="pct"/>
          </w:tcPr>
          <w:p w:rsidR="00245952" w:rsidRPr="00245952" w:rsidRDefault="00245952" w:rsidP="00245952">
            <w:pPr>
              <w:contextualSpacing/>
              <w:rPr>
                <w:rFonts w:cs="Arial"/>
                <w:szCs w:val="22"/>
              </w:rPr>
            </w:pPr>
            <w:r w:rsidRPr="006C6507">
              <w:rPr>
                <w:rFonts w:cs="Arial"/>
                <w:b/>
                <w:szCs w:val="22"/>
              </w:rPr>
              <w:t>8)</w:t>
            </w:r>
            <w:r w:rsidRPr="00245952">
              <w:rPr>
                <w:rFonts w:cs="Arial"/>
                <w:szCs w:val="22"/>
              </w:rPr>
              <w:t xml:space="preserve"> Modifícase el artículo 59, del siguiente modo:</w:t>
            </w: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6C6507" w:rsidRDefault="006C6507" w:rsidP="00245952">
            <w:pPr>
              <w:contextualSpacing/>
              <w:rPr>
                <w:rFonts w:cs="Arial"/>
                <w:szCs w:val="22"/>
              </w:rPr>
            </w:pPr>
          </w:p>
          <w:p w:rsidR="006C6507" w:rsidRDefault="006C6507" w:rsidP="00245952">
            <w:pPr>
              <w:contextualSpacing/>
              <w:rPr>
                <w:rFonts w:cs="Arial"/>
                <w:szCs w:val="22"/>
              </w:rPr>
            </w:pPr>
          </w:p>
          <w:p w:rsidR="006C6507" w:rsidRDefault="006C6507" w:rsidP="00245952">
            <w:pPr>
              <w:contextualSpacing/>
              <w:rPr>
                <w:rFonts w:cs="Arial"/>
                <w:szCs w:val="22"/>
              </w:rPr>
            </w:pPr>
          </w:p>
          <w:p w:rsidR="004001CA" w:rsidRDefault="004001CA" w:rsidP="00245952">
            <w:pPr>
              <w:contextualSpacing/>
              <w:rPr>
                <w:rFonts w:cs="Arial"/>
                <w:szCs w:val="22"/>
              </w:rPr>
            </w:pPr>
          </w:p>
          <w:p w:rsidR="00245952" w:rsidRDefault="00245952" w:rsidP="00245952">
            <w:pPr>
              <w:contextualSpacing/>
              <w:rPr>
                <w:rFonts w:cs="Arial"/>
                <w:szCs w:val="22"/>
              </w:rPr>
            </w:pPr>
          </w:p>
          <w:p w:rsidR="00245952" w:rsidRPr="00245952" w:rsidRDefault="00245952" w:rsidP="00245952">
            <w:pPr>
              <w:contextualSpacing/>
              <w:rPr>
                <w:rFonts w:cs="Arial"/>
                <w:szCs w:val="22"/>
              </w:rPr>
            </w:pPr>
          </w:p>
          <w:p w:rsidR="00245952" w:rsidRPr="00245952" w:rsidRDefault="00245952" w:rsidP="00245952">
            <w:pPr>
              <w:contextualSpacing/>
              <w:rPr>
                <w:rFonts w:cs="Arial"/>
                <w:szCs w:val="22"/>
              </w:rPr>
            </w:pPr>
            <w:r w:rsidRPr="003F3F66">
              <w:rPr>
                <w:rFonts w:cs="Arial"/>
                <w:b/>
                <w:szCs w:val="22"/>
              </w:rPr>
              <w:t>a)</w:t>
            </w:r>
            <w:r w:rsidRPr="00245952">
              <w:rPr>
                <w:rFonts w:cs="Arial"/>
                <w:szCs w:val="22"/>
              </w:rPr>
              <w:t xml:space="preserve"> Reemplázase su letra d), por la que sigue:</w:t>
            </w:r>
          </w:p>
          <w:p w:rsidR="00245952" w:rsidRPr="00245952" w:rsidRDefault="00245952" w:rsidP="00245952">
            <w:pPr>
              <w:contextualSpacing/>
              <w:rPr>
                <w:rFonts w:cs="Arial"/>
                <w:szCs w:val="22"/>
              </w:rPr>
            </w:pPr>
          </w:p>
          <w:p w:rsidR="00245952" w:rsidRPr="00245952" w:rsidRDefault="00245952" w:rsidP="00245952">
            <w:pPr>
              <w:contextualSpacing/>
              <w:rPr>
                <w:rFonts w:cs="Arial"/>
                <w:szCs w:val="22"/>
              </w:rPr>
            </w:pPr>
            <w:r w:rsidRPr="00245952">
              <w:rPr>
                <w:rFonts w:cs="Arial"/>
                <w:szCs w:val="22"/>
              </w:rPr>
              <w:t>“d) Los socios de empresas de auditoría externa que maliciosamente emitan un dictamen o entreguen antecedentes falsos sobre la situación financiera u otras materias sobre las cuales hubieren manifestado su opinión, certificación, dictamen o informe, respecto de una entidad sujeta a la fiscalización de la Comisión.</w:t>
            </w:r>
          </w:p>
          <w:p w:rsidR="00245952" w:rsidRPr="00245952" w:rsidRDefault="00245952" w:rsidP="00245952">
            <w:pPr>
              <w:contextualSpacing/>
              <w:rPr>
                <w:rFonts w:cs="Arial"/>
                <w:szCs w:val="22"/>
              </w:rPr>
            </w:pPr>
          </w:p>
          <w:p w:rsidR="00245952" w:rsidRPr="00245952" w:rsidRDefault="00245952" w:rsidP="00245952">
            <w:pPr>
              <w:contextualSpacing/>
              <w:rPr>
                <w:rFonts w:cs="Arial"/>
                <w:szCs w:val="22"/>
              </w:rPr>
            </w:pPr>
            <w:r w:rsidRPr="00245952">
              <w:rPr>
                <w:rFonts w:cs="Arial"/>
                <w:szCs w:val="22"/>
              </w:rPr>
              <w:t>Sufrirán la misma pena quienes presten servicios en una empresa de auditoría externa y alteren, oculten o destruyan información de una entidad auditada, con el objeto de lograr un dictamen falso acerca de su situación financiera.”.</w:t>
            </w: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Pr="00245952" w:rsidRDefault="00245952" w:rsidP="00245952">
            <w:pPr>
              <w:contextualSpacing/>
              <w:rPr>
                <w:rFonts w:cs="Arial"/>
                <w:szCs w:val="22"/>
              </w:rPr>
            </w:pPr>
          </w:p>
          <w:p w:rsidR="00245952" w:rsidRPr="00245952" w:rsidRDefault="00245952" w:rsidP="00245952">
            <w:pPr>
              <w:contextualSpacing/>
              <w:rPr>
                <w:rFonts w:cs="Arial"/>
                <w:szCs w:val="22"/>
              </w:rPr>
            </w:pPr>
            <w:r w:rsidRPr="003F3F66">
              <w:rPr>
                <w:rFonts w:cs="Arial"/>
                <w:b/>
                <w:szCs w:val="22"/>
              </w:rPr>
              <w:t>b)</w:t>
            </w:r>
            <w:r w:rsidRPr="00245952">
              <w:rPr>
                <w:rFonts w:cs="Arial"/>
                <w:szCs w:val="22"/>
              </w:rPr>
              <w:t xml:space="preserve"> Modifícase su letra f), en los siguientes términos:</w:t>
            </w:r>
          </w:p>
          <w:p w:rsidR="00245952" w:rsidRPr="00245952" w:rsidRDefault="00245952" w:rsidP="00245952">
            <w:pPr>
              <w:contextualSpacing/>
              <w:rPr>
                <w:rFonts w:cs="Arial"/>
                <w:szCs w:val="22"/>
              </w:rPr>
            </w:pPr>
          </w:p>
          <w:p w:rsidR="00245952" w:rsidRPr="00245952" w:rsidRDefault="00245952" w:rsidP="00245952">
            <w:pPr>
              <w:contextualSpacing/>
              <w:rPr>
                <w:rFonts w:cs="Arial"/>
                <w:szCs w:val="22"/>
              </w:rPr>
            </w:pPr>
            <w:r w:rsidRPr="00245952">
              <w:rPr>
                <w:rFonts w:cs="Arial"/>
                <w:szCs w:val="22"/>
              </w:rPr>
              <w:t xml:space="preserve">i) Sustitúyese la expresión “y gerentes”, por la frase </w:t>
            </w:r>
            <w:r w:rsidRPr="00245952">
              <w:rPr>
                <w:rFonts w:cs="Arial"/>
                <w:szCs w:val="22"/>
              </w:rPr>
              <w:br/>
              <w:t>“, gerentes y ejecutivos principales”.</w:t>
            </w:r>
          </w:p>
          <w:p w:rsidR="00245952" w:rsidRP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Pr="00245952" w:rsidRDefault="00245952" w:rsidP="00245952">
            <w:pPr>
              <w:contextualSpacing/>
              <w:rPr>
                <w:rFonts w:cs="Arial"/>
                <w:szCs w:val="22"/>
              </w:rPr>
            </w:pPr>
            <w:r w:rsidRPr="00245952">
              <w:rPr>
                <w:rFonts w:cs="Arial"/>
                <w:szCs w:val="22"/>
              </w:rPr>
              <w:t>ii) Reemplázase la frase “las Superintendencias de Valores y Seguros o de Bancos e Instituciones Financieras en su caso”, por la expresión “la Comisión”.</w:t>
            </w: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245952" w:rsidRDefault="00245952" w:rsidP="00245952">
            <w:pPr>
              <w:contextualSpacing/>
              <w:rPr>
                <w:rFonts w:cs="Arial"/>
                <w:szCs w:val="22"/>
              </w:rPr>
            </w:pPr>
          </w:p>
          <w:p w:rsidR="00C61837" w:rsidRDefault="00C61837" w:rsidP="00245952">
            <w:pPr>
              <w:contextualSpacing/>
              <w:rPr>
                <w:rFonts w:cs="Arial"/>
                <w:szCs w:val="22"/>
              </w:rPr>
            </w:pPr>
          </w:p>
          <w:p w:rsidR="00245952" w:rsidRPr="00245952" w:rsidRDefault="00245952" w:rsidP="00245952">
            <w:pPr>
              <w:contextualSpacing/>
              <w:rPr>
                <w:rFonts w:cs="Arial"/>
                <w:szCs w:val="22"/>
              </w:rPr>
            </w:pPr>
          </w:p>
          <w:p w:rsidR="00245952" w:rsidRPr="00245952" w:rsidRDefault="00245952" w:rsidP="00245952">
            <w:pPr>
              <w:contextualSpacing/>
              <w:rPr>
                <w:rFonts w:cs="Arial"/>
                <w:szCs w:val="22"/>
              </w:rPr>
            </w:pPr>
            <w:r w:rsidRPr="003F3F66">
              <w:rPr>
                <w:rFonts w:cs="Arial"/>
                <w:b/>
                <w:szCs w:val="22"/>
              </w:rPr>
              <w:t>c)</w:t>
            </w:r>
            <w:r w:rsidRPr="00245952">
              <w:rPr>
                <w:rFonts w:cs="Arial"/>
                <w:szCs w:val="22"/>
              </w:rPr>
              <w:t xml:space="preserve"> Agrégase la siguiente letra h):</w:t>
            </w:r>
          </w:p>
          <w:p w:rsidR="00245952" w:rsidRPr="00245952" w:rsidRDefault="00245952" w:rsidP="00245952">
            <w:pPr>
              <w:contextualSpacing/>
              <w:rPr>
                <w:rFonts w:cs="Arial"/>
                <w:szCs w:val="22"/>
              </w:rPr>
            </w:pPr>
          </w:p>
          <w:p w:rsidR="00245952" w:rsidRPr="00245952" w:rsidRDefault="00245952" w:rsidP="00245952">
            <w:pPr>
              <w:contextualSpacing/>
              <w:rPr>
                <w:rFonts w:cs="Arial"/>
                <w:szCs w:val="22"/>
              </w:rPr>
            </w:pPr>
            <w:r w:rsidRPr="00245952">
              <w:rPr>
                <w:rFonts w:cs="Arial"/>
                <w:szCs w:val="22"/>
              </w:rPr>
              <w:t>“h) Los directores, administradores, gerentes y ejecutivos principales de un emisor de valores de oferta pública, de una bolsa de valores o de un intermediario de valores, que entregaren antecedentes o efectuaren declaraciones maliciosamente falsas al directorio o a los órganos de la administración de las entidades por ellos administradas, o a quienes realicen la auditoría externa o clasificación de riesgo de la misma, en su caso.”.</w:t>
            </w:r>
          </w:p>
          <w:p w:rsidR="0045036E" w:rsidRPr="001C20E4" w:rsidRDefault="0045036E">
            <w:pPr>
              <w:contextualSpacing/>
              <w:rPr>
                <w:rFonts w:cs="Arial"/>
                <w:szCs w:val="22"/>
              </w:rPr>
            </w:pPr>
          </w:p>
        </w:tc>
        <w:tc>
          <w:tcPr>
            <w:tcW w:w="1674" w:type="pct"/>
          </w:tcPr>
          <w:p w:rsidR="006C6507" w:rsidRPr="006C6507" w:rsidRDefault="006C6507" w:rsidP="006C6507">
            <w:pPr>
              <w:tabs>
                <w:tab w:val="clear" w:pos="2835"/>
              </w:tabs>
              <w:jc w:val="center"/>
              <w:rPr>
                <w:rFonts w:cs="Arial"/>
                <w:b/>
                <w:szCs w:val="22"/>
                <w:u w:val="single"/>
                <w:lang w:val="es-ES_tradnl"/>
              </w:rPr>
            </w:pPr>
            <w:r w:rsidRPr="006C6507">
              <w:rPr>
                <w:rFonts w:cs="Arial"/>
                <w:b/>
                <w:szCs w:val="22"/>
                <w:u w:val="single"/>
                <w:lang w:val="es-ES_tradnl"/>
              </w:rPr>
              <w:t>Numeral 8)</w:t>
            </w:r>
          </w:p>
          <w:p w:rsidR="006C6507" w:rsidRPr="006C6507" w:rsidRDefault="006C6507" w:rsidP="006C6507">
            <w:pPr>
              <w:tabs>
                <w:tab w:val="clear" w:pos="2835"/>
              </w:tabs>
              <w:rPr>
                <w:rFonts w:cs="Arial"/>
                <w:b/>
                <w:szCs w:val="22"/>
                <w:u w:val="single"/>
                <w:lang w:val="es-ES_tradnl"/>
              </w:rPr>
            </w:pPr>
          </w:p>
          <w:p w:rsidR="006C6507" w:rsidRDefault="006C6507" w:rsidP="006C6507">
            <w:pPr>
              <w:tabs>
                <w:tab w:val="clear" w:pos="2835"/>
              </w:tabs>
              <w:rPr>
                <w:rFonts w:cs="Arial"/>
                <w:szCs w:val="22"/>
                <w:lang w:val="es-ES_tradnl"/>
              </w:rPr>
            </w:pPr>
            <w:r w:rsidRPr="006C6507">
              <w:rPr>
                <w:rFonts w:cs="Arial"/>
                <w:szCs w:val="22"/>
                <w:lang w:val="es-ES_tradnl"/>
              </w:rPr>
              <w:t xml:space="preserve">Ha pasado a ser numeral 12, agregándose un literal a), nuevo, del siguiente tenor: </w:t>
            </w:r>
          </w:p>
          <w:p w:rsidR="006C6507" w:rsidRPr="006C6507" w:rsidRDefault="006C6507" w:rsidP="006C6507">
            <w:pPr>
              <w:tabs>
                <w:tab w:val="clear" w:pos="2835"/>
              </w:tabs>
              <w:rPr>
                <w:rFonts w:cs="Arial"/>
                <w:szCs w:val="22"/>
                <w:lang w:val="es-ES_tradnl"/>
              </w:rPr>
            </w:pPr>
          </w:p>
          <w:p w:rsidR="006C6507" w:rsidRPr="006C6507" w:rsidRDefault="006C6507" w:rsidP="006C6507">
            <w:pPr>
              <w:tabs>
                <w:tab w:val="clear" w:pos="2835"/>
              </w:tabs>
              <w:rPr>
                <w:rFonts w:cs="Arial"/>
                <w:szCs w:val="22"/>
                <w:lang w:val="es-ES_tradnl"/>
              </w:rPr>
            </w:pPr>
            <w:r w:rsidRPr="006C6507">
              <w:rPr>
                <w:rFonts w:cs="Arial"/>
                <w:szCs w:val="22"/>
                <w:lang w:val="es-ES_tradnl"/>
              </w:rPr>
              <w:t>“a) Reemplázase en el encabezado la palabra “medio” por “máximo”.</w:t>
            </w:r>
          </w:p>
          <w:p w:rsidR="0045036E" w:rsidRDefault="0045036E" w:rsidP="00420A1D">
            <w:pPr>
              <w:tabs>
                <w:tab w:val="clear" w:pos="2835"/>
              </w:tabs>
              <w:rPr>
                <w:rFonts w:cs="Arial"/>
                <w:szCs w:val="22"/>
                <w:lang w:val="es-ES_tradnl"/>
              </w:rPr>
            </w:pPr>
          </w:p>
          <w:p w:rsidR="003F3F66" w:rsidRDefault="003F3F66" w:rsidP="00420A1D">
            <w:pPr>
              <w:tabs>
                <w:tab w:val="clear" w:pos="2835"/>
              </w:tabs>
              <w:rPr>
                <w:rFonts w:cs="Arial"/>
                <w:szCs w:val="22"/>
                <w:lang w:val="es-ES_tradnl"/>
              </w:rPr>
            </w:pPr>
          </w:p>
          <w:p w:rsidR="003F3F66" w:rsidRDefault="003F3F66" w:rsidP="00420A1D">
            <w:pPr>
              <w:tabs>
                <w:tab w:val="clear" w:pos="2835"/>
              </w:tabs>
              <w:rPr>
                <w:rFonts w:cs="Arial"/>
                <w:szCs w:val="22"/>
                <w:lang w:val="es-ES_tradnl"/>
              </w:rPr>
            </w:pPr>
          </w:p>
          <w:p w:rsidR="003F3F66" w:rsidRDefault="003F3F66"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4001CA" w:rsidRDefault="004001CA" w:rsidP="00420A1D">
            <w:pPr>
              <w:tabs>
                <w:tab w:val="clear" w:pos="2835"/>
              </w:tabs>
              <w:rPr>
                <w:rFonts w:cs="Arial"/>
                <w:szCs w:val="22"/>
                <w:lang w:val="es-ES_tradnl"/>
              </w:rPr>
            </w:pPr>
          </w:p>
          <w:p w:rsidR="004001CA" w:rsidRDefault="004001CA" w:rsidP="00420A1D">
            <w:pPr>
              <w:tabs>
                <w:tab w:val="clear" w:pos="2835"/>
              </w:tabs>
              <w:rPr>
                <w:rFonts w:cs="Arial"/>
                <w:szCs w:val="22"/>
                <w:lang w:val="es-ES_tradnl"/>
              </w:rPr>
            </w:pPr>
          </w:p>
          <w:p w:rsidR="004001CA" w:rsidRDefault="004001CA" w:rsidP="00420A1D">
            <w:pPr>
              <w:tabs>
                <w:tab w:val="clear" w:pos="2835"/>
              </w:tabs>
              <w:rPr>
                <w:rFonts w:cs="Arial"/>
                <w:szCs w:val="22"/>
                <w:lang w:val="es-ES_tradnl"/>
              </w:rPr>
            </w:pPr>
          </w:p>
          <w:p w:rsidR="003240B4" w:rsidRDefault="003240B4" w:rsidP="00420A1D">
            <w:pPr>
              <w:tabs>
                <w:tab w:val="clear" w:pos="2835"/>
              </w:tabs>
              <w:rPr>
                <w:rFonts w:cs="Arial"/>
                <w:szCs w:val="22"/>
                <w:lang w:val="es-ES_tradnl"/>
              </w:rPr>
            </w:pPr>
          </w:p>
          <w:p w:rsidR="003F3F66" w:rsidRDefault="003F3F66" w:rsidP="00420A1D">
            <w:pPr>
              <w:tabs>
                <w:tab w:val="clear" w:pos="2835"/>
              </w:tabs>
              <w:rPr>
                <w:rFonts w:cs="Arial"/>
                <w:szCs w:val="22"/>
                <w:lang w:val="es-ES_tradnl"/>
              </w:rPr>
            </w:pPr>
          </w:p>
          <w:p w:rsidR="003F3F66" w:rsidRDefault="003F3F66" w:rsidP="00420A1D">
            <w:pPr>
              <w:tabs>
                <w:tab w:val="clear" w:pos="2835"/>
              </w:tabs>
              <w:rPr>
                <w:rFonts w:cs="Arial"/>
                <w:szCs w:val="22"/>
                <w:lang w:val="es-ES_tradnl"/>
              </w:rPr>
            </w:pPr>
          </w:p>
          <w:p w:rsidR="003F3F66" w:rsidRPr="003F3F66" w:rsidRDefault="003F3F66" w:rsidP="003F3F66">
            <w:pPr>
              <w:tabs>
                <w:tab w:val="clear" w:pos="2835"/>
              </w:tabs>
              <w:jc w:val="center"/>
              <w:rPr>
                <w:rFonts w:cs="Arial"/>
                <w:b/>
                <w:szCs w:val="22"/>
                <w:u w:val="single"/>
                <w:lang w:val="es-ES_tradnl"/>
              </w:rPr>
            </w:pPr>
            <w:r w:rsidRPr="003F3F66">
              <w:rPr>
                <w:rFonts w:cs="Arial"/>
                <w:b/>
                <w:szCs w:val="22"/>
                <w:u w:val="single"/>
                <w:lang w:val="es-ES_tradnl"/>
              </w:rPr>
              <w:t>Letras a), b) y c)</w:t>
            </w:r>
          </w:p>
          <w:p w:rsidR="003F3F66" w:rsidRDefault="003F3F66" w:rsidP="003F3F66">
            <w:pPr>
              <w:tabs>
                <w:tab w:val="clear" w:pos="2835"/>
              </w:tabs>
              <w:rPr>
                <w:rFonts w:cs="Arial"/>
                <w:b/>
                <w:szCs w:val="22"/>
                <w:u w:val="single"/>
                <w:lang w:val="es-ES_tradnl"/>
              </w:rPr>
            </w:pPr>
          </w:p>
          <w:p w:rsidR="003F3F66" w:rsidRPr="003F3F66" w:rsidRDefault="003F3F66" w:rsidP="003F3F66">
            <w:pPr>
              <w:tabs>
                <w:tab w:val="clear" w:pos="2835"/>
              </w:tabs>
              <w:rPr>
                <w:rFonts w:cs="Arial"/>
                <w:szCs w:val="22"/>
                <w:lang w:val="es-ES_tradnl"/>
              </w:rPr>
            </w:pPr>
            <w:r w:rsidRPr="003F3F66">
              <w:rPr>
                <w:rFonts w:cs="Arial"/>
                <w:szCs w:val="22"/>
                <w:lang w:val="es-ES_tradnl"/>
              </w:rPr>
              <w:t>Han pasado a ser letras b), c) y d), sin modificaciones.</w:t>
            </w:r>
          </w:p>
          <w:p w:rsidR="003F3F66" w:rsidRPr="001C20E4" w:rsidRDefault="003F3F66" w:rsidP="00420A1D">
            <w:pPr>
              <w:tabs>
                <w:tab w:val="clear" w:pos="2835"/>
              </w:tabs>
              <w:rPr>
                <w:rFonts w:cs="Arial"/>
                <w:szCs w:val="22"/>
                <w:lang w:val="es-ES_tradnl"/>
              </w:rPr>
            </w:pPr>
          </w:p>
        </w:tc>
      </w:tr>
      <w:tr w:rsidR="00096CE0" w:rsidRPr="001C20E4" w:rsidTr="00096CE0">
        <w:trPr>
          <w:trHeight w:val="315"/>
          <w:jc w:val="center"/>
        </w:trPr>
        <w:tc>
          <w:tcPr>
            <w:tcW w:w="1661" w:type="pct"/>
          </w:tcPr>
          <w:p w:rsidR="0045036E" w:rsidRDefault="0045036E">
            <w:pPr>
              <w:jc w:val="center"/>
              <w:rPr>
                <w:rFonts w:cs="Arial"/>
                <w:szCs w:val="22"/>
              </w:rPr>
            </w:pPr>
          </w:p>
          <w:p w:rsidR="00F2122A" w:rsidRDefault="00F2122A">
            <w:pPr>
              <w:jc w:val="center"/>
              <w:rPr>
                <w:rFonts w:cs="Arial"/>
                <w:szCs w:val="22"/>
              </w:rPr>
            </w:pPr>
          </w:p>
          <w:p w:rsidR="00F2122A" w:rsidRDefault="00F2122A">
            <w:pPr>
              <w:jc w:val="center"/>
              <w:rPr>
                <w:rFonts w:cs="Arial"/>
                <w:szCs w:val="22"/>
              </w:rPr>
            </w:pPr>
          </w:p>
          <w:p w:rsidR="00153A62" w:rsidRDefault="00153A62">
            <w:pPr>
              <w:jc w:val="center"/>
              <w:rPr>
                <w:rFonts w:cs="Arial"/>
                <w:szCs w:val="22"/>
              </w:rPr>
            </w:pPr>
          </w:p>
          <w:p w:rsidR="00153A62" w:rsidRDefault="00153A62">
            <w:pPr>
              <w:jc w:val="center"/>
              <w:rPr>
                <w:rFonts w:cs="Arial"/>
                <w:szCs w:val="22"/>
              </w:rPr>
            </w:pPr>
          </w:p>
          <w:p w:rsidR="00EF62DA" w:rsidRDefault="00EF62DA">
            <w:pPr>
              <w:jc w:val="center"/>
              <w:rPr>
                <w:rFonts w:cs="Arial"/>
                <w:szCs w:val="22"/>
              </w:rPr>
            </w:pPr>
          </w:p>
          <w:p w:rsidR="00153A62" w:rsidRDefault="00153A62">
            <w:pPr>
              <w:jc w:val="center"/>
              <w:rPr>
                <w:rFonts w:cs="Arial"/>
                <w:szCs w:val="22"/>
              </w:rPr>
            </w:pPr>
          </w:p>
          <w:p w:rsidR="00153A62" w:rsidRPr="001C20E4" w:rsidRDefault="00153A62">
            <w:pPr>
              <w:jc w:val="center"/>
              <w:rPr>
                <w:rFonts w:cs="Arial"/>
                <w:szCs w:val="22"/>
              </w:rPr>
            </w:pPr>
          </w:p>
          <w:p w:rsidR="0045036E" w:rsidRPr="006F155E" w:rsidRDefault="0045036E">
            <w:pPr>
              <w:rPr>
                <w:rFonts w:cs="Arial"/>
                <w:szCs w:val="22"/>
                <w:u w:val="single"/>
              </w:rPr>
            </w:pPr>
            <w:r w:rsidRPr="001C20E4">
              <w:rPr>
                <w:rFonts w:cs="Arial"/>
                <w:szCs w:val="22"/>
              </w:rPr>
              <w:t xml:space="preserve">Artículo 60.- Sufrirán las penas de presidio menor en </w:t>
            </w:r>
            <w:r w:rsidRPr="006F155E">
              <w:rPr>
                <w:rFonts w:cs="Arial"/>
                <w:b/>
                <w:szCs w:val="22"/>
                <w:u w:val="single"/>
              </w:rPr>
              <w:t>cualquiera de sus grados</w:t>
            </w:r>
            <w:r w:rsidRPr="006F155E">
              <w:rPr>
                <w:rFonts w:cs="Arial"/>
                <w:szCs w:val="22"/>
                <w:u w:val="single"/>
              </w:rPr>
              <w:t>:</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a) Los que hicieren oferta pública de valores sin cumplir con los requisitos de inscripción en el Registro de Valores que exige esta ley o lo hicieren respecto de valores cuya inscripción hubiere sido suspendida o cancelada.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 xml:space="preserve">b) Los que actuaren directamente o en forma encubierta como corredores de bolsa, </w:t>
            </w:r>
            <w:r w:rsidRPr="001C20E4">
              <w:rPr>
                <w:rFonts w:cs="Arial"/>
                <w:szCs w:val="22"/>
                <w:u w:val="single"/>
              </w:rPr>
              <w:t>agentes de valores</w:t>
            </w:r>
            <w:r w:rsidRPr="001C20E4">
              <w:rPr>
                <w:rFonts w:cs="Arial"/>
                <w:szCs w:val="22"/>
              </w:rPr>
              <w:t xml:space="preserve"> </w:t>
            </w:r>
            <w:r w:rsidRPr="00344A71">
              <w:rPr>
                <w:rFonts w:cs="Arial"/>
                <w:szCs w:val="22"/>
              </w:rPr>
              <w:t>o clasificadores de riesgo</w:t>
            </w:r>
            <w:r w:rsidRPr="001C20E4">
              <w:rPr>
                <w:rFonts w:cs="Arial"/>
                <w:szCs w:val="22"/>
              </w:rPr>
              <w:t>, sin estar inscritos en los Registros que exige esta ley o cuya inscripción hubiere sido suspendida o cancelada, y los que a sabiendas les facilitaren los medios para hacerlo;</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c) Los que sin estar legalmente autorizados utilicen las expresiones reservadas a que se refieren los artículos 37 y 71.</w:t>
            </w:r>
          </w:p>
          <w:p w:rsidR="0045036E" w:rsidRDefault="0045036E">
            <w:pPr>
              <w:rPr>
                <w:rFonts w:cs="Arial"/>
                <w:szCs w:val="22"/>
              </w:rPr>
            </w:pPr>
          </w:p>
          <w:p w:rsidR="00EF62DA" w:rsidRPr="001C20E4" w:rsidRDefault="00EF62DA">
            <w:pPr>
              <w:rPr>
                <w:rFonts w:cs="Arial"/>
                <w:szCs w:val="22"/>
              </w:rPr>
            </w:pPr>
          </w:p>
          <w:p w:rsidR="0045036E" w:rsidRPr="001C20E4" w:rsidRDefault="0045036E">
            <w:pPr>
              <w:rPr>
                <w:rFonts w:cs="Arial"/>
                <w:szCs w:val="22"/>
              </w:rPr>
            </w:pPr>
          </w:p>
          <w:p w:rsidR="008D1340" w:rsidRDefault="008D1340">
            <w:pPr>
              <w:rPr>
                <w:rFonts w:cs="Arial"/>
                <w:szCs w:val="22"/>
              </w:rPr>
            </w:pPr>
          </w:p>
          <w:p w:rsidR="008D1340" w:rsidRDefault="008D1340">
            <w:pPr>
              <w:rPr>
                <w:rFonts w:cs="Arial"/>
                <w:szCs w:val="22"/>
              </w:rPr>
            </w:pPr>
          </w:p>
          <w:p w:rsidR="008D1340" w:rsidRDefault="008D1340">
            <w:pPr>
              <w:rPr>
                <w:rFonts w:cs="Arial"/>
                <w:szCs w:val="22"/>
              </w:rPr>
            </w:pPr>
          </w:p>
          <w:p w:rsidR="0045036E" w:rsidRPr="001C20E4" w:rsidRDefault="0045036E">
            <w:pPr>
              <w:rPr>
                <w:rFonts w:cs="Arial"/>
                <w:szCs w:val="22"/>
              </w:rPr>
            </w:pPr>
            <w:r w:rsidRPr="001C20E4">
              <w:rPr>
                <w:rFonts w:cs="Arial"/>
                <w:szCs w:val="22"/>
              </w:rPr>
              <w:t xml:space="preserve">d) Los socios, administradores y, en general cualquier persona que en razón de su cargo o posición en las sociedades </w:t>
            </w:r>
            <w:r w:rsidRPr="001C20E4">
              <w:rPr>
                <w:rFonts w:cs="Arial"/>
                <w:szCs w:val="22"/>
                <w:u w:val="single"/>
              </w:rPr>
              <w:t>clasificadoras,</w:t>
            </w:r>
            <w:r w:rsidRPr="001C20E4">
              <w:rPr>
                <w:rFonts w:cs="Arial"/>
                <w:szCs w:val="22"/>
              </w:rPr>
              <w:t xml:space="preserve"> tenga acceso a información reservada de los emisores </w:t>
            </w:r>
            <w:r w:rsidRPr="001C20E4">
              <w:rPr>
                <w:rFonts w:cs="Arial"/>
                <w:szCs w:val="22"/>
                <w:u w:val="single"/>
              </w:rPr>
              <w:t>clasificados</w:t>
            </w:r>
            <w:r w:rsidRPr="001C20E4">
              <w:rPr>
                <w:rFonts w:cs="Arial"/>
                <w:szCs w:val="22"/>
              </w:rPr>
              <w:t xml:space="preserve"> </w:t>
            </w:r>
            <w:r w:rsidRPr="00344A71">
              <w:rPr>
                <w:rFonts w:cs="Arial"/>
                <w:szCs w:val="22"/>
              </w:rPr>
              <w:t>y revele</w:t>
            </w:r>
            <w:r w:rsidRPr="001C20E4">
              <w:rPr>
                <w:rFonts w:cs="Arial"/>
                <w:szCs w:val="22"/>
              </w:rPr>
              <w:t xml:space="preserve"> el contenido de dicha información a terceros;</w:t>
            </w: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e) Las personas a que se refiere el artículo 166 que al efectuar transacciones u operaciones de valores de oferta pública, de cualquier naturaleza en el mercado de valores o en negociaciones privadas, para sí o para terceros, directa o indirectamente, usaren deliberadamente información privilegiada;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f) Los que defraudaren a otros adquiriendo acciones de una sociedad anónima abierta, sin efectuar una oferta pública de adquisición de acciones en los casos que ordena esta ley;</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g) El que valiéndose de información privilegiada ejecute un acto, por sí o por intermedio de otras personas, con objeto de obtener un beneficio pecuniario o evitar una pérdida, tanto para sí como para terceros, mediante cualquier tipo de operaciones o transacciones con valores de oferta pública;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h) El que revele información privilegiada, con objeto de obtener un beneficio pecuniario o evitar una pérdida, tanto para sí como para terceros, en operaciones o transacciones con valores de oferta pública;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i) Los que indebidamente utilizaren en beneficio propio o de terceros valores entregados en custodia por el titular o el producto de los mismos, y</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j) El que deliberadamente elimine, altere, modifique, oculte o destruya registros, documentos, soportes tecnológicos o antecedentes de cualquier naturaleza, impidiendo o dificultando con ello la fiscalización de la Superintendencia.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 xml:space="preserve">INCISO DEROGADO </w:t>
            </w:r>
          </w:p>
          <w:p w:rsidR="0045036E" w:rsidRPr="001C20E4" w:rsidRDefault="0045036E" w:rsidP="001D5DAB">
            <w:pPr>
              <w:rPr>
                <w:rFonts w:cs="Arial"/>
                <w:szCs w:val="22"/>
              </w:rPr>
            </w:pPr>
          </w:p>
        </w:tc>
        <w:tc>
          <w:tcPr>
            <w:tcW w:w="1665" w:type="pct"/>
          </w:tcPr>
          <w:p w:rsidR="00F2122A" w:rsidRPr="00C83BF6" w:rsidRDefault="00F2122A" w:rsidP="00EF62DA">
            <w:pPr>
              <w:contextualSpacing/>
              <w:rPr>
                <w:rFonts w:cs="Arial"/>
                <w:b/>
                <w:szCs w:val="22"/>
              </w:rPr>
            </w:pPr>
          </w:p>
          <w:p w:rsidR="00F2122A" w:rsidRPr="00C83BF6" w:rsidRDefault="00F2122A" w:rsidP="00EF62DA">
            <w:pPr>
              <w:contextualSpacing/>
              <w:rPr>
                <w:rFonts w:cs="Arial"/>
                <w:b/>
                <w:szCs w:val="22"/>
              </w:rPr>
            </w:pPr>
          </w:p>
          <w:p w:rsidR="00EF62DA" w:rsidRPr="00C83BF6" w:rsidRDefault="00EF62DA" w:rsidP="00EF62DA">
            <w:pPr>
              <w:contextualSpacing/>
              <w:rPr>
                <w:rFonts w:cs="Arial"/>
                <w:b/>
                <w:szCs w:val="22"/>
              </w:rPr>
            </w:pPr>
            <w:r w:rsidRPr="00C83BF6">
              <w:rPr>
                <w:rFonts w:cs="Arial"/>
                <w:b/>
                <w:szCs w:val="22"/>
              </w:rPr>
              <w:t>9) Modifícase el artículo 60, del siguiente modo:</w:t>
            </w: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Default="00EF62DA" w:rsidP="00EF62DA">
            <w:pPr>
              <w:contextualSpacing/>
              <w:rPr>
                <w:rFonts w:cs="Arial"/>
                <w:b/>
                <w:szCs w:val="22"/>
              </w:rPr>
            </w:pPr>
          </w:p>
          <w:p w:rsidR="00153A62" w:rsidRDefault="00153A62" w:rsidP="00EF62DA">
            <w:pPr>
              <w:contextualSpacing/>
              <w:rPr>
                <w:rFonts w:cs="Arial"/>
                <w:b/>
                <w:szCs w:val="22"/>
              </w:rPr>
            </w:pPr>
          </w:p>
          <w:p w:rsidR="00153A62" w:rsidRPr="00C83BF6" w:rsidRDefault="00153A62" w:rsidP="00EF62DA">
            <w:pPr>
              <w:contextualSpacing/>
              <w:rPr>
                <w:rFonts w:cs="Arial"/>
                <w:b/>
                <w:szCs w:val="22"/>
              </w:rPr>
            </w:pPr>
          </w:p>
          <w:p w:rsidR="00EF62DA" w:rsidRDefault="00EF62DA" w:rsidP="00EF62DA">
            <w:pPr>
              <w:contextualSpacing/>
              <w:rPr>
                <w:rFonts w:cs="Arial"/>
                <w:b/>
                <w:szCs w:val="22"/>
              </w:rPr>
            </w:pPr>
          </w:p>
          <w:p w:rsidR="00153A62" w:rsidRDefault="00153A62" w:rsidP="00EF62DA">
            <w:pPr>
              <w:contextualSpacing/>
              <w:rPr>
                <w:rFonts w:cs="Arial"/>
                <w:b/>
                <w:szCs w:val="22"/>
              </w:rPr>
            </w:pPr>
          </w:p>
          <w:p w:rsidR="004001CA" w:rsidRDefault="004001CA" w:rsidP="00EF62DA">
            <w:pPr>
              <w:contextualSpacing/>
              <w:rPr>
                <w:rFonts w:cs="Arial"/>
                <w:b/>
                <w:szCs w:val="22"/>
              </w:rPr>
            </w:pPr>
          </w:p>
          <w:p w:rsidR="00153A62" w:rsidRPr="00C83BF6" w:rsidRDefault="00153A62" w:rsidP="00EF62DA">
            <w:pPr>
              <w:contextualSpacing/>
              <w:rPr>
                <w:rFonts w:cs="Arial"/>
                <w:b/>
                <w:szCs w:val="22"/>
              </w:rPr>
            </w:pPr>
          </w:p>
          <w:p w:rsidR="00EF62DA" w:rsidRPr="00C83BF6" w:rsidRDefault="00EF62DA" w:rsidP="00EF62DA">
            <w:pPr>
              <w:contextualSpacing/>
              <w:rPr>
                <w:rFonts w:cs="Arial"/>
                <w:b/>
                <w:szCs w:val="22"/>
              </w:rPr>
            </w:pPr>
            <w:r w:rsidRPr="00C83BF6">
              <w:rPr>
                <w:rFonts w:cs="Arial"/>
                <w:b/>
                <w:szCs w:val="22"/>
              </w:rPr>
              <w:t>a) Intercálase, en su letra b), a continuación de la expresión “agentes de valores”, la siguiente frase: “, empresas de auditoría externa”.</w:t>
            </w: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p>
          <w:p w:rsidR="00EF62DA" w:rsidRDefault="00EF62DA" w:rsidP="00EF62DA">
            <w:pPr>
              <w:contextualSpacing/>
              <w:rPr>
                <w:rFonts w:cs="Arial"/>
                <w:b/>
                <w:szCs w:val="22"/>
              </w:rPr>
            </w:pPr>
          </w:p>
          <w:p w:rsidR="008D1340" w:rsidRDefault="008D1340" w:rsidP="00EF62DA">
            <w:pPr>
              <w:contextualSpacing/>
              <w:rPr>
                <w:rFonts w:cs="Arial"/>
                <w:b/>
                <w:szCs w:val="22"/>
              </w:rPr>
            </w:pPr>
          </w:p>
          <w:p w:rsidR="008D1340" w:rsidRPr="00C83BF6" w:rsidRDefault="008D1340" w:rsidP="00EF62DA">
            <w:pPr>
              <w:contextualSpacing/>
              <w:rPr>
                <w:rFonts w:cs="Arial"/>
                <w:b/>
                <w:szCs w:val="22"/>
              </w:rPr>
            </w:pP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r w:rsidRPr="00C83BF6">
              <w:rPr>
                <w:rFonts w:cs="Arial"/>
                <w:b/>
                <w:szCs w:val="22"/>
              </w:rPr>
              <w:t>b) Efectúanse, en su letra d), las siguientes enmiendas:</w:t>
            </w:r>
          </w:p>
          <w:p w:rsidR="008D1340" w:rsidRDefault="008D1340" w:rsidP="00EF62DA">
            <w:pPr>
              <w:contextualSpacing/>
              <w:rPr>
                <w:rFonts w:cs="Arial"/>
                <w:b/>
                <w:szCs w:val="22"/>
              </w:rPr>
            </w:pPr>
          </w:p>
          <w:p w:rsidR="00EF62DA" w:rsidRPr="00C83BF6" w:rsidRDefault="00EF62DA" w:rsidP="00EF62DA">
            <w:pPr>
              <w:contextualSpacing/>
              <w:rPr>
                <w:rFonts w:cs="Arial"/>
                <w:b/>
                <w:szCs w:val="22"/>
              </w:rPr>
            </w:pPr>
            <w:r w:rsidRPr="00C83BF6">
              <w:rPr>
                <w:rFonts w:cs="Arial"/>
                <w:b/>
                <w:szCs w:val="22"/>
              </w:rPr>
              <w:t>i) Intercálase, a continuación de la expresión “clasificadoras”, la siguiente frase: “o en empresas de auditoría externa”.</w:t>
            </w:r>
          </w:p>
          <w:p w:rsidR="00EF62DA" w:rsidRPr="00C83BF6" w:rsidRDefault="00EF62DA" w:rsidP="00EF62DA">
            <w:pPr>
              <w:contextualSpacing/>
              <w:rPr>
                <w:rFonts w:cs="Arial"/>
                <w:b/>
                <w:szCs w:val="22"/>
              </w:rPr>
            </w:pPr>
          </w:p>
          <w:p w:rsidR="00EF62DA" w:rsidRPr="00C83BF6" w:rsidRDefault="00EF62DA" w:rsidP="00EF62DA">
            <w:pPr>
              <w:contextualSpacing/>
              <w:rPr>
                <w:rFonts w:cs="Arial"/>
                <w:b/>
                <w:szCs w:val="22"/>
              </w:rPr>
            </w:pPr>
            <w:r w:rsidRPr="00C83BF6">
              <w:rPr>
                <w:rFonts w:cs="Arial"/>
                <w:b/>
                <w:szCs w:val="22"/>
              </w:rPr>
              <w:t>ii) Intercálase, después de la palabra “clasificados”, la expresión “o auditados”.</w:t>
            </w:r>
          </w:p>
          <w:p w:rsidR="0045036E" w:rsidRPr="00C83BF6" w:rsidRDefault="0045036E">
            <w:pPr>
              <w:contextualSpacing/>
              <w:rPr>
                <w:rFonts w:cs="Arial"/>
                <w:b/>
                <w:szCs w:val="22"/>
              </w:rPr>
            </w:pPr>
          </w:p>
        </w:tc>
        <w:tc>
          <w:tcPr>
            <w:tcW w:w="1674" w:type="pct"/>
          </w:tcPr>
          <w:p w:rsidR="007A79A5" w:rsidRPr="007A79A5" w:rsidRDefault="007A79A5" w:rsidP="007A79A5">
            <w:pPr>
              <w:contextualSpacing/>
              <w:jc w:val="center"/>
              <w:rPr>
                <w:rFonts w:cs="Arial"/>
                <w:b/>
                <w:szCs w:val="22"/>
                <w:u w:val="single"/>
                <w:lang w:val="es-ES_tradnl"/>
              </w:rPr>
            </w:pPr>
            <w:r w:rsidRPr="007A79A5">
              <w:rPr>
                <w:rFonts w:cs="Arial"/>
                <w:b/>
                <w:szCs w:val="22"/>
                <w:u w:val="single"/>
                <w:lang w:val="es-ES_tradnl"/>
              </w:rPr>
              <w:t>Numeral 9</w:t>
            </w:r>
          </w:p>
          <w:p w:rsidR="007A79A5" w:rsidRPr="007A79A5" w:rsidRDefault="007A79A5" w:rsidP="007A79A5">
            <w:pPr>
              <w:contextualSpacing/>
              <w:rPr>
                <w:rFonts w:cs="Arial"/>
                <w:b/>
                <w:szCs w:val="22"/>
                <w:u w:val="single"/>
                <w:lang w:val="es-ES_tradnl"/>
              </w:rPr>
            </w:pPr>
          </w:p>
          <w:p w:rsidR="007A79A5" w:rsidRDefault="007A79A5" w:rsidP="007A79A5">
            <w:pPr>
              <w:contextualSpacing/>
              <w:rPr>
                <w:rFonts w:cs="Arial"/>
                <w:szCs w:val="22"/>
                <w:lang w:val="es-ES_tradnl"/>
              </w:rPr>
            </w:pPr>
            <w:r w:rsidRPr="007A79A5">
              <w:rPr>
                <w:rFonts w:cs="Arial"/>
                <w:szCs w:val="22"/>
                <w:lang w:val="es-ES_tradnl"/>
              </w:rPr>
              <w:t xml:space="preserve">Ha pasado a ser 13, reemplazado por el siguiente: </w:t>
            </w:r>
          </w:p>
          <w:p w:rsidR="007A79A5" w:rsidRPr="007A79A5" w:rsidRDefault="007A79A5"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“13) Modifícase el artículo 60 del siguiente modo:</w:t>
            </w:r>
          </w:p>
          <w:p w:rsidR="007A79A5" w:rsidRPr="007A79A5" w:rsidRDefault="007A79A5"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a) Modifícase el inciso primero en el siguiente sentido:</w:t>
            </w:r>
          </w:p>
          <w:p w:rsidR="007A79A5" w:rsidRPr="007A79A5" w:rsidRDefault="007A79A5"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i. Reemplázase en su encabezado la frase “cualquiera de sus grados” por “su grado medio a presidio mayor en su grado mínimo”.</w:t>
            </w:r>
          </w:p>
          <w:p w:rsidR="007A79A5" w:rsidRDefault="007A79A5" w:rsidP="007A79A5">
            <w:pPr>
              <w:contextualSpacing/>
              <w:rPr>
                <w:rFonts w:cs="Arial"/>
                <w:szCs w:val="22"/>
                <w:lang w:val="es-ES_tradnl"/>
              </w:rPr>
            </w:pPr>
          </w:p>
          <w:p w:rsidR="00153A62" w:rsidRDefault="00153A62" w:rsidP="007A79A5">
            <w:pPr>
              <w:contextualSpacing/>
              <w:rPr>
                <w:rFonts w:cs="Arial"/>
                <w:szCs w:val="22"/>
                <w:lang w:val="es-ES_tradnl"/>
              </w:rPr>
            </w:pPr>
          </w:p>
          <w:p w:rsidR="00153A62" w:rsidRDefault="00153A62" w:rsidP="007A79A5">
            <w:pPr>
              <w:contextualSpacing/>
              <w:rPr>
                <w:rFonts w:cs="Arial"/>
                <w:szCs w:val="22"/>
                <w:lang w:val="es-ES_tradnl"/>
              </w:rPr>
            </w:pPr>
          </w:p>
          <w:p w:rsidR="00153A62" w:rsidRDefault="00153A62" w:rsidP="007A79A5">
            <w:pPr>
              <w:contextualSpacing/>
              <w:rPr>
                <w:rFonts w:cs="Arial"/>
                <w:szCs w:val="22"/>
                <w:lang w:val="es-ES_tradnl"/>
              </w:rPr>
            </w:pPr>
          </w:p>
          <w:p w:rsidR="00153A62" w:rsidRDefault="00153A62" w:rsidP="007A79A5">
            <w:pPr>
              <w:contextualSpacing/>
              <w:rPr>
                <w:rFonts w:cs="Arial"/>
                <w:szCs w:val="22"/>
                <w:lang w:val="es-ES_tradnl"/>
              </w:rPr>
            </w:pPr>
          </w:p>
          <w:p w:rsidR="00153A62" w:rsidRDefault="00153A62" w:rsidP="007A79A5">
            <w:pPr>
              <w:contextualSpacing/>
              <w:rPr>
                <w:rFonts w:cs="Arial"/>
                <w:szCs w:val="22"/>
                <w:lang w:val="es-ES_tradnl"/>
              </w:rPr>
            </w:pPr>
          </w:p>
          <w:p w:rsidR="004001CA" w:rsidRPr="007A79A5" w:rsidRDefault="004001CA"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ii. Intercálase en su letra b), a continuación de la expresión “agentes de valores”, la siguiente frase, precedida de una coma: “empresas de auditoría externa”.</w:t>
            </w:r>
          </w:p>
          <w:p w:rsidR="007A79A5" w:rsidRDefault="007A79A5"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iii. Modifícase la letra d) de la siguiente forma:</w:t>
            </w:r>
          </w:p>
          <w:p w:rsidR="007A79A5" w:rsidRPr="007A79A5" w:rsidRDefault="007A79A5" w:rsidP="007A79A5">
            <w:pPr>
              <w:contextualSpacing/>
              <w:rPr>
                <w:rFonts w:cs="Arial"/>
                <w:szCs w:val="22"/>
                <w:lang w:val="es-ES_tradnl"/>
              </w:rPr>
            </w:pPr>
          </w:p>
          <w:p w:rsidR="008D1340" w:rsidRDefault="008D1340"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1. Intercálase, a continuación de la palabra “clasificadoras” la frase “o en empresas de auditoría externa”.</w:t>
            </w:r>
          </w:p>
          <w:p w:rsidR="007A79A5" w:rsidRPr="007A79A5" w:rsidRDefault="007A79A5" w:rsidP="007A79A5">
            <w:pPr>
              <w:contextualSpacing/>
              <w:rPr>
                <w:rFonts w:cs="Arial"/>
                <w:szCs w:val="22"/>
                <w:lang w:val="es-ES_tradnl"/>
              </w:rPr>
            </w:pPr>
          </w:p>
          <w:p w:rsidR="007A79A5" w:rsidRPr="007A79A5" w:rsidRDefault="007A79A5" w:rsidP="007A79A5">
            <w:pPr>
              <w:contextualSpacing/>
              <w:rPr>
                <w:rFonts w:cs="Arial"/>
                <w:szCs w:val="22"/>
                <w:lang w:val="es-ES_tradnl"/>
              </w:rPr>
            </w:pPr>
            <w:r w:rsidRPr="007A79A5">
              <w:rPr>
                <w:rFonts w:cs="Arial"/>
                <w:szCs w:val="22"/>
                <w:lang w:val="es-ES_tradnl"/>
              </w:rPr>
              <w:t>2. Intercálase, después del vocablo “clasificados”, la expresión “o auditados”.</w:t>
            </w:r>
          </w:p>
          <w:p w:rsidR="007A79A5" w:rsidRDefault="007A79A5"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Default="008D1340" w:rsidP="007A79A5">
            <w:pPr>
              <w:contextualSpacing/>
              <w:rPr>
                <w:rFonts w:cs="Arial"/>
                <w:szCs w:val="22"/>
                <w:lang w:val="es-ES_tradnl"/>
              </w:rPr>
            </w:pPr>
          </w:p>
          <w:p w:rsidR="008D1340" w:rsidRPr="007A79A5" w:rsidRDefault="008D1340"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b) Agrégase el siguiente inciso segundo:</w:t>
            </w:r>
          </w:p>
          <w:p w:rsidR="007A79A5" w:rsidRPr="007A79A5" w:rsidRDefault="007A79A5"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“Para determinar las penas establecidas respecto de los delitos previstos en las letras e), g) y h) precedentes, el tribunal no tomará en consideración lo dispuesto en los artículos 67 a 69 del Código Penal ni las reglas especiales de determinación de las penas establecidas en otras leyes y, en su lugar, aplicará lo siguiente:</w:t>
            </w:r>
          </w:p>
          <w:p w:rsidR="007A79A5" w:rsidRPr="007A79A5" w:rsidRDefault="007A79A5"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1. Si no concurren circunstancias atenuantes ni agravantes en el hecho, el tribunal podrá recorrer toda la extensión de la pena señalada por la ley al aplicarla.</w:t>
            </w:r>
          </w:p>
          <w:p w:rsidR="007A79A5" w:rsidRPr="007A79A5" w:rsidRDefault="007A79A5"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2. Si concurren una o más circunstancias atenuantes y ninguna agravante, el tribunal impondrá la pena en su grado inferior. Si concurren una o más agravantes y ninguna atenuante, aplicará la pena en su grado superior.</w:t>
            </w:r>
          </w:p>
          <w:p w:rsidR="007A79A5" w:rsidRPr="007A79A5" w:rsidRDefault="007A79A5" w:rsidP="007A79A5">
            <w:pPr>
              <w:contextualSpacing/>
              <w:rPr>
                <w:rFonts w:cs="Arial"/>
                <w:szCs w:val="22"/>
                <w:lang w:val="es-ES_tradnl"/>
              </w:rPr>
            </w:pPr>
          </w:p>
          <w:p w:rsidR="007A79A5" w:rsidRDefault="007A79A5" w:rsidP="007A79A5">
            <w:pPr>
              <w:contextualSpacing/>
              <w:rPr>
                <w:rFonts w:cs="Arial"/>
                <w:szCs w:val="22"/>
                <w:lang w:val="es-ES_tradnl"/>
              </w:rPr>
            </w:pPr>
            <w:r w:rsidRPr="007A79A5">
              <w:rPr>
                <w:rFonts w:cs="Arial"/>
                <w:szCs w:val="22"/>
                <w:lang w:val="es-ES_tradnl"/>
              </w:rPr>
              <w:t>3. Si concurren circunstancias atenuantes y agravantes, se hará su compensación racional para la aplicación de la pena, graduando el valor de unas y otras, y también considerará la extensión del mal producido por el delito.</w:t>
            </w:r>
          </w:p>
          <w:p w:rsidR="007A79A5" w:rsidRPr="007A79A5" w:rsidRDefault="007A79A5" w:rsidP="007A79A5">
            <w:pPr>
              <w:contextualSpacing/>
              <w:rPr>
                <w:rFonts w:cs="Arial"/>
                <w:szCs w:val="22"/>
                <w:lang w:val="es-ES_tradnl"/>
              </w:rPr>
            </w:pPr>
          </w:p>
          <w:p w:rsidR="007A79A5" w:rsidRPr="007A79A5" w:rsidRDefault="007A79A5" w:rsidP="007A79A5">
            <w:pPr>
              <w:contextualSpacing/>
              <w:rPr>
                <w:rFonts w:cs="Arial"/>
                <w:szCs w:val="22"/>
                <w:lang w:val="es-ES_tradnl"/>
              </w:rPr>
            </w:pPr>
            <w:r w:rsidRPr="007A79A5">
              <w:rPr>
                <w:rFonts w:cs="Arial"/>
                <w:szCs w:val="22"/>
                <w:lang w:val="es-ES_tradnl"/>
              </w:rPr>
              <w:t>4. El tribunal no podrá imponer una pena que sea mayor o menor al marco fijado por la ley, salvo que procedan las circunstancias establecidas en los artículos 51 a 54 del Código Penal.”.</w:t>
            </w:r>
          </w:p>
          <w:p w:rsidR="0045036E" w:rsidRPr="001C20E4" w:rsidRDefault="0045036E">
            <w:pPr>
              <w:contextualSpacing/>
              <w:rPr>
                <w:rFonts w:cs="Arial"/>
                <w:szCs w:val="22"/>
                <w:lang w:val="es-ES_tradnl"/>
              </w:rPr>
            </w:pPr>
          </w:p>
        </w:tc>
      </w:tr>
      <w:tr w:rsidR="00096CE0" w:rsidRPr="001C20E4" w:rsidTr="00096CE0">
        <w:trPr>
          <w:trHeight w:val="315"/>
          <w:jc w:val="center"/>
        </w:trPr>
        <w:tc>
          <w:tcPr>
            <w:tcW w:w="1661" w:type="pct"/>
          </w:tcPr>
          <w:p w:rsidR="0045036E" w:rsidRDefault="0045036E">
            <w:pPr>
              <w:rPr>
                <w:rFonts w:cs="Arial"/>
                <w:szCs w:val="22"/>
              </w:rPr>
            </w:pPr>
          </w:p>
          <w:p w:rsidR="003F7892" w:rsidRDefault="003F7892">
            <w:pPr>
              <w:rPr>
                <w:rFonts w:cs="Arial"/>
                <w:szCs w:val="22"/>
              </w:rPr>
            </w:pPr>
          </w:p>
          <w:p w:rsidR="003F7892" w:rsidRDefault="003F7892">
            <w:pPr>
              <w:rPr>
                <w:rFonts w:cs="Arial"/>
                <w:szCs w:val="22"/>
              </w:rPr>
            </w:pPr>
          </w:p>
          <w:p w:rsidR="003F7892" w:rsidRDefault="003F7892">
            <w:pPr>
              <w:rPr>
                <w:rFonts w:cs="Arial"/>
                <w:szCs w:val="22"/>
              </w:rPr>
            </w:pPr>
          </w:p>
          <w:p w:rsidR="003F7892" w:rsidRPr="001C20E4" w:rsidRDefault="003F7892">
            <w:pPr>
              <w:rPr>
                <w:rFonts w:cs="Arial"/>
                <w:szCs w:val="22"/>
              </w:rPr>
            </w:pPr>
          </w:p>
          <w:p w:rsidR="0045036E" w:rsidRPr="001C20E4" w:rsidRDefault="0045036E">
            <w:pPr>
              <w:rPr>
                <w:rFonts w:cs="Arial"/>
                <w:szCs w:val="22"/>
              </w:rPr>
            </w:pPr>
            <w:r w:rsidRPr="001C20E4">
              <w:rPr>
                <w:rFonts w:cs="Arial"/>
                <w:szCs w:val="22"/>
              </w:rPr>
              <w:t xml:space="preserve">Artículo 61.- El que con el objeto de inducir a error en el mercado de valores difunda información falsa o tendenciosa, aun cuando no persiga con ello obtener ventajas o beneficios para sí o terceros, sufrirá la pena de presidio menor en sus grados </w:t>
            </w:r>
            <w:r w:rsidRPr="006F155E">
              <w:rPr>
                <w:rFonts w:cs="Arial"/>
                <w:b/>
                <w:szCs w:val="22"/>
                <w:u w:val="single"/>
              </w:rPr>
              <w:t>mínimo a medio</w:t>
            </w:r>
            <w:r w:rsidRPr="001C20E4">
              <w:rPr>
                <w:rFonts w:cs="Arial"/>
                <w:szCs w:val="22"/>
              </w:rPr>
              <w:t>.</w:t>
            </w: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rsidP="003F2291">
            <w:pPr>
              <w:rPr>
                <w:rFonts w:cs="Arial"/>
                <w:szCs w:val="22"/>
              </w:rPr>
            </w:pPr>
            <w:r w:rsidRPr="001C20E4">
              <w:rPr>
                <w:rFonts w:cs="Arial"/>
                <w:szCs w:val="22"/>
              </w:rPr>
              <w:t xml:space="preserve">La pena señalada en el inciso precedente </w:t>
            </w:r>
            <w:r w:rsidRPr="00F87FF1">
              <w:rPr>
                <w:rFonts w:cs="Arial"/>
                <w:b/>
                <w:szCs w:val="22"/>
                <w:u w:val="single"/>
              </w:rPr>
              <w:t>se aumentará en un grado</w:t>
            </w:r>
            <w:r w:rsidRPr="001C20E4">
              <w:rPr>
                <w:rFonts w:cs="Arial"/>
                <w:szCs w:val="22"/>
              </w:rPr>
              <w:t>, cuando la conducta descrita la realice el que en razón de su cargo, posición, actividad o relación, en la Superintendencia o en una entidad fiscalizada por ella, pudiera poseer o tener acceso a información privilegiada.</w:t>
            </w:r>
          </w:p>
        </w:tc>
        <w:tc>
          <w:tcPr>
            <w:tcW w:w="1665" w:type="pct"/>
          </w:tcPr>
          <w:p w:rsidR="0045036E" w:rsidRDefault="0045036E">
            <w:pPr>
              <w:contextualSpacing/>
              <w:rPr>
                <w:rFonts w:cs="Arial"/>
                <w:szCs w:val="22"/>
              </w:rPr>
            </w:pPr>
          </w:p>
          <w:p w:rsidR="003F7892" w:rsidRDefault="003F7892">
            <w:pPr>
              <w:contextualSpacing/>
              <w:rPr>
                <w:rFonts w:cs="Arial"/>
                <w:szCs w:val="22"/>
              </w:rPr>
            </w:pPr>
          </w:p>
          <w:p w:rsidR="003F7892" w:rsidRDefault="003F7892">
            <w:pPr>
              <w:contextualSpacing/>
              <w:rPr>
                <w:rFonts w:cs="Arial"/>
                <w:szCs w:val="22"/>
              </w:rPr>
            </w:pPr>
          </w:p>
          <w:p w:rsidR="003F7892" w:rsidRPr="001C20E4" w:rsidRDefault="003F7892">
            <w:pPr>
              <w:contextualSpacing/>
              <w:rPr>
                <w:rFonts w:cs="Arial"/>
                <w:szCs w:val="22"/>
              </w:rPr>
            </w:pPr>
          </w:p>
        </w:tc>
        <w:tc>
          <w:tcPr>
            <w:tcW w:w="1674" w:type="pct"/>
          </w:tcPr>
          <w:p w:rsidR="003F7892" w:rsidRPr="003F7892" w:rsidRDefault="003F7892" w:rsidP="003F7892">
            <w:pPr>
              <w:contextualSpacing/>
              <w:jc w:val="center"/>
              <w:rPr>
                <w:rFonts w:cs="Arial"/>
                <w:b/>
                <w:szCs w:val="22"/>
                <w:u w:val="single"/>
                <w:lang w:val="es-ES_tradnl"/>
              </w:rPr>
            </w:pPr>
            <w:r w:rsidRPr="003F7892">
              <w:rPr>
                <w:rFonts w:cs="Arial"/>
                <w:b/>
                <w:szCs w:val="22"/>
                <w:u w:val="single"/>
                <w:lang w:val="es-ES_tradnl"/>
              </w:rPr>
              <w:t>Numeral 14, nuevo</w:t>
            </w:r>
          </w:p>
          <w:p w:rsidR="003F7892" w:rsidRPr="003F7892" w:rsidRDefault="003F7892" w:rsidP="003F7892">
            <w:pPr>
              <w:contextualSpacing/>
              <w:rPr>
                <w:rFonts w:cs="Arial"/>
                <w:b/>
                <w:szCs w:val="22"/>
                <w:u w:val="single"/>
                <w:lang w:val="es-ES_tradnl"/>
              </w:rPr>
            </w:pPr>
          </w:p>
          <w:p w:rsidR="003F7892" w:rsidRPr="003F7892" w:rsidRDefault="003F7892" w:rsidP="003F7892">
            <w:pPr>
              <w:contextualSpacing/>
              <w:rPr>
                <w:rFonts w:cs="Arial"/>
                <w:szCs w:val="22"/>
                <w:lang w:val="es-ES_tradnl"/>
              </w:rPr>
            </w:pPr>
            <w:r w:rsidRPr="003F7892">
              <w:rPr>
                <w:rFonts w:cs="Arial"/>
                <w:szCs w:val="22"/>
                <w:lang w:val="es-ES_tradnl"/>
              </w:rPr>
              <w:t>Ha añadido el siguiente numeral 14, nuevo:</w:t>
            </w:r>
          </w:p>
          <w:p w:rsidR="003F7892" w:rsidRDefault="003F7892" w:rsidP="003F7892">
            <w:pPr>
              <w:contextualSpacing/>
              <w:rPr>
                <w:rFonts w:cs="Arial"/>
                <w:szCs w:val="22"/>
                <w:lang w:val="es-ES_tradnl"/>
              </w:rPr>
            </w:pPr>
          </w:p>
          <w:p w:rsidR="003F7892" w:rsidRDefault="003F7892" w:rsidP="003F7892">
            <w:pPr>
              <w:contextualSpacing/>
              <w:rPr>
                <w:rFonts w:cs="Arial"/>
                <w:szCs w:val="22"/>
                <w:lang w:val="es-ES_tradnl"/>
              </w:rPr>
            </w:pPr>
          </w:p>
          <w:p w:rsidR="003F7892" w:rsidRPr="003F7892" w:rsidRDefault="003F7892" w:rsidP="003F7892">
            <w:pPr>
              <w:contextualSpacing/>
              <w:rPr>
                <w:rFonts w:cs="Arial"/>
                <w:szCs w:val="22"/>
                <w:lang w:val="es-ES_tradnl"/>
              </w:rPr>
            </w:pPr>
          </w:p>
          <w:p w:rsidR="003F7892" w:rsidRPr="003F7892" w:rsidRDefault="003F7892" w:rsidP="003F7892">
            <w:pPr>
              <w:contextualSpacing/>
              <w:rPr>
                <w:rFonts w:cs="Arial"/>
                <w:szCs w:val="22"/>
                <w:lang w:val="es-ES_tradnl"/>
              </w:rPr>
            </w:pPr>
            <w:r w:rsidRPr="003F7892">
              <w:rPr>
                <w:rFonts w:cs="Arial"/>
                <w:szCs w:val="22"/>
                <w:lang w:val="es-ES_tradnl"/>
              </w:rPr>
              <w:t>“14) Modifícase el artículo 61 en el siguiente sentido:</w:t>
            </w:r>
          </w:p>
          <w:p w:rsidR="003F7892" w:rsidRPr="003F7892" w:rsidRDefault="003F7892" w:rsidP="003F7892">
            <w:pPr>
              <w:contextualSpacing/>
              <w:rPr>
                <w:rFonts w:cs="Arial"/>
                <w:szCs w:val="22"/>
                <w:lang w:val="es-ES_tradnl"/>
              </w:rPr>
            </w:pPr>
          </w:p>
          <w:p w:rsidR="003F7892" w:rsidRPr="003F7892" w:rsidRDefault="003F7892" w:rsidP="003F7892">
            <w:pPr>
              <w:contextualSpacing/>
              <w:rPr>
                <w:rFonts w:cs="Arial"/>
                <w:szCs w:val="22"/>
                <w:lang w:val="es-ES_tradnl"/>
              </w:rPr>
            </w:pPr>
            <w:r w:rsidRPr="003F7892">
              <w:rPr>
                <w:rFonts w:cs="Arial"/>
                <w:szCs w:val="22"/>
                <w:lang w:val="es-ES_tradnl"/>
              </w:rPr>
              <w:t>a) Reemplázase en su inciso primero la frase “mínimo a medio” por “medio a máximo”.</w:t>
            </w:r>
          </w:p>
          <w:p w:rsidR="003F7892" w:rsidRPr="003F7892" w:rsidRDefault="003F7892" w:rsidP="003F7892">
            <w:pPr>
              <w:contextualSpacing/>
              <w:rPr>
                <w:rFonts w:cs="Arial"/>
                <w:szCs w:val="22"/>
                <w:lang w:val="es-ES_tradnl"/>
              </w:rPr>
            </w:pPr>
          </w:p>
          <w:p w:rsidR="003F7892" w:rsidRPr="003F7892" w:rsidRDefault="003F7892" w:rsidP="003F7892">
            <w:pPr>
              <w:contextualSpacing/>
              <w:rPr>
                <w:rFonts w:cs="Arial"/>
                <w:szCs w:val="22"/>
                <w:lang w:val="es-ES_tradnl"/>
              </w:rPr>
            </w:pPr>
            <w:r w:rsidRPr="003F7892">
              <w:rPr>
                <w:rFonts w:cs="Arial"/>
                <w:szCs w:val="22"/>
                <w:lang w:val="es-ES_tradnl"/>
              </w:rPr>
              <w:t>b) Reemplázase en su inciso segundo la frase “se aumentará en un grado” por “corresponderá a presidio menor en su grado máximo”.”.</w:t>
            </w:r>
          </w:p>
          <w:p w:rsidR="0045036E" w:rsidRPr="001C20E4" w:rsidRDefault="0045036E">
            <w:pPr>
              <w:contextualSpacing/>
              <w:rPr>
                <w:rFonts w:cs="Arial"/>
                <w:szCs w:val="22"/>
              </w:rPr>
            </w:pPr>
          </w:p>
        </w:tc>
      </w:tr>
      <w:tr w:rsidR="00096CE0" w:rsidRPr="001C20E4" w:rsidTr="00096CE0">
        <w:trPr>
          <w:trHeight w:val="315"/>
          <w:jc w:val="center"/>
        </w:trPr>
        <w:tc>
          <w:tcPr>
            <w:tcW w:w="1661" w:type="pct"/>
          </w:tcPr>
          <w:p w:rsidR="0045036E" w:rsidRDefault="0045036E" w:rsidP="002150E6">
            <w:pPr>
              <w:rPr>
                <w:rFonts w:cs="Arial"/>
                <w:szCs w:val="22"/>
              </w:rPr>
            </w:pPr>
          </w:p>
          <w:p w:rsidR="005E3F1F" w:rsidRPr="001C20E4" w:rsidRDefault="005E3F1F" w:rsidP="002150E6">
            <w:pPr>
              <w:rPr>
                <w:rFonts w:cs="Arial"/>
                <w:szCs w:val="22"/>
              </w:rPr>
            </w:pPr>
          </w:p>
          <w:p w:rsidR="0045036E" w:rsidRPr="001C20E4" w:rsidRDefault="0045036E" w:rsidP="002150E6">
            <w:pPr>
              <w:rPr>
                <w:rFonts w:cs="Arial"/>
                <w:szCs w:val="22"/>
                <w:u w:val="single"/>
              </w:rPr>
            </w:pPr>
            <w:r w:rsidRPr="001C20E4">
              <w:rPr>
                <w:rFonts w:cs="Arial"/>
                <w:szCs w:val="22"/>
              </w:rPr>
              <w:t>Artículo 63.- No podrá hacerse oferta pública de valores por emisores que se encuentren en estado de insolvencia. Igualmente, deberá suspenderse la emisión de valores de oferta pública desde que el emisor cayera en estado de insolvencia</w:t>
            </w:r>
            <w:r w:rsidRPr="001C20E4">
              <w:rPr>
                <w:rFonts w:cs="Arial"/>
                <w:szCs w:val="22"/>
                <w:u w:val="single"/>
              </w:rPr>
              <w:t>.</w:t>
            </w: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p>
          <w:p w:rsidR="0045036E" w:rsidRPr="001C20E4" w:rsidRDefault="0045036E" w:rsidP="002150E6">
            <w:pPr>
              <w:rPr>
                <w:rFonts w:cs="Arial"/>
                <w:szCs w:val="22"/>
              </w:rPr>
            </w:pPr>
            <w:r w:rsidRPr="001C20E4">
              <w:rPr>
                <w:rFonts w:cs="Arial"/>
                <w:szCs w:val="22"/>
                <w:u w:val="single"/>
              </w:rPr>
              <w:t>Los administradores</w:t>
            </w:r>
            <w:r w:rsidRPr="001C20E4">
              <w:rPr>
                <w:rFonts w:cs="Arial"/>
                <w:szCs w:val="22"/>
              </w:rPr>
              <w:t xml:space="preserve"> que sabiendo o debiendo saber el estado de insolvencia en que se encuentran las empresas por ellos administradas, acordaren, decidieren o permitieren que éstas incurran en hechos contrarios a lo establecido en el inciso anterior, serán sancionados con el máximo de las penas señaladas en el artículo 467 del Código Penal. Estas penas se aumentarán en un grado si las empresas consumaren su oferta y recibieren efectivamente dinero por los valores que en forma indebida hubieren ofertado públicamente.</w:t>
            </w:r>
          </w:p>
          <w:p w:rsidR="0045036E" w:rsidRPr="001C20E4" w:rsidRDefault="0045036E" w:rsidP="002150E6">
            <w:pPr>
              <w:rPr>
                <w:rFonts w:cs="Arial"/>
                <w:szCs w:val="22"/>
              </w:rPr>
            </w:pPr>
          </w:p>
          <w:p w:rsidR="0045036E" w:rsidRPr="001C20E4" w:rsidRDefault="0045036E" w:rsidP="00D70AD8">
            <w:pPr>
              <w:rPr>
                <w:rFonts w:cs="Arial"/>
                <w:szCs w:val="22"/>
              </w:rPr>
            </w:pPr>
            <w:r w:rsidRPr="001C20E4">
              <w:rPr>
                <w:rFonts w:cs="Arial"/>
                <w:szCs w:val="22"/>
              </w:rPr>
              <w:t xml:space="preserve">Lo dispuesto en los incisos anteriores es sin perjuicio de las responsabilidades civiles y sanciones administrativas que procedieren en conformidad a la ley. </w:t>
            </w:r>
          </w:p>
        </w:tc>
        <w:tc>
          <w:tcPr>
            <w:tcW w:w="1665" w:type="pct"/>
          </w:tcPr>
          <w:p w:rsidR="005E3F1F" w:rsidRPr="005E3F1F" w:rsidRDefault="005E3F1F" w:rsidP="005E3F1F">
            <w:pPr>
              <w:contextualSpacing/>
              <w:rPr>
                <w:rFonts w:cs="Arial"/>
                <w:szCs w:val="22"/>
              </w:rPr>
            </w:pPr>
            <w:r w:rsidRPr="00B5715B">
              <w:rPr>
                <w:rFonts w:cs="Arial"/>
                <w:b/>
                <w:szCs w:val="22"/>
              </w:rPr>
              <w:t>10)</w:t>
            </w:r>
            <w:r w:rsidRPr="005E3F1F">
              <w:rPr>
                <w:rFonts w:cs="Arial"/>
                <w:szCs w:val="22"/>
              </w:rPr>
              <w:t xml:space="preserve"> Modifícase el artículo 63, de la siguiente manera:</w:t>
            </w:r>
          </w:p>
          <w:p w:rsidR="005E3F1F" w:rsidRDefault="005E3F1F" w:rsidP="005E3F1F">
            <w:pPr>
              <w:contextualSpacing/>
              <w:rPr>
                <w:rFonts w:cs="Arial"/>
                <w:szCs w:val="22"/>
              </w:rPr>
            </w:pPr>
          </w:p>
          <w:p w:rsidR="005E3F1F" w:rsidRDefault="005E3F1F" w:rsidP="005E3F1F">
            <w:pPr>
              <w:contextualSpacing/>
              <w:rPr>
                <w:rFonts w:cs="Arial"/>
                <w:szCs w:val="22"/>
              </w:rPr>
            </w:pPr>
          </w:p>
          <w:p w:rsidR="005E3F1F" w:rsidRDefault="005E3F1F" w:rsidP="005E3F1F">
            <w:pPr>
              <w:contextualSpacing/>
              <w:rPr>
                <w:rFonts w:cs="Arial"/>
                <w:szCs w:val="22"/>
              </w:rPr>
            </w:pPr>
          </w:p>
          <w:p w:rsidR="005E3F1F" w:rsidRDefault="005E3F1F" w:rsidP="005E3F1F">
            <w:pPr>
              <w:contextualSpacing/>
              <w:rPr>
                <w:rFonts w:cs="Arial"/>
                <w:szCs w:val="22"/>
              </w:rPr>
            </w:pPr>
          </w:p>
          <w:p w:rsidR="005E3F1F" w:rsidRPr="005E3F1F" w:rsidRDefault="005E3F1F" w:rsidP="005E3F1F">
            <w:pPr>
              <w:contextualSpacing/>
              <w:rPr>
                <w:rFonts w:cs="Arial"/>
                <w:szCs w:val="22"/>
              </w:rPr>
            </w:pPr>
          </w:p>
          <w:p w:rsidR="005E3F1F" w:rsidRPr="005E3F1F" w:rsidRDefault="005E3F1F" w:rsidP="005E3F1F">
            <w:pPr>
              <w:contextualSpacing/>
              <w:rPr>
                <w:rFonts w:cs="Arial"/>
                <w:szCs w:val="22"/>
              </w:rPr>
            </w:pPr>
            <w:r w:rsidRPr="005E3F1F">
              <w:rPr>
                <w:rFonts w:cs="Arial"/>
                <w:szCs w:val="22"/>
              </w:rPr>
              <w:t>a) Agréganse, en su inciso primero, las siguientes oraciones finales: “Para efectos de lo dispuesto en el presente inciso, se presumirá que un emisor ha caído en estado de insolvencia cuando se hubiere iniciado un proceso concursal de liquidación en virtud de lo dispuesto en el Capítulo IV de la ley N° 20.720, que sustituye el régimen concursal vigente por una ley de reorganización y liquidación de empresas y personas, y perfecciona el rol de la Superintendencia del ramo. En el caso de las empresas bancarias, se procederá de conformidad a lo dispuesto en decreto con fuerza de ley N° 3, del Ministerio de Hacienda, de 1997, que fija el texto refundido, sistematizado y concordado de la Ley General de Bancos y de otros cuerpos legales que se indican.”.</w:t>
            </w:r>
          </w:p>
          <w:p w:rsidR="005E3F1F" w:rsidRPr="005E3F1F" w:rsidRDefault="005E3F1F" w:rsidP="005E3F1F">
            <w:pPr>
              <w:contextualSpacing/>
              <w:rPr>
                <w:rFonts w:cs="Arial"/>
                <w:szCs w:val="22"/>
              </w:rPr>
            </w:pPr>
          </w:p>
          <w:p w:rsidR="005E3F1F" w:rsidRPr="005E3F1F" w:rsidRDefault="005E3F1F" w:rsidP="005E3F1F">
            <w:pPr>
              <w:contextualSpacing/>
              <w:rPr>
                <w:rFonts w:cs="Arial"/>
                <w:szCs w:val="22"/>
              </w:rPr>
            </w:pPr>
            <w:r w:rsidRPr="005E3F1F">
              <w:rPr>
                <w:rFonts w:cs="Arial"/>
                <w:szCs w:val="22"/>
              </w:rPr>
              <w:t>b) Reemplázase, en su inciso segundo, la expresión “Los administradores”, por la frase “Los directores, administradores, y ejecutivos principales”.</w:t>
            </w:r>
          </w:p>
          <w:p w:rsidR="0045036E" w:rsidRPr="001C20E4" w:rsidRDefault="0045036E" w:rsidP="002150E6">
            <w:pPr>
              <w:contextualSpacing/>
              <w:rPr>
                <w:rFonts w:cs="Arial"/>
                <w:szCs w:val="22"/>
              </w:rPr>
            </w:pPr>
          </w:p>
        </w:tc>
        <w:tc>
          <w:tcPr>
            <w:tcW w:w="1674" w:type="pct"/>
          </w:tcPr>
          <w:p w:rsidR="00B5715B" w:rsidRPr="00B5715B" w:rsidRDefault="00B5715B" w:rsidP="00B5715B">
            <w:pPr>
              <w:contextualSpacing/>
              <w:jc w:val="center"/>
              <w:rPr>
                <w:rFonts w:cs="Arial"/>
                <w:b/>
                <w:szCs w:val="22"/>
                <w:u w:val="single"/>
                <w:lang w:val="es-ES_tradnl"/>
              </w:rPr>
            </w:pPr>
            <w:r w:rsidRPr="00B5715B">
              <w:rPr>
                <w:rFonts w:cs="Arial"/>
                <w:b/>
                <w:szCs w:val="22"/>
                <w:u w:val="single"/>
                <w:lang w:val="es-ES_tradnl"/>
              </w:rPr>
              <w:t>Numerales 10, 11, 12, 13, 14, 15 y 16</w:t>
            </w:r>
          </w:p>
          <w:p w:rsidR="00B5715B" w:rsidRPr="00B5715B" w:rsidRDefault="00B5715B" w:rsidP="00B5715B">
            <w:pPr>
              <w:contextualSpacing/>
              <w:rPr>
                <w:rFonts w:cs="Arial"/>
                <w:b/>
                <w:szCs w:val="22"/>
                <w:u w:val="single"/>
                <w:lang w:val="es-ES_tradnl"/>
              </w:rPr>
            </w:pPr>
          </w:p>
          <w:p w:rsidR="00B5715B" w:rsidRPr="00B5715B" w:rsidRDefault="00B5715B" w:rsidP="00B5715B">
            <w:pPr>
              <w:contextualSpacing/>
              <w:rPr>
                <w:rFonts w:cs="Arial"/>
                <w:szCs w:val="22"/>
                <w:lang w:val="es-ES_tradnl"/>
              </w:rPr>
            </w:pPr>
            <w:r w:rsidRPr="00B5715B">
              <w:rPr>
                <w:rFonts w:cs="Arial"/>
                <w:szCs w:val="22"/>
                <w:lang w:val="es-ES_tradnl"/>
              </w:rPr>
              <w:t>Han pasado a ser numerales 15, 16, 17, 18, 19, 20 y 21, respectivamente, sin enmiendas.</w:t>
            </w:r>
          </w:p>
          <w:p w:rsidR="0045036E" w:rsidRPr="001C20E4" w:rsidRDefault="0045036E" w:rsidP="002150E6">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pPr>
              <w:jc w:val="center"/>
              <w:rPr>
                <w:rFonts w:cs="Arial"/>
                <w:szCs w:val="22"/>
              </w:rPr>
            </w:pPr>
          </w:p>
          <w:p w:rsidR="0045036E" w:rsidRPr="001C20E4" w:rsidRDefault="0045036E">
            <w:pPr>
              <w:jc w:val="center"/>
              <w:rPr>
                <w:rFonts w:cs="Arial"/>
                <w:szCs w:val="22"/>
              </w:rPr>
            </w:pPr>
            <w:r w:rsidRPr="001C20E4">
              <w:rPr>
                <w:rFonts w:cs="Arial"/>
                <w:szCs w:val="22"/>
              </w:rPr>
              <w:t>TITULO XIII</w:t>
            </w:r>
          </w:p>
          <w:p w:rsidR="0045036E" w:rsidRPr="001C20E4" w:rsidRDefault="0045036E">
            <w:pPr>
              <w:jc w:val="center"/>
              <w:rPr>
                <w:rFonts w:cs="Arial"/>
                <w:szCs w:val="22"/>
              </w:rPr>
            </w:pPr>
            <w:r w:rsidRPr="001C20E4">
              <w:rPr>
                <w:rFonts w:cs="Arial"/>
                <w:szCs w:val="22"/>
              </w:rPr>
              <w:t>Disposiciones generales.</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Art. 65.- La publicidad, propaganda y difusión que por cualquier medio hagan emisores, intermediarios de valores, bolsas de valores, corporaciones de agentes de valores y cualquiera otras personas o entidades que participen en una emisión o colocación de valores, no podrá contener declaraciones, alusiones o representaciones que puedan inducir a error, equívocos o confusión al público sobre la naturaleza, precios, rentabilidad, rescates, liquidez, garantías o cualquiera otras características de los valores de oferta pública o de sus emisores.</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 xml:space="preserve">Los prospectos y folletos informativos que se utilicen para la difusión y propaganda de una emisión de valores, deberán contener la totalidad de la información que la Superintendencia determine </w:t>
            </w:r>
            <w:r w:rsidRPr="001C20E4">
              <w:rPr>
                <w:rFonts w:cs="Arial"/>
                <w:szCs w:val="22"/>
                <w:u w:val="single"/>
              </w:rPr>
              <w:t>y no podrán difundirse si no hubieren sido previamente remitidos al registro de valores</w:t>
            </w:r>
            <w:r w:rsidRPr="001C20E4">
              <w:rPr>
                <w:rFonts w:cs="Arial"/>
                <w:szCs w:val="22"/>
              </w:rPr>
              <w:t>.</w:t>
            </w: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Default="0045036E">
            <w:pPr>
              <w:rPr>
                <w:rFonts w:cs="Arial"/>
                <w:szCs w:val="22"/>
              </w:rPr>
            </w:pPr>
          </w:p>
          <w:p w:rsidR="00D70AD8" w:rsidRPr="001C20E4" w:rsidRDefault="00D70AD8">
            <w:pPr>
              <w:rPr>
                <w:rFonts w:cs="Arial"/>
                <w:szCs w:val="22"/>
              </w:rPr>
            </w:pPr>
          </w:p>
          <w:p w:rsidR="0045036E" w:rsidRPr="001C20E4" w:rsidRDefault="0045036E">
            <w:pPr>
              <w:rPr>
                <w:rFonts w:cs="Arial"/>
                <w:szCs w:val="22"/>
              </w:rPr>
            </w:pPr>
          </w:p>
          <w:p w:rsidR="0045036E" w:rsidRPr="001C20E4" w:rsidRDefault="0045036E" w:rsidP="00C61837">
            <w:pPr>
              <w:rPr>
                <w:rFonts w:cs="Arial"/>
                <w:szCs w:val="22"/>
              </w:rPr>
            </w:pPr>
            <w:r w:rsidRPr="00101166">
              <w:rPr>
                <w:rFonts w:cs="Arial"/>
                <w:szCs w:val="22"/>
              </w:rPr>
              <w:t>La Superintendencia</w:t>
            </w:r>
            <w:r w:rsidRPr="001C20E4">
              <w:rPr>
                <w:rFonts w:cs="Arial"/>
                <w:szCs w:val="22"/>
              </w:rPr>
              <w:t xml:space="preserve"> estará facultada para dictar las normas de aplicación general que sean conducentes a asegurar el cumplimiento de lo dispuesto en </w:t>
            </w:r>
            <w:r w:rsidRPr="001C20E4">
              <w:rPr>
                <w:rFonts w:cs="Arial"/>
                <w:szCs w:val="22"/>
                <w:u w:val="single"/>
              </w:rPr>
              <w:t>los incisos</w:t>
            </w:r>
            <w:r w:rsidRPr="001C20E4">
              <w:rPr>
                <w:rFonts w:cs="Arial"/>
                <w:szCs w:val="22"/>
              </w:rPr>
              <w:t xml:space="preserve"> los incisos precedentes, y podrá, en caso de contravención a lo establecido en este artículo o en las normas generales que al respecto hubiere dictado, ordenar al infractor o al director responsable del medio de difusión que modifique o suspenda la publicidad sin perjuicio de las demás sanciones que procedan. </w:t>
            </w:r>
          </w:p>
        </w:tc>
        <w:tc>
          <w:tcPr>
            <w:tcW w:w="1665" w:type="pct"/>
          </w:tcPr>
          <w:p w:rsidR="00101166" w:rsidRPr="00101166" w:rsidRDefault="00101166" w:rsidP="00101166">
            <w:pPr>
              <w:contextualSpacing/>
              <w:rPr>
                <w:rFonts w:cs="Arial"/>
                <w:szCs w:val="22"/>
              </w:rPr>
            </w:pPr>
            <w:r w:rsidRPr="00B5715B">
              <w:rPr>
                <w:rFonts w:cs="Arial"/>
                <w:b/>
                <w:szCs w:val="22"/>
              </w:rPr>
              <w:t>11)</w:t>
            </w:r>
            <w:r w:rsidRPr="00101166">
              <w:rPr>
                <w:rFonts w:cs="Arial"/>
                <w:szCs w:val="22"/>
              </w:rPr>
              <w:t xml:space="preserve"> Modifícase el artículo 65, del siguiente modo:</w:t>
            </w: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Default="00101166" w:rsidP="00101166">
            <w:pPr>
              <w:contextualSpacing/>
              <w:rPr>
                <w:rFonts w:cs="Arial"/>
                <w:szCs w:val="22"/>
              </w:rPr>
            </w:pPr>
          </w:p>
          <w:p w:rsidR="00101166" w:rsidRPr="00101166" w:rsidRDefault="00101166" w:rsidP="00101166">
            <w:pPr>
              <w:contextualSpacing/>
              <w:rPr>
                <w:rFonts w:cs="Arial"/>
                <w:szCs w:val="22"/>
              </w:rPr>
            </w:pPr>
          </w:p>
          <w:p w:rsidR="00101166" w:rsidRPr="00101166" w:rsidRDefault="00101166" w:rsidP="00101166">
            <w:pPr>
              <w:contextualSpacing/>
              <w:rPr>
                <w:rFonts w:cs="Arial"/>
                <w:szCs w:val="22"/>
              </w:rPr>
            </w:pPr>
            <w:r w:rsidRPr="00101166">
              <w:rPr>
                <w:rFonts w:cs="Arial"/>
                <w:szCs w:val="22"/>
              </w:rPr>
              <w:t>a) Elimínase, en su inciso segundo, la frase “y no podrán difundirse si no hubieren sido previamente remitidos al registro de valores”.</w:t>
            </w:r>
          </w:p>
          <w:p w:rsidR="00101166" w:rsidRDefault="00101166" w:rsidP="00101166">
            <w:pPr>
              <w:contextualSpacing/>
              <w:rPr>
                <w:rFonts w:cs="Arial"/>
                <w:szCs w:val="22"/>
              </w:rPr>
            </w:pPr>
          </w:p>
          <w:p w:rsidR="00D70AD8" w:rsidRPr="00101166" w:rsidRDefault="00D70AD8" w:rsidP="00101166">
            <w:pPr>
              <w:contextualSpacing/>
              <w:rPr>
                <w:rFonts w:cs="Arial"/>
                <w:szCs w:val="22"/>
              </w:rPr>
            </w:pPr>
          </w:p>
          <w:p w:rsidR="00101166" w:rsidRPr="00101166" w:rsidRDefault="00101166" w:rsidP="00101166">
            <w:pPr>
              <w:contextualSpacing/>
              <w:rPr>
                <w:rFonts w:cs="Arial"/>
                <w:szCs w:val="22"/>
              </w:rPr>
            </w:pPr>
            <w:r w:rsidRPr="00101166">
              <w:rPr>
                <w:rFonts w:cs="Arial"/>
                <w:szCs w:val="22"/>
              </w:rPr>
              <w:t>b) Intercálase el siguiente inciso tercero, nuevo, pasando su actual inciso tercero a ser cuarto:</w:t>
            </w:r>
          </w:p>
          <w:p w:rsidR="00101166" w:rsidRPr="00101166" w:rsidRDefault="00101166" w:rsidP="00101166">
            <w:pPr>
              <w:contextualSpacing/>
              <w:rPr>
                <w:rFonts w:cs="Arial"/>
                <w:szCs w:val="22"/>
              </w:rPr>
            </w:pPr>
          </w:p>
          <w:p w:rsidR="00101166" w:rsidRPr="00101166" w:rsidRDefault="00101166" w:rsidP="00101166">
            <w:pPr>
              <w:contextualSpacing/>
              <w:rPr>
                <w:rFonts w:cs="Arial"/>
                <w:szCs w:val="22"/>
              </w:rPr>
            </w:pPr>
            <w:r w:rsidRPr="00101166">
              <w:rPr>
                <w:rFonts w:cs="Arial"/>
                <w:szCs w:val="22"/>
              </w:rPr>
              <w:t>“La información que se entregue tanto a los inversionistas como al público general, que contenga recomendaciones para adquirir, mantener o enajenar valores de oferta pública, o que implique la definición de precios objetivos, deberá cumplir con los requisitos que, mediante una norma de carácter general, establezca la Comisión para el Mercado Financiero, tanto en materia de difusión de conflictos de intereses como en lo relativo a los conocimientos y experiencia profesional de los responsables de dicha información.”.</w:t>
            </w:r>
          </w:p>
          <w:p w:rsidR="00101166" w:rsidRPr="00101166" w:rsidRDefault="00101166" w:rsidP="00101166">
            <w:pPr>
              <w:contextualSpacing/>
              <w:rPr>
                <w:rFonts w:cs="Arial"/>
                <w:szCs w:val="22"/>
              </w:rPr>
            </w:pPr>
          </w:p>
          <w:p w:rsidR="00101166" w:rsidRDefault="00101166" w:rsidP="00101166">
            <w:pPr>
              <w:contextualSpacing/>
              <w:rPr>
                <w:rFonts w:cs="Arial"/>
                <w:szCs w:val="22"/>
              </w:rPr>
            </w:pPr>
          </w:p>
          <w:p w:rsidR="00D70AD8" w:rsidRDefault="00D70AD8" w:rsidP="00101166">
            <w:pPr>
              <w:contextualSpacing/>
              <w:rPr>
                <w:rFonts w:cs="Arial"/>
                <w:szCs w:val="22"/>
              </w:rPr>
            </w:pPr>
          </w:p>
          <w:p w:rsidR="00101166" w:rsidRPr="00101166" w:rsidRDefault="00101166" w:rsidP="00101166">
            <w:pPr>
              <w:contextualSpacing/>
              <w:rPr>
                <w:rFonts w:cs="Arial"/>
                <w:szCs w:val="22"/>
              </w:rPr>
            </w:pPr>
            <w:r w:rsidRPr="00101166">
              <w:rPr>
                <w:rFonts w:cs="Arial"/>
                <w:szCs w:val="22"/>
              </w:rPr>
              <w:t>c) Elimínase en su actual inciso tercero, que ha pasado a ser cuarto, la expresión “los incisos”, la primera vez que aparece.</w:t>
            </w:r>
          </w:p>
          <w:p w:rsidR="0045036E" w:rsidRPr="001C20E4" w:rsidRDefault="0045036E">
            <w:pPr>
              <w:contextualSpacing/>
              <w:rPr>
                <w:rFonts w:cs="Arial"/>
                <w:szCs w:val="22"/>
              </w:rPr>
            </w:pPr>
          </w:p>
        </w:tc>
        <w:tc>
          <w:tcPr>
            <w:tcW w:w="1674" w:type="pct"/>
          </w:tcPr>
          <w:p w:rsidR="00C61837" w:rsidRPr="00C61837" w:rsidRDefault="00C61837" w:rsidP="00C61837">
            <w:pPr>
              <w:contextualSpacing/>
              <w:jc w:val="center"/>
              <w:rPr>
                <w:rFonts w:cs="Arial"/>
                <w:b/>
                <w:szCs w:val="22"/>
                <w:u w:val="single"/>
                <w:lang w:val="es-ES_tradnl"/>
              </w:rPr>
            </w:pPr>
            <w:r w:rsidRPr="00C61837">
              <w:rPr>
                <w:rFonts w:cs="Arial"/>
                <w:b/>
                <w:szCs w:val="22"/>
                <w:u w:val="single"/>
                <w:lang w:val="es-ES_tradnl"/>
              </w:rPr>
              <w:t>Numerales 10, 11, 12, 13, 14, 15 y 16</w:t>
            </w:r>
          </w:p>
          <w:p w:rsidR="00C61837" w:rsidRPr="00C61837" w:rsidRDefault="00C61837" w:rsidP="00C61837">
            <w:pPr>
              <w:contextualSpacing/>
              <w:rPr>
                <w:rFonts w:cs="Arial"/>
                <w:b/>
                <w:szCs w:val="22"/>
                <w:u w:val="single"/>
                <w:lang w:val="es-ES_tradnl"/>
              </w:rPr>
            </w:pPr>
          </w:p>
          <w:p w:rsidR="00C61837" w:rsidRPr="00C61837" w:rsidRDefault="00C61837" w:rsidP="00C61837">
            <w:pPr>
              <w:contextualSpacing/>
              <w:rPr>
                <w:rFonts w:cs="Arial"/>
                <w:szCs w:val="22"/>
                <w:lang w:val="es-ES_tradnl"/>
              </w:rPr>
            </w:pPr>
            <w:r w:rsidRPr="00C61837">
              <w:rPr>
                <w:rFonts w:cs="Arial"/>
                <w:szCs w:val="22"/>
                <w:lang w:val="es-ES_tradnl"/>
              </w:rPr>
              <w:t>Han pasado a ser numerales 15, 16, 17, 18, 19, 20 y 21, respectivamente, sin enmiendas.</w:t>
            </w:r>
          </w:p>
          <w:p w:rsidR="0045036E" w:rsidRPr="001C20E4" w:rsidRDefault="0045036E">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rsidP="00320C4B">
            <w:pPr>
              <w:rPr>
                <w:rFonts w:cs="Arial"/>
              </w:rPr>
            </w:pPr>
            <w:r w:rsidRPr="001C20E4">
              <w:rPr>
                <w:rFonts w:cs="Arial"/>
                <w:szCs w:val="22"/>
              </w:rPr>
              <w:t xml:space="preserve">Artículo 69.- La Superintendencia de Bancos e Instituciones Financieras fiscalizará el cumplimiento de las disposiciones de la presente ley, respecto de los bancos y sociedades financieras. </w:t>
            </w:r>
          </w:p>
          <w:p w:rsidR="0045036E" w:rsidRPr="001C20E4" w:rsidRDefault="0045036E" w:rsidP="00320C4B">
            <w:pPr>
              <w:rPr>
                <w:rFonts w:cs="Arial"/>
              </w:rPr>
            </w:pPr>
          </w:p>
          <w:p w:rsidR="0045036E" w:rsidRPr="001C20E4" w:rsidRDefault="0045036E" w:rsidP="00320C4B">
            <w:pPr>
              <w:rPr>
                <w:rFonts w:cs="Arial"/>
              </w:rPr>
            </w:pPr>
            <w:r w:rsidRPr="001C20E4">
              <w:rPr>
                <w:rFonts w:cs="Arial"/>
                <w:szCs w:val="22"/>
              </w:rPr>
              <w:t xml:space="preserve">La Superintendencia </w:t>
            </w:r>
            <w:r w:rsidRPr="001C20E4">
              <w:rPr>
                <w:rFonts w:cs="Arial"/>
                <w:szCs w:val="22"/>
                <w:u w:val="single"/>
              </w:rPr>
              <w:t xml:space="preserve">mencionada </w:t>
            </w:r>
            <w:r w:rsidRPr="001C20E4">
              <w:rPr>
                <w:rFonts w:cs="Arial"/>
                <w:szCs w:val="22"/>
              </w:rPr>
              <w:t xml:space="preserve">impartirá a sus entidades fiscalizadas las instrucciones para la aplicación de las normas que rijan las actividades a que se refiere esta ley, </w:t>
            </w:r>
            <w:r w:rsidRPr="001C20E4">
              <w:rPr>
                <w:rFonts w:cs="Arial"/>
                <w:szCs w:val="22"/>
                <w:u w:val="single"/>
              </w:rPr>
              <w:t>adoptando al efecto las que dicte la Superintendencia de Valores</w:t>
            </w:r>
            <w:r w:rsidRPr="001C20E4">
              <w:rPr>
                <w:rFonts w:cs="Arial"/>
                <w:szCs w:val="22"/>
              </w:rPr>
              <w:t xml:space="preserve"> y fiscalizará su cumplimiento. </w:t>
            </w:r>
          </w:p>
          <w:p w:rsidR="0045036E" w:rsidRPr="001C20E4" w:rsidRDefault="0045036E" w:rsidP="003F2291">
            <w:pPr>
              <w:rPr>
                <w:rFonts w:cs="Arial"/>
                <w:szCs w:val="22"/>
                <w:lang w:eastAsia="es-CL"/>
              </w:rPr>
            </w:pPr>
            <w:r w:rsidRPr="001C20E4">
              <w:rPr>
                <w:rFonts w:cs="Arial"/>
                <w:szCs w:val="22"/>
              </w:rPr>
              <w:t>No será necesario registrar en la Superintendencia de Bancos e Instituciones Financieras los valores emitidos por bancos o sociedades financieras que operen en el país a menos que se trate de sus propias acciones de bonos en su caso o de otros títulos que la Superintendencia de Bancos e Instituciones Financieras especialmente determine.</w:t>
            </w:r>
          </w:p>
        </w:tc>
        <w:tc>
          <w:tcPr>
            <w:tcW w:w="1665" w:type="pct"/>
          </w:tcPr>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Pr="004D077A" w:rsidRDefault="004D077A" w:rsidP="004D077A">
            <w:pPr>
              <w:contextualSpacing/>
              <w:rPr>
                <w:rFonts w:cs="Arial"/>
                <w:szCs w:val="22"/>
              </w:rPr>
            </w:pPr>
            <w:r w:rsidRPr="00B5715B">
              <w:rPr>
                <w:rFonts w:cs="Arial"/>
                <w:b/>
                <w:szCs w:val="22"/>
              </w:rPr>
              <w:t xml:space="preserve">12) </w:t>
            </w:r>
            <w:r w:rsidRPr="004D077A">
              <w:rPr>
                <w:rFonts w:cs="Arial"/>
                <w:szCs w:val="22"/>
              </w:rPr>
              <w:t>Suprímense, en el inciso segundo del artículo 69, la expresión “mencionada”, y la frase “adoptando al efecto las que dicte la Superintendencia de Valores”.</w:t>
            </w:r>
          </w:p>
          <w:p w:rsidR="004D077A" w:rsidRPr="004D077A" w:rsidRDefault="004D077A" w:rsidP="004D077A">
            <w:pPr>
              <w:contextualSpacing/>
              <w:rPr>
                <w:rFonts w:cs="Arial"/>
                <w:szCs w:val="22"/>
              </w:rPr>
            </w:pPr>
          </w:p>
          <w:p w:rsidR="0045036E" w:rsidRPr="001C20E4" w:rsidRDefault="0045036E">
            <w:pPr>
              <w:contextualSpacing/>
              <w:rPr>
                <w:rFonts w:cs="Arial"/>
                <w:szCs w:val="22"/>
              </w:rPr>
            </w:pPr>
          </w:p>
        </w:tc>
        <w:tc>
          <w:tcPr>
            <w:tcW w:w="1674" w:type="pct"/>
          </w:tcPr>
          <w:p w:rsidR="00C61837" w:rsidRPr="00C61837" w:rsidRDefault="00C61837" w:rsidP="00C61837">
            <w:pPr>
              <w:contextualSpacing/>
              <w:jc w:val="center"/>
              <w:rPr>
                <w:rFonts w:cs="Arial"/>
                <w:b/>
                <w:szCs w:val="22"/>
                <w:u w:val="single"/>
                <w:lang w:val="es-ES_tradnl"/>
              </w:rPr>
            </w:pPr>
            <w:r w:rsidRPr="00C61837">
              <w:rPr>
                <w:rFonts w:cs="Arial"/>
                <w:b/>
                <w:szCs w:val="22"/>
                <w:u w:val="single"/>
                <w:lang w:val="es-ES_tradnl"/>
              </w:rPr>
              <w:t>Numerales 10, 11, 12, 13, 14, 15 y 16</w:t>
            </w:r>
          </w:p>
          <w:p w:rsidR="00C61837" w:rsidRPr="00C61837" w:rsidRDefault="00C61837" w:rsidP="00C61837">
            <w:pPr>
              <w:contextualSpacing/>
              <w:rPr>
                <w:rFonts w:cs="Arial"/>
                <w:b/>
                <w:szCs w:val="22"/>
                <w:u w:val="single"/>
                <w:lang w:val="es-ES_tradnl"/>
              </w:rPr>
            </w:pPr>
          </w:p>
          <w:p w:rsidR="00C61837" w:rsidRPr="00C61837" w:rsidRDefault="00C61837" w:rsidP="00C61837">
            <w:pPr>
              <w:contextualSpacing/>
              <w:rPr>
                <w:rFonts w:cs="Arial"/>
                <w:szCs w:val="22"/>
                <w:lang w:val="es-ES_tradnl"/>
              </w:rPr>
            </w:pPr>
            <w:r w:rsidRPr="00C61837">
              <w:rPr>
                <w:rFonts w:cs="Arial"/>
                <w:szCs w:val="22"/>
                <w:lang w:val="es-ES_tradnl"/>
              </w:rPr>
              <w:t>Han pasado a ser numerales 15, 16, 17, 18, 19, 20 y 21, respectivamente, sin enmiendas.</w:t>
            </w:r>
          </w:p>
          <w:p w:rsidR="0045036E" w:rsidRPr="001C20E4" w:rsidRDefault="0045036E">
            <w:pPr>
              <w:contextualSpacing/>
              <w:rPr>
                <w:rFonts w:cs="Arial"/>
                <w:szCs w:val="22"/>
              </w:rPr>
            </w:pPr>
          </w:p>
        </w:tc>
      </w:tr>
      <w:tr w:rsidR="00096CE0" w:rsidRPr="001C20E4" w:rsidTr="00096CE0">
        <w:trPr>
          <w:trHeight w:val="315"/>
          <w:jc w:val="center"/>
        </w:trPr>
        <w:tc>
          <w:tcPr>
            <w:tcW w:w="1661" w:type="pct"/>
          </w:tcPr>
          <w:p w:rsidR="0045036E"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D077A" w:rsidRPr="001C20E4" w:rsidRDefault="004D077A"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Artículo 79.- No podrán inscribirse en el Registro, ni podrá encomendárseles la dirección de una clasificación de riesgo determinada, ni ser administradores o socios en forma directa ni controlar a través de otras personas cualquier porcentaje de una sociedad clasificadora de riesgo:</w:t>
            </w: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a) Las personas afectas a las inhabilidades y prohibiciones establecidas en los artículos 35 y 36 de la ley N° 18.046. La inhabilidad que afecta al fallido cesa desde que es rehabilitado.</w:t>
            </w:r>
          </w:p>
          <w:p w:rsidR="0045036E"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174F6E" w:rsidRPr="001C20E4" w:rsidRDefault="00174F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b) Los que hayan sido sancionados por la Superintendencia de Valores y Seguros de conformidad al número 3 del artículo 27 o al número 3 del artículo 28 del decreto ley N° 3.538, de l980, o al número 5 del artículo 44 del decreto con fuerza de ley N° 251, del año 1931; o a las letras b), c) o e) del artículo 36 o el artículo 85 de esta ley, o quienes hayan sido sancionados con similares sanciones administrativas, </w:t>
            </w:r>
            <w:r w:rsidRPr="001C20E4">
              <w:rPr>
                <w:rFonts w:cs="Arial"/>
                <w:szCs w:val="22"/>
                <w:u w:val="single"/>
                <w:lang w:val="es-CL" w:eastAsia="es-CL"/>
              </w:rPr>
              <w:t>por la Superintendencia de Bancos e Instituciones Financieras o por la Superintendencia de Administradoras de Fondos de Pensiones</w:t>
            </w:r>
            <w:r w:rsidRPr="001C20E4">
              <w:rPr>
                <w:rFonts w:cs="Arial"/>
                <w:szCs w:val="22"/>
                <w:lang w:val="es-CL" w:eastAsia="es-CL"/>
              </w:rPr>
              <w:t>.</w:t>
            </w: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c) Los que a la época de ocurrir los hechos que motivaron la aplicación de algunas de las sanciones establecidas en la letra precedente, durante los últimos diez años, eran administradores o personas que directamente o a través de otras personas naturales o jurídicas poseían el 10% o más del capital de las personas jurídicas a las cuales les hubieren aplicado las sanciones que en la letra anterior se indican.</w:t>
            </w:r>
          </w:p>
          <w:p w:rsidR="0045036E"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D077A" w:rsidRPr="001C20E4" w:rsidRDefault="004D077A"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d) Los funcionarios y empleados del Banco Central de Chile </w:t>
            </w:r>
            <w:r w:rsidRPr="00D70AD8">
              <w:rPr>
                <w:rFonts w:cs="Arial"/>
                <w:szCs w:val="22"/>
                <w:u w:val="single"/>
                <w:lang w:val="es-CL" w:eastAsia="es-CL"/>
              </w:rPr>
              <w:t>y de las</w:t>
            </w:r>
            <w:r w:rsidRPr="001C20E4">
              <w:rPr>
                <w:rFonts w:cs="Arial"/>
                <w:szCs w:val="22"/>
                <w:u w:val="single"/>
                <w:lang w:val="es-CL" w:eastAsia="es-CL"/>
              </w:rPr>
              <w:t xml:space="preserve"> Superintendencias de Valores y Seguros, de Bancos e Instituciones Financieras y de Administradoras de Fondos de Pensiones</w:t>
            </w:r>
            <w:r w:rsidRPr="001C20E4">
              <w:rPr>
                <w:rFonts w:cs="Arial"/>
                <w:szCs w:val="22"/>
                <w:lang w:val="es-CL" w:eastAsia="es-CL"/>
              </w:rPr>
              <w:t>.</w:t>
            </w: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e) Los bancos e instituciones financieras, las bolsas de valores, los intermediarios de valores y todas aquellas personas o instituciones que por ley tengan un objeto exclusivo, así como sus administradores y las personas que directamente o a través de otras personas naturales o jurídicas posean el 5% o más del capital de cualquiera de estas entidades.</w:t>
            </w:r>
          </w:p>
          <w:p w:rsidR="0045036E"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F744F" w:rsidRDefault="004F744F"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F744F" w:rsidRPr="001C20E4" w:rsidRDefault="004F744F"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AE398C">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1C20E4">
              <w:rPr>
                <w:rFonts w:cs="Arial"/>
                <w:szCs w:val="22"/>
                <w:lang w:val="es-CL" w:eastAsia="es-CL"/>
              </w:rPr>
              <w:t>Para los efectos de este artículo se entenderá por administradores a los directores, al gerente general y en su caso, a las personas que tengan poder de decisión y facultades generales de administración.</w:t>
            </w:r>
          </w:p>
        </w:tc>
        <w:tc>
          <w:tcPr>
            <w:tcW w:w="1665" w:type="pct"/>
          </w:tcPr>
          <w:p w:rsidR="004D077A" w:rsidRPr="004D077A" w:rsidRDefault="004D077A" w:rsidP="004D077A">
            <w:pPr>
              <w:contextualSpacing/>
              <w:rPr>
                <w:rFonts w:cs="Arial"/>
                <w:szCs w:val="22"/>
              </w:rPr>
            </w:pPr>
            <w:r w:rsidRPr="00B5715B">
              <w:rPr>
                <w:rFonts w:cs="Arial"/>
                <w:b/>
                <w:szCs w:val="22"/>
              </w:rPr>
              <w:t>13)</w:t>
            </w:r>
            <w:r w:rsidRPr="004D077A">
              <w:rPr>
                <w:rFonts w:cs="Arial"/>
                <w:szCs w:val="22"/>
              </w:rPr>
              <w:t xml:space="preserve"> Modifícase el artículo 79, del modo que sigue: </w:t>
            </w: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174F6E" w:rsidRDefault="00174F6E" w:rsidP="004D077A">
            <w:pPr>
              <w:contextualSpacing/>
              <w:rPr>
                <w:rFonts w:cs="Arial"/>
                <w:szCs w:val="22"/>
              </w:rPr>
            </w:pPr>
          </w:p>
          <w:p w:rsidR="004D077A" w:rsidRDefault="004D077A" w:rsidP="004D077A">
            <w:pPr>
              <w:contextualSpacing/>
              <w:rPr>
                <w:rFonts w:cs="Arial"/>
                <w:szCs w:val="22"/>
              </w:rPr>
            </w:pPr>
          </w:p>
          <w:p w:rsidR="004D077A" w:rsidRPr="004D077A" w:rsidRDefault="004D077A" w:rsidP="004D077A">
            <w:pPr>
              <w:contextualSpacing/>
              <w:rPr>
                <w:rFonts w:cs="Arial"/>
                <w:szCs w:val="22"/>
              </w:rPr>
            </w:pPr>
          </w:p>
          <w:p w:rsidR="004D077A" w:rsidRPr="004D077A" w:rsidRDefault="004D077A" w:rsidP="004D077A">
            <w:pPr>
              <w:contextualSpacing/>
              <w:rPr>
                <w:rFonts w:cs="Arial"/>
                <w:szCs w:val="22"/>
              </w:rPr>
            </w:pPr>
            <w:r w:rsidRPr="004D077A">
              <w:rPr>
                <w:rFonts w:cs="Arial"/>
                <w:szCs w:val="22"/>
              </w:rPr>
              <w:t>a) Reemplázase, en su letra b), la frase “por la Superintendencia de Bancos e Instituciones Financieras o por la Superintendencia de Administradoras de Fondos de Pensiones”, por la siguiente: “por infracciones al decreto con fuerza de ley N° 3, del Ministerio de Hacienda, de 1997, que fija el texto refundido, sistematizado y concordado de la Ley General de Bancos y de otros cuerpos legales que se indican, o por la Superintendencia de Pensiones”.</w:t>
            </w: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4D077A" w:rsidRDefault="004D077A" w:rsidP="004D077A">
            <w:pPr>
              <w:contextualSpacing/>
              <w:rPr>
                <w:rFonts w:cs="Arial"/>
                <w:szCs w:val="22"/>
              </w:rPr>
            </w:pPr>
          </w:p>
          <w:p w:rsidR="00C61837" w:rsidRPr="004D077A" w:rsidRDefault="00C61837" w:rsidP="004D077A">
            <w:pPr>
              <w:contextualSpacing/>
              <w:rPr>
                <w:rFonts w:cs="Arial"/>
                <w:szCs w:val="22"/>
              </w:rPr>
            </w:pPr>
          </w:p>
          <w:p w:rsidR="004D077A" w:rsidRPr="004D077A" w:rsidRDefault="004D077A" w:rsidP="004D077A">
            <w:pPr>
              <w:contextualSpacing/>
              <w:rPr>
                <w:rFonts w:cs="Arial"/>
                <w:szCs w:val="22"/>
              </w:rPr>
            </w:pPr>
            <w:r w:rsidRPr="004D077A">
              <w:rPr>
                <w:rFonts w:cs="Arial"/>
                <w:szCs w:val="22"/>
              </w:rPr>
              <w:t>b) Sustitúyese, en su letra d), la frase “y de las Superintendencias de Valores y Seguros, de Bancos e Instituciones Financieras y de Administradoras de Fondos de Pensiones”, por la siguiente: “, de la Comisión y de la Superintendencia de Pensiones”.</w:t>
            </w:r>
          </w:p>
          <w:p w:rsidR="0045036E" w:rsidRPr="001C20E4" w:rsidRDefault="0045036E">
            <w:pPr>
              <w:contextualSpacing/>
              <w:rPr>
                <w:rFonts w:cs="Arial"/>
                <w:szCs w:val="22"/>
              </w:rPr>
            </w:pPr>
          </w:p>
        </w:tc>
        <w:tc>
          <w:tcPr>
            <w:tcW w:w="1674" w:type="pct"/>
          </w:tcPr>
          <w:p w:rsidR="00C61837" w:rsidRPr="00C61837" w:rsidRDefault="00C61837" w:rsidP="00C61837">
            <w:pPr>
              <w:contextualSpacing/>
              <w:jc w:val="center"/>
              <w:rPr>
                <w:rFonts w:cs="Arial"/>
                <w:b/>
                <w:szCs w:val="22"/>
                <w:u w:val="single"/>
                <w:lang w:val="es-ES_tradnl"/>
              </w:rPr>
            </w:pPr>
            <w:r w:rsidRPr="00C61837">
              <w:rPr>
                <w:rFonts w:cs="Arial"/>
                <w:b/>
                <w:szCs w:val="22"/>
                <w:u w:val="single"/>
                <w:lang w:val="es-ES_tradnl"/>
              </w:rPr>
              <w:t>Numerales 10, 11, 12, 13, 14, 15 y 16</w:t>
            </w:r>
          </w:p>
          <w:p w:rsidR="00C61837" w:rsidRPr="00C61837" w:rsidRDefault="00C61837" w:rsidP="00C61837">
            <w:pPr>
              <w:contextualSpacing/>
              <w:rPr>
                <w:rFonts w:cs="Arial"/>
                <w:b/>
                <w:szCs w:val="22"/>
                <w:u w:val="single"/>
                <w:lang w:val="es-ES_tradnl"/>
              </w:rPr>
            </w:pPr>
          </w:p>
          <w:p w:rsidR="00C61837" w:rsidRPr="00C61837" w:rsidRDefault="00C61837" w:rsidP="00C61837">
            <w:pPr>
              <w:contextualSpacing/>
              <w:rPr>
                <w:rFonts w:cs="Arial"/>
                <w:szCs w:val="22"/>
                <w:lang w:val="es-ES_tradnl"/>
              </w:rPr>
            </w:pPr>
            <w:r w:rsidRPr="00C61837">
              <w:rPr>
                <w:rFonts w:cs="Arial"/>
                <w:szCs w:val="22"/>
                <w:lang w:val="es-ES_tradnl"/>
              </w:rPr>
              <w:t>Han pasado a ser numerales 15, 16, 17, 18, 19, 20 y 21, respectivamente, sin enmiendas.</w:t>
            </w:r>
          </w:p>
          <w:p w:rsidR="0045036E" w:rsidRPr="001C20E4" w:rsidRDefault="0045036E">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Artículo 92.- </w:t>
            </w:r>
            <w:r w:rsidRPr="001C20E4">
              <w:rPr>
                <w:rFonts w:cs="Arial"/>
                <w:szCs w:val="22"/>
                <w:u w:val="single"/>
                <w:lang w:val="es-CL" w:eastAsia="es-CL"/>
              </w:rPr>
              <w:t xml:space="preserve">La Superintendencia o la </w:t>
            </w:r>
            <w:r w:rsidRPr="001C20E4">
              <w:rPr>
                <w:rFonts w:cs="Arial"/>
                <w:szCs w:val="22"/>
                <w:u w:val="single"/>
                <w:lang w:val="es-CL" w:eastAsia="es-CL"/>
              </w:rPr>
              <w:br/>
              <w:t>Superintendencia de Bancos e Instituciones Financieras en los casos del artículo 94, previa consulta entre ellas y con la Superintendencia de Administradoras de Fondos de Pensiones</w:t>
            </w:r>
            <w:r w:rsidRPr="001C20E4">
              <w:rPr>
                <w:rFonts w:cs="Arial"/>
                <w:szCs w:val="22"/>
                <w:lang w:val="es-CL" w:eastAsia="es-CL"/>
              </w:rPr>
              <w:t xml:space="preserve">, determinará los procedimientos de clasificación, mediante la dictación de una norma de </w:t>
            </w:r>
            <w:r w:rsidRPr="001C20E4">
              <w:rPr>
                <w:rFonts w:cs="Arial"/>
                <w:szCs w:val="22"/>
                <w:lang w:val="es-CL" w:eastAsia="es-CL"/>
              </w:rPr>
              <w:br/>
              <w:t xml:space="preserve">carácter general. Las entidades clasificadoras deberán </w:t>
            </w:r>
            <w:r w:rsidRPr="001C20E4">
              <w:rPr>
                <w:rFonts w:cs="Arial"/>
                <w:szCs w:val="22"/>
                <w:lang w:val="es-CL" w:eastAsia="es-CL"/>
              </w:rPr>
              <w:br/>
              <w:t xml:space="preserve">ajustar sus procedimientos específicos de clasificación a dichos procedimientos generales, así como a las </w:t>
            </w:r>
            <w:r w:rsidRPr="001C20E4">
              <w:rPr>
                <w:rFonts w:cs="Arial"/>
                <w:szCs w:val="22"/>
                <w:lang w:val="es-CL" w:eastAsia="es-CL"/>
              </w:rPr>
              <w:br/>
              <w:t xml:space="preserve">instrucciones que imparta </w:t>
            </w:r>
            <w:r w:rsidRPr="004F744F">
              <w:rPr>
                <w:rFonts w:cs="Arial"/>
                <w:szCs w:val="22"/>
                <w:lang w:val="es-CL" w:eastAsia="es-CL"/>
              </w:rPr>
              <w:t xml:space="preserve">la </w:t>
            </w:r>
            <w:r w:rsidRPr="00B74912">
              <w:rPr>
                <w:rFonts w:cs="Arial"/>
                <w:szCs w:val="22"/>
                <w:u w:val="single"/>
                <w:lang w:val="es-CL" w:eastAsia="es-CL"/>
              </w:rPr>
              <w:t>respectiva Superintendencia</w:t>
            </w:r>
            <w:r w:rsidRPr="004F744F">
              <w:rPr>
                <w:rFonts w:cs="Arial"/>
                <w:szCs w:val="22"/>
                <w:lang w:val="es-CL" w:eastAsia="es-CL"/>
              </w:rPr>
              <w:t xml:space="preserve"> </w:t>
            </w:r>
            <w:r w:rsidRPr="001C20E4">
              <w:rPr>
                <w:rFonts w:cs="Arial"/>
                <w:szCs w:val="22"/>
                <w:lang w:val="es-CL" w:eastAsia="es-CL"/>
              </w:rPr>
              <w:t>para homogeneizarlos.</w:t>
            </w:r>
          </w:p>
          <w:p w:rsidR="0045036E"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F744F" w:rsidRPr="001C20E4" w:rsidRDefault="004F744F"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Default="0045036E"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Los procedimientos, métodos o criterios de clasificación y sus modificaciones serán acordados, antes de su aplicación, por la respectiva entidad clasificadora e informados a la Superintendencia </w:t>
            </w:r>
            <w:r w:rsidRPr="001C20E4">
              <w:rPr>
                <w:rFonts w:cs="Arial"/>
                <w:szCs w:val="22"/>
                <w:lang w:val="es-CL" w:eastAsia="es-CL"/>
              </w:rPr>
              <w:br/>
              <w:t xml:space="preserve">respectiva, mediante la individualización del documento en que ellos consten, al día siguiente hábil en que se </w:t>
            </w:r>
            <w:r w:rsidRPr="001C20E4">
              <w:rPr>
                <w:rFonts w:cs="Arial"/>
                <w:szCs w:val="22"/>
                <w:lang w:val="es-CL" w:eastAsia="es-CL"/>
              </w:rPr>
              <w:br/>
              <w:t>acuerden.</w:t>
            </w:r>
          </w:p>
          <w:p w:rsidR="00B74912" w:rsidRPr="001C20E4" w:rsidRDefault="00B74912" w:rsidP="0002054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rPr>
                <w:rFonts w:cs="Arial"/>
                <w:szCs w:val="22"/>
              </w:rPr>
            </w:pPr>
          </w:p>
        </w:tc>
        <w:tc>
          <w:tcPr>
            <w:tcW w:w="1665" w:type="pct"/>
          </w:tcPr>
          <w:p w:rsidR="004F744F" w:rsidRPr="004F744F" w:rsidRDefault="004F744F" w:rsidP="004F744F">
            <w:pPr>
              <w:contextualSpacing/>
              <w:rPr>
                <w:rFonts w:cs="Arial"/>
                <w:szCs w:val="22"/>
              </w:rPr>
            </w:pPr>
            <w:r w:rsidRPr="00B5715B">
              <w:rPr>
                <w:rFonts w:cs="Arial"/>
                <w:b/>
                <w:szCs w:val="22"/>
              </w:rPr>
              <w:t>14)</w:t>
            </w:r>
            <w:r w:rsidRPr="004F744F">
              <w:rPr>
                <w:rFonts w:cs="Arial"/>
                <w:szCs w:val="22"/>
              </w:rPr>
              <w:t xml:space="preserve"> Modifícase el inciso primero del artículo 92, de la siguiente manera:</w:t>
            </w:r>
          </w:p>
          <w:p w:rsidR="004F744F" w:rsidRPr="004F744F" w:rsidRDefault="004F744F" w:rsidP="004F744F">
            <w:pPr>
              <w:contextualSpacing/>
              <w:rPr>
                <w:rFonts w:cs="Arial"/>
                <w:szCs w:val="22"/>
              </w:rPr>
            </w:pPr>
          </w:p>
          <w:p w:rsidR="004F744F" w:rsidRDefault="004F744F" w:rsidP="004F744F">
            <w:pPr>
              <w:contextualSpacing/>
              <w:rPr>
                <w:rFonts w:cs="Arial"/>
                <w:szCs w:val="22"/>
              </w:rPr>
            </w:pPr>
            <w:r w:rsidRPr="004F744F">
              <w:rPr>
                <w:rFonts w:cs="Arial"/>
                <w:szCs w:val="22"/>
              </w:rPr>
              <w:t>a) Reemplázase la frase “La Superintendencia o la Superintendencia de Bancos e Instituciones Financieras en los casos del artículo 94, previa consulta entre ellas y con la Superintendencia de Administradoras de Fondos de Pensiones”, por la siguiente: “La Comisión, en los casos del artículo 94, previa consulta entre ella y la Superintendencia de Pensiones”.</w:t>
            </w:r>
          </w:p>
          <w:p w:rsidR="00B74912" w:rsidRDefault="00B74912" w:rsidP="004F744F">
            <w:pPr>
              <w:contextualSpacing/>
              <w:rPr>
                <w:rFonts w:cs="Arial"/>
                <w:szCs w:val="22"/>
              </w:rPr>
            </w:pPr>
          </w:p>
          <w:p w:rsidR="00B74912" w:rsidRDefault="00B74912" w:rsidP="004F744F">
            <w:pPr>
              <w:contextualSpacing/>
              <w:rPr>
                <w:rFonts w:cs="Arial"/>
                <w:szCs w:val="22"/>
              </w:rPr>
            </w:pPr>
          </w:p>
          <w:p w:rsidR="00B74912" w:rsidRPr="00B74912" w:rsidRDefault="00B74912" w:rsidP="00B74912">
            <w:pPr>
              <w:contextualSpacing/>
              <w:rPr>
                <w:rFonts w:cs="Arial"/>
                <w:szCs w:val="22"/>
              </w:rPr>
            </w:pPr>
            <w:r w:rsidRPr="00B74912">
              <w:rPr>
                <w:rFonts w:cs="Arial"/>
                <w:szCs w:val="22"/>
              </w:rPr>
              <w:t>b) Sustitúyese la expresión “la respectiva Superintendencia” por “la Comisión”.</w:t>
            </w:r>
          </w:p>
          <w:p w:rsidR="0045036E" w:rsidRPr="001C20E4" w:rsidRDefault="0045036E">
            <w:pPr>
              <w:contextualSpacing/>
              <w:rPr>
                <w:rFonts w:cs="Arial"/>
                <w:szCs w:val="22"/>
              </w:rPr>
            </w:pPr>
          </w:p>
        </w:tc>
        <w:tc>
          <w:tcPr>
            <w:tcW w:w="1674" w:type="pct"/>
          </w:tcPr>
          <w:p w:rsidR="00C61837" w:rsidRPr="00C61837" w:rsidRDefault="00C61837" w:rsidP="00C61837">
            <w:pPr>
              <w:contextualSpacing/>
              <w:jc w:val="center"/>
              <w:rPr>
                <w:rFonts w:cs="Arial"/>
                <w:b/>
                <w:szCs w:val="22"/>
                <w:u w:val="single"/>
                <w:lang w:val="es-ES_tradnl"/>
              </w:rPr>
            </w:pPr>
            <w:r w:rsidRPr="00C61837">
              <w:rPr>
                <w:rFonts w:cs="Arial"/>
                <w:b/>
                <w:szCs w:val="22"/>
                <w:u w:val="single"/>
                <w:lang w:val="es-ES_tradnl"/>
              </w:rPr>
              <w:t>Numerales 10, 11, 12, 13, 14, 15 y 16</w:t>
            </w:r>
          </w:p>
          <w:p w:rsidR="00C61837" w:rsidRPr="00C61837" w:rsidRDefault="00C61837" w:rsidP="00C61837">
            <w:pPr>
              <w:contextualSpacing/>
              <w:rPr>
                <w:rFonts w:cs="Arial"/>
                <w:b/>
                <w:szCs w:val="22"/>
                <w:u w:val="single"/>
                <w:lang w:val="es-ES_tradnl"/>
              </w:rPr>
            </w:pPr>
          </w:p>
          <w:p w:rsidR="00C61837" w:rsidRPr="00C61837" w:rsidRDefault="00C61837" w:rsidP="00C61837">
            <w:pPr>
              <w:contextualSpacing/>
              <w:rPr>
                <w:rFonts w:cs="Arial"/>
                <w:szCs w:val="22"/>
                <w:lang w:val="es-ES_tradnl"/>
              </w:rPr>
            </w:pPr>
            <w:r w:rsidRPr="00C61837">
              <w:rPr>
                <w:rFonts w:cs="Arial"/>
                <w:szCs w:val="22"/>
                <w:lang w:val="es-ES_tradnl"/>
              </w:rPr>
              <w:t>Han pasado a ser numerales 15, 16, 17, 18, 19, 20 y 21, respectivamente, sin enmiendas.</w:t>
            </w:r>
          </w:p>
          <w:p w:rsidR="0045036E" w:rsidRPr="001C20E4" w:rsidRDefault="0045036E" w:rsidP="003F7892">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rsidP="00E40F6F">
            <w:pPr>
              <w:tabs>
                <w:tab w:val="left" w:pos="0"/>
              </w:tabs>
              <w:rPr>
                <w:rFonts w:cs="Arial"/>
                <w:szCs w:val="22"/>
              </w:rPr>
            </w:pPr>
          </w:p>
          <w:p w:rsidR="0045036E" w:rsidRPr="001C20E4" w:rsidRDefault="0045036E" w:rsidP="00E40F6F">
            <w:pPr>
              <w:tabs>
                <w:tab w:val="left" w:pos="0"/>
              </w:tabs>
              <w:rPr>
                <w:rFonts w:cs="Arial"/>
              </w:rPr>
            </w:pPr>
            <w:r w:rsidRPr="001C20E4">
              <w:rPr>
                <w:rFonts w:cs="Arial"/>
                <w:szCs w:val="22"/>
              </w:rPr>
              <w:t xml:space="preserve">Artículo 95.- Para los efectos de este Título, una misma sociedad, cumpliendo los requisitos pertinentes, podrá inscribirse en </w:t>
            </w:r>
            <w:r w:rsidRPr="001C20E4">
              <w:rPr>
                <w:rFonts w:cs="Arial"/>
                <w:szCs w:val="22"/>
                <w:u w:val="single"/>
              </w:rPr>
              <w:t>la Superintendencia de Valores y Seguros y en la Superintendencia de Bancos e Instituciones Financieras</w:t>
            </w:r>
            <w:r w:rsidRPr="001C20E4">
              <w:rPr>
                <w:rFonts w:cs="Arial"/>
                <w:szCs w:val="22"/>
              </w:rPr>
              <w:t>.</w:t>
            </w:r>
          </w:p>
          <w:p w:rsidR="0045036E" w:rsidRPr="001C20E4" w:rsidRDefault="0045036E" w:rsidP="005D6CC1">
            <w:pPr>
              <w:widowControl w:val="0"/>
              <w:tabs>
                <w:tab w:val="clear" w:pos="2835"/>
              </w:tabs>
              <w:autoSpaceDE w:val="0"/>
              <w:autoSpaceDN w:val="0"/>
              <w:adjustRightInd w:val="0"/>
              <w:rPr>
                <w:rFonts w:eastAsiaTheme="minorEastAsia" w:cs="Arial"/>
                <w:szCs w:val="22"/>
                <w:lang w:eastAsia="es-CL"/>
              </w:rPr>
            </w:pPr>
          </w:p>
        </w:tc>
        <w:tc>
          <w:tcPr>
            <w:tcW w:w="1665" w:type="pct"/>
          </w:tcPr>
          <w:p w:rsidR="00C24CAD" w:rsidRDefault="00C24CAD" w:rsidP="00C24CAD">
            <w:pPr>
              <w:contextualSpacing/>
              <w:rPr>
                <w:rFonts w:cs="Arial"/>
                <w:szCs w:val="22"/>
              </w:rPr>
            </w:pPr>
          </w:p>
          <w:p w:rsidR="00C24CAD" w:rsidRPr="00C24CAD" w:rsidRDefault="00C24CAD" w:rsidP="00C24CAD">
            <w:pPr>
              <w:contextualSpacing/>
              <w:rPr>
                <w:rFonts w:cs="Arial"/>
                <w:szCs w:val="22"/>
              </w:rPr>
            </w:pPr>
            <w:r w:rsidRPr="00B5715B">
              <w:rPr>
                <w:rFonts w:cs="Arial"/>
                <w:b/>
                <w:szCs w:val="22"/>
              </w:rPr>
              <w:t>15)</w:t>
            </w:r>
            <w:r w:rsidRPr="00C24CAD">
              <w:rPr>
                <w:rFonts w:cs="Arial"/>
                <w:szCs w:val="22"/>
              </w:rPr>
              <w:t xml:space="preserve"> Reemplázase, en el artículo 95, la frase “la Superintendencia de Valores y Seguros y en la Superintendencia de Bancos e Instituciones Financieras”, por la siguiente: “los registros que lleve la Comisión, tanto para efectos del decreto con fuerza de ley N° 3, del Ministerio de Hacienda, de 1997, que fija el texto refundido, sistematizado y concordado de la Ley General de Bancos y de otros cuerpos legales que se indican, como para los demás que correspondan conforme a otras leyes”.</w:t>
            </w:r>
          </w:p>
          <w:p w:rsidR="0045036E" w:rsidRPr="001C20E4" w:rsidRDefault="0045036E">
            <w:pPr>
              <w:contextualSpacing/>
              <w:rPr>
                <w:rFonts w:cs="Arial"/>
                <w:szCs w:val="22"/>
              </w:rPr>
            </w:pPr>
          </w:p>
        </w:tc>
        <w:tc>
          <w:tcPr>
            <w:tcW w:w="1674" w:type="pct"/>
          </w:tcPr>
          <w:p w:rsidR="00802805" w:rsidRPr="00802805" w:rsidRDefault="00802805" w:rsidP="00802805">
            <w:pPr>
              <w:tabs>
                <w:tab w:val="clear" w:pos="2835"/>
              </w:tabs>
              <w:jc w:val="center"/>
              <w:rPr>
                <w:rFonts w:cs="Arial"/>
                <w:b/>
                <w:szCs w:val="22"/>
                <w:u w:val="single"/>
                <w:lang w:val="es-ES_tradnl"/>
              </w:rPr>
            </w:pPr>
            <w:r w:rsidRPr="00802805">
              <w:rPr>
                <w:rFonts w:cs="Arial"/>
                <w:b/>
                <w:szCs w:val="22"/>
                <w:u w:val="single"/>
                <w:lang w:val="es-ES_tradnl"/>
              </w:rPr>
              <w:t>Numerales 10, 11, 12, 13, 14, 15 y 16</w:t>
            </w:r>
          </w:p>
          <w:p w:rsidR="00802805" w:rsidRPr="00802805" w:rsidRDefault="00802805" w:rsidP="00802805">
            <w:pPr>
              <w:tabs>
                <w:tab w:val="clear" w:pos="2835"/>
              </w:tabs>
              <w:rPr>
                <w:rFonts w:cs="Arial"/>
                <w:b/>
                <w:szCs w:val="22"/>
                <w:u w:val="single"/>
                <w:lang w:val="es-ES_tradnl"/>
              </w:rPr>
            </w:pPr>
          </w:p>
          <w:p w:rsidR="00802805" w:rsidRPr="00802805" w:rsidRDefault="00802805" w:rsidP="00802805">
            <w:pPr>
              <w:tabs>
                <w:tab w:val="clear" w:pos="2835"/>
              </w:tabs>
              <w:rPr>
                <w:rFonts w:cs="Arial"/>
                <w:szCs w:val="22"/>
                <w:lang w:val="es-ES_tradnl"/>
              </w:rPr>
            </w:pPr>
            <w:r w:rsidRPr="00802805">
              <w:rPr>
                <w:rFonts w:cs="Arial"/>
                <w:szCs w:val="22"/>
                <w:lang w:val="es-ES_tradnl"/>
              </w:rPr>
              <w:t>Han pasado a ser numerales 15, 16, 17, 18, 19, 20 y 21, respectivamente, sin enmiendas.</w:t>
            </w:r>
          </w:p>
          <w:p w:rsidR="0045036E" w:rsidRPr="001C20E4" w:rsidRDefault="0045036E" w:rsidP="00457A44">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240. Las empresas de auditoría externa quedarán sometidas a la fiscalización de la Superintendencia en lo referido a los servicios de auditoría externa, los que sólo podrán prestar previa inscripción en el Registro y mientras se encuentren inscritas en él.</w:t>
            </w: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 </w:t>
            </w:r>
            <w:r w:rsidRPr="00CE7069">
              <w:rPr>
                <w:rFonts w:eastAsiaTheme="minorEastAsia" w:cs="Arial"/>
                <w:szCs w:val="22"/>
                <w:lang w:val="es-ES_tradnl" w:eastAsia="es-CL"/>
              </w:rPr>
              <w:t>Superintendencia d</w:t>
            </w:r>
            <w:r w:rsidRPr="001C20E4">
              <w:rPr>
                <w:rFonts w:eastAsiaTheme="minorEastAsia" w:cs="Arial"/>
                <w:szCs w:val="22"/>
                <w:lang w:val="es-ES_tradnl" w:eastAsia="es-CL"/>
              </w:rPr>
              <w:t>eberá efectuar la inscripción en el Registro una vez que la empresa de auditoría externa acredite el cumplimiento de los requisitos legales y de reglamentación interna.</w:t>
            </w: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Las empresas de auditoría externa, al solicitar su inscripción en el Registro, deberán acompañar copia de su reglamento interno, en el que se establecerán, a lo menos, las siguientes materias relativas a la actividad de la empresa: (i) las normas de procedimiento, control y análisis de auditoría; (ii) las normas de confidencialidad, manejo de información privilegiada o reservada y la solución de conflictos de intereses, y (iii) las normas de independencia de juicio e idoneidad técnica del personal encargado de la dirección y ejecución de la auditoría externa. La </w:t>
            </w:r>
            <w:r w:rsidRPr="00CE7069">
              <w:rPr>
                <w:rFonts w:eastAsiaTheme="minorEastAsia" w:cs="Arial"/>
                <w:szCs w:val="22"/>
                <w:lang w:val="es-ES_tradnl" w:eastAsia="es-CL"/>
              </w:rPr>
              <w:t>Superintendencia</w:t>
            </w:r>
            <w:r w:rsidRPr="001C20E4">
              <w:rPr>
                <w:rFonts w:eastAsiaTheme="minorEastAsia" w:cs="Arial"/>
                <w:szCs w:val="22"/>
                <w:lang w:val="es-ES_tradnl" w:eastAsia="es-CL"/>
              </w:rPr>
              <w:t>, mediante norma de carácter general, podrá regular los contenidos esenciales de dichas normas, los estándares mínimos de idoneidad técnica y sus formas de acreditación.</w:t>
            </w:r>
          </w:p>
          <w:p w:rsidR="0045036E"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AE398C" w:rsidRDefault="00AE398C" w:rsidP="005D6CC1">
            <w:pPr>
              <w:widowControl w:val="0"/>
              <w:tabs>
                <w:tab w:val="clear" w:pos="2835"/>
              </w:tabs>
              <w:autoSpaceDE w:val="0"/>
              <w:autoSpaceDN w:val="0"/>
              <w:adjustRightInd w:val="0"/>
              <w:rPr>
                <w:rFonts w:eastAsiaTheme="minorEastAsia" w:cs="Arial"/>
                <w:szCs w:val="22"/>
                <w:lang w:val="es-ES_tradnl" w:eastAsia="es-CL"/>
              </w:rPr>
            </w:pPr>
          </w:p>
          <w:p w:rsidR="00AE398C" w:rsidRPr="001C20E4" w:rsidRDefault="00AE398C" w:rsidP="005D6CC1">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 inscripción a que se refieren los incisos anteriores podrá ser cancelada cuando la </w:t>
            </w:r>
            <w:r w:rsidRPr="00CE7069">
              <w:rPr>
                <w:rFonts w:eastAsiaTheme="minorEastAsia" w:cs="Arial"/>
                <w:szCs w:val="22"/>
                <w:lang w:val="es-ES_tradnl" w:eastAsia="es-CL"/>
              </w:rPr>
              <w:t xml:space="preserve">Superintendencia </w:t>
            </w:r>
            <w:r w:rsidRPr="001C20E4">
              <w:rPr>
                <w:rFonts w:eastAsiaTheme="minorEastAsia" w:cs="Arial"/>
                <w:szCs w:val="22"/>
                <w:lang w:val="es-ES_tradnl" w:eastAsia="es-CL"/>
              </w:rPr>
              <w:t>así lo resuelva, mediante resolución fundada y previa audiencia de la empresa de auditoría externa afectada, por haber incurrido ésta en algunas de las siguientes situaciones:</w:t>
            </w:r>
          </w:p>
          <w:p w:rsidR="00CE7069" w:rsidRPr="001C20E4" w:rsidRDefault="00CE7069"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 Dejar de cumplir con alguno de los requisitos necesarios para la inscripción. La Superintendencia, en casos calificados, podrá otorgar al interesado un plazo para subsanar el incumplimiento, el que en ningún caso podrá exceder de 120 días.</w:t>
            </w: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b) Dejar de desempeñar la función de auditoría externa, en los términos señalados en el artículo 239 de esta ley, por más de un año.</w:t>
            </w: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c) Encontrarse un socio en alguna de las situaciones señaladas en el artículo 241 y mantenerse en ella por más de noventa días.</w:t>
            </w: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Además, dicha inscripción podrá ser cancelada o suspendida hasta por el plazo de un año en la misma forma señalada en el inciso anterior, cuando las empresas de auditoría externa sean responsables de:</w:t>
            </w: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 Incurrir en infracciones graves o reiteradas a las obligaciones o prohibiciones que le imponen esta ley, sus normas complementarias u otras disposiciones que los rijan.</w:t>
            </w:r>
          </w:p>
          <w:p w:rsidR="0045036E" w:rsidRPr="001C20E4" w:rsidRDefault="0045036E" w:rsidP="005D6CC1">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343CB">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b) Realizar transacciones incompatibles con las sanas prácticas de los mercados de valores.</w:t>
            </w:r>
          </w:p>
          <w:p w:rsidR="0045036E" w:rsidRPr="001C20E4" w:rsidRDefault="0045036E" w:rsidP="001343CB">
            <w:pPr>
              <w:widowControl w:val="0"/>
              <w:tabs>
                <w:tab w:val="clear" w:pos="2835"/>
              </w:tabs>
              <w:autoSpaceDE w:val="0"/>
              <w:autoSpaceDN w:val="0"/>
              <w:adjustRightInd w:val="0"/>
              <w:rPr>
                <w:rFonts w:cs="Arial"/>
                <w:szCs w:val="22"/>
                <w:lang w:val="es-ES_tradnl"/>
              </w:rPr>
            </w:pPr>
          </w:p>
        </w:tc>
        <w:tc>
          <w:tcPr>
            <w:tcW w:w="1665" w:type="pct"/>
          </w:tcPr>
          <w:p w:rsidR="0045036E" w:rsidRPr="001C20E4" w:rsidRDefault="0045036E">
            <w:pPr>
              <w:contextualSpacing/>
              <w:rPr>
                <w:rFonts w:cs="Arial"/>
                <w:szCs w:val="22"/>
              </w:rPr>
            </w:pPr>
          </w:p>
        </w:tc>
        <w:tc>
          <w:tcPr>
            <w:tcW w:w="1674" w:type="pct"/>
          </w:tcPr>
          <w:p w:rsidR="0045036E" w:rsidRPr="001C20E4" w:rsidRDefault="0045036E" w:rsidP="00457A44">
            <w:pPr>
              <w:tabs>
                <w:tab w:val="clear" w:pos="2835"/>
              </w:tabs>
              <w:rPr>
                <w:rFonts w:cs="Arial"/>
                <w:szCs w:val="22"/>
              </w:rPr>
            </w:pPr>
          </w:p>
        </w:tc>
      </w:tr>
      <w:tr w:rsidR="00096CE0" w:rsidRPr="001C20E4" w:rsidTr="00096CE0">
        <w:trPr>
          <w:trHeight w:val="315"/>
          <w:jc w:val="center"/>
        </w:trPr>
        <w:tc>
          <w:tcPr>
            <w:tcW w:w="1661" w:type="pct"/>
          </w:tcPr>
          <w:p w:rsidR="0045036E"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CE7069" w:rsidRDefault="00CE7069"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CE7069" w:rsidRPr="001C20E4" w:rsidRDefault="00CE7069"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Artículo 241. No podrán ser socios de una empresa de auditoría: </w:t>
            </w: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a) Quienes sean funcionarios o trabajadores bajo contrato de trabajo o a honorarios del Banco Central de Chile, </w:t>
            </w:r>
            <w:r w:rsidRPr="001C20E4">
              <w:rPr>
                <w:rFonts w:cs="Arial"/>
                <w:szCs w:val="22"/>
                <w:u w:val="single"/>
                <w:lang w:val="es-CL" w:eastAsia="es-CL"/>
              </w:rPr>
              <w:t>de la Superintendencia y de las Superintendencias de Bancos e Instituciones Financieras y de Pensiones</w:t>
            </w:r>
            <w:r w:rsidRPr="001C20E4">
              <w:rPr>
                <w:rFonts w:cs="Arial"/>
                <w:szCs w:val="22"/>
                <w:lang w:val="es-CL" w:eastAsia="es-CL"/>
              </w:rPr>
              <w:t>, así como quienes se encuentren afectos a las inhabilidades y prohibiciones establecidas en los artículos 35 y 36 de la ley Nº 18.046, exceptuando las labores docentes o académicas que puedan quedar incluidas en el N° 4 del citado artículo 35.</w:t>
            </w: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b) Quien haya sido sancionado grave o reiteradamente por la </w:t>
            </w:r>
            <w:r w:rsidRPr="001C20E4">
              <w:rPr>
                <w:rFonts w:cs="Arial"/>
                <w:szCs w:val="22"/>
                <w:u w:val="single"/>
                <w:lang w:val="es-CL" w:eastAsia="es-CL"/>
              </w:rPr>
              <w:t>Superintendencia</w:t>
            </w:r>
            <w:r w:rsidRPr="001C20E4">
              <w:rPr>
                <w:rFonts w:cs="Arial"/>
                <w:szCs w:val="22"/>
                <w:lang w:val="es-CL" w:eastAsia="es-CL"/>
              </w:rPr>
              <w:t xml:space="preserve"> de conformidad al decreto ley Nº 3.538, de 1980, o al decreto con fuerza de ley Nº 251, del año 1931, del Ministerio de Hacienda; o condenado de conformidad a los artículos 59 a 61 de esta ley o al artículo 134 de la ley Nº 18.046;</w:t>
            </w:r>
          </w:p>
          <w:p w:rsidR="0045036E"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E543D9" w:rsidRPr="001C20E4" w:rsidRDefault="00E543D9"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c) Quien haya sido sancionado grave o reiteradamente por la </w:t>
            </w:r>
            <w:r w:rsidRPr="001C20E4">
              <w:rPr>
                <w:rFonts w:cs="Arial"/>
                <w:szCs w:val="22"/>
                <w:u w:val="single"/>
                <w:lang w:val="es-CL" w:eastAsia="es-CL"/>
              </w:rPr>
              <w:t>Superintendencia de Bancos e Instituciones Financieras</w:t>
            </w:r>
            <w:r w:rsidRPr="001C20E4">
              <w:rPr>
                <w:rFonts w:cs="Arial"/>
                <w:szCs w:val="22"/>
                <w:lang w:val="es-CL" w:eastAsia="es-CL"/>
              </w:rPr>
              <w:t xml:space="preserve"> o por la Superintendencia de Pensiones.</w:t>
            </w: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d) Quien, al tiempo de ejecutarse los hechos, fuera controlador o administrador de una persona jurídica sancionada de conformidad a las normas citadas en las letras b) y c) precedentes.</w:t>
            </w:r>
          </w:p>
          <w:p w:rsidR="0045036E" w:rsidRPr="001C20E4" w:rsidRDefault="0045036E" w:rsidP="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B5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1C20E4">
              <w:rPr>
                <w:rFonts w:cs="Arial"/>
                <w:szCs w:val="22"/>
                <w:lang w:val="es-CL" w:eastAsia="es-CL"/>
              </w:rPr>
              <w:t>e) Los administradores de bancos e instituciones financieras, bolsas de valores, intermediarios de valores o de cualquier inversionista institucional y las personas que, directamente o a través de otras personas naturales o jurídicas, posean el 5% o más de su capital.</w:t>
            </w:r>
          </w:p>
        </w:tc>
        <w:tc>
          <w:tcPr>
            <w:tcW w:w="1665" w:type="pct"/>
          </w:tcPr>
          <w:p w:rsidR="00CE7069" w:rsidRPr="00CE7069" w:rsidRDefault="00CE7069" w:rsidP="00CE7069">
            <w:pPr>
              <w:contextualSpacing/>
              <w:rPr>
                <w:rFonts w:cs="Arial"/>
                <w:szCs w:val="22"/>
              </w:rPr>
            </w:pPr>
            <w:r w:rsidRPr="00B5715B">
              <w:rPr>
                <w:rFonts w:cs="Arial"/>
                <w:b/>
                <w:szCs w:val="22"/>
              </w:rPr>
              <w:t>16)</w:t>
            </w:r>
            <w:r w:rsidRPr="00CE7069">
              <w:rPr>
                <w:rFonts w:cs="Arial"/>
                <w:szCs w:val="22"/>
              </w:rPr>
              <w:t xml:space="preserve"> Modifícase el artículo 241, como sigue:</w:t>
            </w: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Pr="00CE7069" w:rsidRDefault="00CE7069" w:rsidP="00CE7069">
            <w:pPr>
              <w:contextualSpacing/>
              <w:rPr>
                <w:rFonts w:cs="Arial"/>
                <w:szCs w:val="22"/>
              </w:rPr>
            </w:pPr>
          </w:p>
          <w:p w:rsidR="00CE7069" w:rsidRPr="00CE7069" w:rsidRDefault="00CE7069" w:rsidP="00CE7069">
            <w:pPr>
              <w:contextualSpacing/>
              <w:rPr>
                <w:rFonts w:cs="Arial"/>
                <w:szCs w:val="22"/>
              </w:rPr>
            </w:pPr>
            <w:r w:rsidRPr="00CE7069">
              <w:rPr>
                <w:rFonts w:cs="Arial"/>
                <w:szCs w:val="22"/>
              </w:rPr>
              <w:t>a) Reemplázase, en su letra a), la frase “de la Superintendencia y de las Superintendencias de Bancos e Instituciones Financieras y de Pensiones”, por lo siguiente: “de la Comisión y de la Superintendencia de Pensiones”.</w:t>
            </w: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Pr="00CE7069" w:rsidRDefault="00CE7069" w:rsidP="00CE7069">
            <w:pPr>
              <w:contextualSpacing/>
              <w:rPr>
                <w:rFonts w:cs="Arial"/>
                <w:szCs w:val="22"/>
              </w:rPr>
            </w:pPr>
          </w:p>
          <w:p w:rsidR="00CE7069" w:rsidRPr="00CE7069" w:rsidRDefault="00CE7069" w:rsidP="00CE7069">
            <w:pPr>
              <w:contextualSpacing/>
              <w:rPr>
                <w:rFonts w:cs="Arial"/>
                <w:szCs w:val="22"/>
              </w:rPr>
            </w:pPr>
            <w:r w:rsidRPr="00CE7069">
              <w:rPr>
                <w:rFonts w:cs="Arial"/>
                <w:szCs w:val="22"/>
              </w:rPr>
              <w:t>b) Sustitúyese, en su letra b), la palabra “Superintendencia” por “Comisión”.</w:t>
            </w:r>
          </w:p>
          <w:p w:rsidR="00CE7069" w:rsidRDefault="00CE7069" w:rsidP="00CE7069">
            <w:pPr>
              <w:contextualSpacing/>
              <w:rPr>
                <w:rFonts w:cs="Arial"/>
                <w:szCs w:val="22"/>
              </w:rPr>
            </w:pPr>
          </w:p>
          <w:p w:rsidR="00CE7069" w:rsidRDefault="00CE7069" w:rsidP="00CE7069">
            <w:pPr>
              <w:contextualSpacing/>
              <w:rPr>
                <w:rFonts w:cs="Arial"/>
                <w:szCs w:val="22"/>
              </w:rPr>
            </w:pPr>
          </w:p>
          <w:p w:rsidR="00CE7069" w:rsidRDefault="00CE7069" w:rsidP="00CE7069">
            <w:pPr>
              <w:contextualSpacing/>
              <w:rPr>
                <w:rFonts w:cs="Arial"/>
                <w:szCs w:val="22"/>
              </w:rPr>
            </w:pPr>
          </w:p>
          <w:p w:rsidR="00E543D9" w:rsidRDefault="00E543D9" w:rsidP="00CE7069">
            <w:pPr>
              <w:contextualSpacing/>
              <w:rPr>
                <w:rFonts w:cs="Arial"/>
                <w:szCs w:val="22"/>
              </w:rPr>
            </w:pPr>
          </w:p>
          <w:p w:rsidR="00CE7069" w:rsidRDefault="00CE7069" w:rsidP="00CE7069">
            <w:pPr>
              <w:contextualSpacing/>
              <w:rPr>
                <w:rFonts w:cs="Arial"/>
                <w:szCs w:val="22"/>
              </w:rPr>
            </w:pPr>
          </w:p>
          <w:p w:rsidR="00725E5B" w:rsidRDefault="00725E5B" w:rsidP="00CE7069">
            <w:pPr>
              <w:contextualSpacing/>
              <w:rPr>
                <w:rFonts w:cs="Arial"/>
                <w:szCs w:val="22"/>
              </w:rPr>
            </w:pPr>
          </w:p>
          <w:p w:rsidR="00CE7069" w:rsidRPr="00CE7069" w:rsidRDefault="00CE7069" w:rsidP="00CE7069">
            <w:pPr>
              <w:contextualSpacing/>
              <w:rPr>
                <w:rFonts w:cs="Arial"/>
                <w:szCs w:val="22"/>
              </w:rPr>
            </w:pPr>
            <w:r w:rsidRPr="00CE7069">
              <w:rPr>
                <w:rFonts w:cs="Arial"/>
                <w:szCs w:val="22"/>
              </w:rPr>
              <w:t>c) Reemplázase, en su letra c), la expresión “Superintendencia de Bancos e Instituciones Financieras”, por la frase “Comisión, por infracciones al decreto con fuerza de ley N° 3, del Ministerio de Hacienda, de 1997, que fija el texto refundido, sistematizado y concordado de la Ley General de Bancos y de otros cuerpos legales que se indican,”.</w:t>
            </w:r>
          </w:p>
          <w:p w:rsidR="00CE7069" w:rsidRPr="00CE7069" w:rsidRDefault="00CE7069" w:rsidP="00CE7069">
            <w:pPr>
              <w:contextualSpacing/>
              <w:rPr>
                <w:rFonts w:cs="Arial"/>
                <w:szCs w:val="22"/>
              </w:rPr>
            </w:pPr>
          </w:p>
          <w:p w:rsidR="0045036E" w:rsidRPr="001C20E4" w:rsidRDefault="0045036E">
            <w:pPr>
              <w:contextualSpacing/>
              <w:rPr>
                <w:rFonts w:cs="Arial"/>
                <w:szCs w:val="22"/>
              </w:rPr>
            </w:pPr>
          </w:p>
        </w:tc>
        <w:tc>
          <w:tcPr>
            <w:tcW w:w="1674" w:type="pct"/>
          </w:tcPr>
          <w:p w:rsidR="00802805" w:rsidRPr="00802805" w:rsidRDefault="00802805" w:rsidP="00802805">
            <w:pPr>
              <w:tabs>
                <w:tab w:val="clear" w:pos="2835"/>
              </w:tabs>
              <w:jc w:val="center"/>
              <w:rPr>
                <w:rFonts w:cs="Arial"/>
                <w:b/>
                <w:szCs w:val="22"/>
                <w:u w:val="single"/>
                <w:lang w:val="es-ES_tradnl"/>
              </w:rPr>
            </w:pPr>
            <w:r w:rsidRPr="00802805">
              <w:rPr>
                <w:rFonts w:cs="Arial"/>
                <w:b/>
                <w:szCs w:val="22"/>
                <w:u w:val="single"/>
                <w:lang w:val="es-ES_tradnl"/>
              </w:rPr>
              <w:t>Numerales 10, 11, 12, 13, 14, 15 y 16</w:t>
            </w:r>
          </w:p>
          <w:p w:rsidR="00802805" w:rsidRPr="00802805" w:rsidRDefault="00802805" w:rsidP="00802805">
            <w:pPr>
              <w:tabs>
                <w:tab w:val="clear" w:pos="2835"/>
              </w:tabs>
              <w:rPr>
                <w:rFonts w:cs="Arial"/>
                <w:b/>
                <w:szCs w:val="22"/>
                <w:u w:val="single"/>
                <w:lang w:val="es-ES_tradnl"/>
              </w:rPr>
            </w:pPr>
          </w:p>
          <w:p w:rsidR="00802805" w:rsidRPr="00802805" w:rsidRDefault="00802805" w:rsidP="00802805">
            <w:pPr>
              <w:tabs>
                <w:tab w:val="clear" w:pos="2835"/>
              </w:tabs>
              <w:rPr>
                <w:rFonts w:cs="Arial"/>
                <w:szCs w:val="22"/>
                <w:lang w:val="es-ES_tradnl"/>
              </w:rPr>
            </w:pPr>
            <w:r w:rsidRPr="00802805">
              <w:rPr>
                <w:rFonts w:cs="Arial"/>
                <w:szCs w:val="22"/>
                <w:lang w:val="es-ES_tradnl"/>
              </w:rPr>
              <w:t>Han pasado a ser numerales 15, 16, 17, 18, 19, 20 y 21, respectivamente, sin enmiendas.</w:t>
            </w:r>
          </w:p>
          <w:p w:rsidR="0045036E" w:rsidRPr="001C20E4" w:rsidRDefault="0045036E" w:rsidP="00EF63C2">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 xml:space="preserve">Artículo 246.- A las empresas de auditoría externa les corresponde especialmente examinar y expresar su opinión profesional e independiente sobre la contabilidad, inventario, balance </w:t>
            </w:r>
            <w:r w:rsidRPr="00725E5B">
              <w:rPr>
                <w:rFonts w:cs="Arial"/>
                <w:szCs w:val="22"/>
              </w:rPr>
              <w:t>y otros estados financieros conforme a las Normas de Auditoría de General Aceptación y las instrucciones</w:t>
            </w:r>
            <w:r w:rsidRPr="001C20E4">
              <w:rPr>
                <w:rFonts w:cs="Arial"/>
                <w:szCs w:val="22"/>
              </w:rPr>
              <w:t xml:space="preserve"> que imparta la Superintendencia, en su caso. Adicionalmente a lo señalado en el artículo 239, las empresas de auditoría externa deberán:</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a) Señalar a la administración de la entidad auditada y al comité de directores, en su caso, las deficiencias que se detecten dentro del desarrollo de la auditoría externa en la adopción y mantenimiento de prácticas contables, sistemas administrativos y de auditoría interna, identificar las discrepancias entre los criterios contables aplicados en los estados financieros y los criterios relevantes aplicados generalmente en la industria en que dicha entidad desarrolla su actividad, así como, en el cumplimiento de las obligaciones tributarias de la sociedad y la de sus filiales incluidas en la respectiva auditoría.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b) Comunicar a los organismos supervisores pertinentes cualquier deficiencia grave a que se refiere el literal anterior y que, a juicio de la empresa auditora, no haya sido solucionada oportunamente por la administración de la entidad auditada, en cuanto pueda afectar la adecuada presentación de la posición financiera o de los resultados de las operaciones de la entidad auditada.</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c) Informar a la entidad auditada, dentro de los dos primeros meses de cada año, si los ingresos obtenidos de ella, por sí sola o junto a las demás entidades del grupo al que ella pertenece, cualquiera sea el concepto por el cual se hayan recibido tales ingresos, e incluyendo en dicho cálculo aquellos obtenidos a través de sus filiales y matriz, superan el 15% del total de ingresos operacionales de la empresa de auditoría externa correspondientes al año anterior. En el caso de las sociedades anónimas abiertas, tras dicho aviso, los servicios de auditoría externa sólo podrán ser renovados por la junta ordinaria de accionistas por dos tercios de las acciones con derecho a voto y así en todos los ejercicios siguientes, mientras los ingresos de la empresa de auditoría externa superen el porcentaje indicado.</w:t>
            </w:r>
          </w:p>
          <w:p w:rsidR="0045036E" w:rsidRDefault="0045036E">
            <w:pPr>
              <w:jc w:val="center"/>
              <w:rPr>
                <w:rFonts w:cs="Arial"/>
                <w:szCs w:val="22"/>
              </w:rPr>
            </w:pPr>
          </w:p>
          <w:p w:rsidR="00AE398C" w:rsidRDefault="00AE398C">
            <w:pPr>
              <w:jc w:val="center"/>
              <w:rPr>
                <w:rFonts w:cs="Arial"/>
                <w:szCs w:val="22"/>
              </w:rPr>
            </w:pPr>
          </w:p>
          <w:p w:rsidR="00AE398C" w:rsidRDefault="00AE398C">
            <w:pPr>
              <w:jc w:val="center"/>
              <w:rPr>
                <w:rFonts w:cs="Arial"/>
                <w:szCs w:val="22"/>
              </w:rPr>
            </w:pPr>
          </w:p>
          <w:p w:rsidR="00AE398C" w:rsidRDefault="00AE398C">
            <w:pPr>
              <w:jc w:val="center"/>
              <w:rPr>
                <w:rFonts w:cs="Arial"/>
                <w:szCs w:val="22"/>
              </w:rPr>
            </w:pPr>
          </w:p>
          <w:p w:rsidR="00AE398C" w:rsidRDefault="00AE398C">
            <w:pPr>
              <w:jc w:val="center"/>
              <w:rPr>
                <w:rFonts w:cs="Arial"/>
                <w:szCs w:val="22"/>
              </w:rPr>
            </w:pPr>
          </w:p>
          <w:p w:rsidR="00AE398C" w:rsidRDefault="00AE398C">
            <w:pPr>
              <w:jc w:val="center"/>
              <w:rPr>
                <w:rFonts w:cs="Arial"/>
                <w:szCs w:val="22"/>
              </w:rPr>
            </w:pPr>
          </w:p>
          <w:p w:rsidR="00AE398C" w:rsidRDefault="00AE398C">
            <w:pPr>
              <w:jc w:val="center"/>
              <w:rPr>
                <w:rFonts w:cs="Arial"/>
                <w:szCs w:val="22"/>
              </w:rPr>
            </w:pPr>
          </w:p>
          <w:p w:rsidR="00AE398C" w:rsidRDefault="00AE398C">
            <w:pPr>
              <w:jc w:val="center"/>
              <w:rPr>
                <w:rFonts w:cs="Arial"/>
                <w:szCs w:val="22"/>
              </w:rPr>
            </w:pPr>
          </w:p>
          <w:p w:rsidR="00982CAB" w:rsidRPr="001C20E4" w:rsidRDefault="00982CAB">
            <w:pPr>
              <w:jc w:val="center"/>
              <w:rPr>
                <w:rFonts w:cs="Arial"/>
                <w:szCs w:val="22"/>
              </w:rPr>
            </w:pPr>
          </w:p>
        </w:tc>
        <w:tc>
          <w:tcPr>
            <w:tcW w:w="1665" w:type="pct"/>
          </w:tcPr>
          <w:p w:rsidR="0045036E" w:rsidRPr="001C20E4" w:rsidRDefault="0045036E">
            <w:pPr>
              <w:contextualSpacing/>
              <w:rPr>
                <w:rFonts w:cs="Arial"/>
                <w:szCs w:val="22"/>
              </w:rPr>
            </w:pPr>
          </w:p>
        </w:tc>
        <w:tc>
          <w:tcPr>
            <w:tcW w:w="1674" w:type="pct"/>
          </w:tcPr>
          <w:p w:rsidR="0045036E" w:rsidRPr="001C20E4" w:rsidRDefault="0045036E" w:rsidP="00EF63C2">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rsidP="00DB2D60">
            <w:pPr>
              <w:jc w:val="center"/>
              <w:rPr>
                <w:rFonts w:cs="Arial"/>
                <w:b/>
                <w:bCs/>
                <w:szCs w:val="22"/>
                <w:lang w:val="es-ES_tradnl"/>
              </w:rPr>
            </w:pPr>
          </w:p>
          <w:p w:rsidR="0045036E" w:rsidRPr="001C20E4" w:rsidRDefault="0045036E" w:rsidP="00DB2D60">
            <w:pPr>
              <w:jc w:val="center"/>
              <w:rPr>
                <w:rFonts w:cs="Arial"/>
                <w:b/>
                <w:bCs/>
                <w:szCs w:val="22"/>
                <w:lang w:val="es-ES_tradnl"/>
              </w:rPr>
            </w:pPr>
            <w:r w:rsidRPr="001C20E4">
              <w:rPr>
                <w:rFonts w:cs="Arial"/>
                <w:b/>
                <w:bCs/>
                <w:szCs w:val="22"/>
                <w:lang w:val="es-ES_tradnl"/>
              </w:rPr>
              <w:t>LEY N° 18.046</w:t>
            </w:r>
          </w:p>
          <w:p w:rsidR="0045036E" w:rsidRPr="001C20E4" w:rsidRDefault="0045036E" w:rsidP="00DB2D60">
            <w:pPr>
              <w:jc w:val="center"/>
              <w:rPr>
                <w:rFonts w:cs="Arial"/>
                <w:b/>
                <w:bCs/>
                <w:szCs w:val="22"/>
                <w:lang w:val="es-ES_tradnl"/>
              </w:rPr>
            </w:pPr>
            <w:r w:rsidRPr="001C20E4">
              <w:rPr>
                <w:rFonts w:cs="Arial"/>
                <w:b/>
                <w:bCs/>
                <w:szCs w:val="22"/>
                <w:lang w:val="es-ES_tradnl"/>
              </w:rPr>
              <w:t>SOBRE SOCIEDADES ANÓNIMAS</w:t>
            </w: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pPr>
              <w:jc w:val="center"/>
              <w:rPr>
                <w:rFonts w:cs="Arial"/>
                <w:b/>
                <w:bCs/>
                <w:szCs w:val="22"/>
                <w:lang w:val="es-ES_tradnl"/>
              </w:rPr>
            </w:pPr>
          </w:p>
          <w:p w:rsidR="0045036E" w:rsidRPr="001C20E4" w:rsidRDefault="0045036E" w:rsidP="00F16F81">
            <w:pPr>
              <w:widowControl w:val="0"/>
              <w:tabs>
                <w:tab w:val="clear" w:pos="2835"/>
              </w:tabs>
              <w:autoSpaceDE w:val="0"/>
              <w:autoSpaceDN w:val="0"/>
              <w:adjustRightInd w:val="0"/>
              <w:rPr>
                <w:rFonts w:cs="Arial"/>
                <w:b/>
                <w:bCs/>
                <w:szCs w:val="22"/>
                <w:lang w:val="es-ES_tradnl"/>
              </w:rPr>
            </w:pPr>
          </w:p>
        </w:tc>
        <w:tc>
          <w:tcPr>
            <w:tcW w:w="1665" w:type="pct"/>
          </w:tcPr>
          <w:p w:rsidR="00982CAB" w:rsidRPr="00982CAB" w:rsidRDefault="00982CAB" w:rsidP="00982CAB">
            <w:pPr>
              <w:contextualSpacing/>
              <w:rPr>
                <w:rFonts w:cs="Arial"/>
                <w:szCs w:val="22"/>
              </w:rPr>
            </w:pPr>
            <w:r w:rsidRPr="00982CAB">
              <w:rPr>
                <w:rFonts w:cs="Arial"/>
                <w:szCs w:val="22"/>
              </w:rPr>
              <w:t>Artículo 2°.- Introdúcense las siguientes modificaciones en la ley N° 18.046, sobre Sociedades Anónimas:</w:t>
            </w:r>
          </w:p>
          <w:p w:rsidR="00982CAB" w:rsidRPr="00982CAB" w:rsidRDefault="00982CAB" w:rsidP="00982CAB">
            <w:pPr>
              <w:contextualSpacing/>
              <w:rPr>
                <w:rFonts w:cs="Arial"/>
                <w:szCs w:val="22"/>
              </w:rPr>
            </w:pPr>
          </w:p>
          <w:p w:rsidR="0045036E" w:rsidRPr="001C20E4" w:rsidRDefault="00982CAB" w:rsidP="00384719">
            <w:pPr>
              <w:contextualSpacing/>
              <w:rPr>
                <w:rFonts w:cs="Arial"/>
                <w:szCs w:val="22"/>
              </w:rPr>
            </w:pPr>
            <w:r w:rsidRPr="00982CAB">
              <w:rPr>
                <w:rFonts w:cs="Arial"/>
                <w:szCs w:val="22"/>
              </w:rPr>
              <w:t>1) Reemplázase la expresión “Superintendencia de Valores y Seguros”, por la siguiente: “Comisión para el Mercado Financiero”, todas las veces que aparece en el texto de la ley, con excepción de su Título XV.</w:t>
            </w:r>
          </w:p>
        </w:tc>
        <w:tc>
          <w:tcPr>
            <w:tcW w:w="1674" w:type="pct"/>
          </w:tcPr>
          <w:p w:rsidR="00EC2F2B" w:rsidRPr="00EC2F2B" w:rsidRDefault="00EC2F2B" w:rsidP="00EC2F2B">
            <w:pPr>
              <w:contextualSpacing/>
              <w:jc w:val="center"/>
              <w:rPr>
                <w:rFonts w:cs="Arial"/>
                <w:b/>
                <w:szCs w:val="22"/>
                <w:u w:val="single"/>
                <w:lang w:val="es-ES_tradnl"/>
              </w:rPr>
            </w:pPr>
            <w:r w:rsidRPr="00EC2F2B">
              <w:rPr>
                <w:rFonts w:cs="Arial"/>
                <w:b/>
                <w:szCs w:val="22"/>
                <w:u w:val="single"/>
                <w:lang w:val="es-ES_tradnl"/>
              </w:rPr>
              <w:t>AL ARTÍCULO 2°</w:t>
            </w:r>
          </w:p>
          <w:p w:rsidR="0045036E" w:rsidRPr="001C20E4" w:rsidRDefault="0045036E">
            <w:pPr>
              <w:contextualSpacing/>
              <w:rPr>
                <w:rFonts w:cs="Arial"/>
                <w:szCs w:val="22"/>
                <w:lang w:val="es-ES_tradnl"/>
              </w:rPr>
            </w:pPr>
          </w:p>
        </w:tc>
      </w:tr>
      <w:tr w:rsidR="00384719" w:rsidRPr="001C20E4" w:rsidTr="00096CE0">
        <w:trPr>
          <w:trHeight w:val="315"/>
          <w:jc w:val="center"/>
        </w:trPr>
        <w:tc>
          <w:tcPr>
            <w:tcW w:w="1661" w:type="pct"/>
          </w:tcPr>
          <w:p w:rsidR="00384719" w:rsidRPr="001C20E4" w:rsidRDefault="00384719" w:rsidP="00E40F6F">
            <w:pPr>
              <w:tabs>
                <w:tab w:val="left" w:pos="0"/>
              </w:tabs>
              <w:rPr>
                <w:rFonts w:cs="Arial"/>
                <w:szCs w:val="22"/>
              </w:rPr>
            </w:pPr>
          </w:p>
        </w:tc>
        <w:tc>
          <w:tcPr>
            <w:tcW w:w="1665" w:type="pct"/>
          </w:tcPr>
          <w:p w:rsidR="00384719" w:rsidRPr="00384719" w:rsidRDefault="00384719" w:rsidP="00384719">
            <w:pPr>
              <w:contextualSpacing/>
              <w:rPr>
                <w:rFonts w:cs="Arial"/>
                <w:szCs w:val="22"/>
              </w:rPr>
            </w:pPr>
            <w:r w:rsidRPr="00384719">
              <w:rPr>
                <w:rFonts w:cs="Arial"/>
                <w:szCs w:val="22"/>
              </w:rPr>
              <w:t>2) Reemplázase la expresión “Superintendencia de Bancos e Instituciones Financieras”, por la palabra “Comisión”, todas las veces que aparece en el texto de la ley, con excepción de su Título XV.</w:t>
            </w:r>
          </w:p>
          <w:p w:rsidR="00384719" w:rsidRDefault="00384719" w:rsidP="00982CAB">
            <w:pPr>
              <w:contextualSpacing/>
              <w:rPr>
                <w:rFonts w:cs="Arial"/>
                <w:szCs w:val="22"/>
              </w:rPr>
            </w:pPr>
          </w:p>
        </w:tc>
        <w:tc>
          <w:tcPr>
            <w:tcW w:w="1674" w:type="pct"/>
          </w:tcPr>
          <w:p w:rsidR="00384719" w:rsidRPr="001C20E4" w:rsidRDefault="00384719" w:rsidP="00674570">
            <w:pPr>
              <w:tabs>
                <w:tab w:val="clear" w:pos="2835"/>
              </w:tabs>
              <w:rPr>
                <w:rFonts w:cs="Arial"/>
                <w:szCs w:val="22"/>
                <w:lang w:val="es-ES_tradnl"/>
              </w:rPr>
            </w:pPr>
          </w:p>
        </w:tc>
      </w:tr>
      <w:tr w:rsidR="00384719" w:rsidRPr="001C20E4" w:rsidTr="00096CE0">
        <w:trPr>
          <w:trHeight w:val="315"/>
          <w:jc w:val="center"/>
        </w:trPr>
        <w:tc>
          <w:tcPr>
            <w:tcW w:w="1661" w:type="pct"/>
          </w:tcPr>
          <w:p w:rsidR="00384719" w:rsidRPr="001C20E4" w:rsidRDefault="00384719" w:rsidP="00E40F6F">
            <w:pPr>
              <w:tabs>
                <w:tab w:val="left" w:pos="0"/>
              </w:tabs>
              <w:rPr>
                <w:rFonts w:cs="Arial"/>
                <w:szCs w:val="22"/>
              </w:rPr>
            </w:pPr>
          </w:p>
        </w:tc>
        <w:tc>
          <w:tcPr>
            <w:tcW w:w="1665" w:type="pct"/>
          </w:tcPr>
          <w:p w:rsidR="00384719" w:rsidRPr="00384719" w:rsidRDefault="00384719" w:rsidP="00384719">
            <w:pPr>
              <w:contextualSpacing/>
              <w:rPr>
                <w:rFonts w:cs="Arial"/>
                <w:szCs w:val="22"/>
              </w:rPr>
            </w:pPr>
            <w:r w:rsidRPr="00384719">
              <w:rPr>
                <w:rFonts w:cs="Arial"/>
                <w:szCs w:val="22"/>
              </w:rPr>
              <w:t>3) Reemplázase la expresión “Superintendencia”, por la palabra “Comisión”, todas las veces que aparece en el texto de la ley, con excepción de los artículos 2°, inciso quinto, la tercera vez que aparece, 130 y 131, y de su Título XV.</w:t>
            </w:r>
          </w:p>
          <w:p w:rsidR="00384719" w:rsidRDefault="00384719" w:rsidP="00982CAB">
            <w:pPr>
              <w:contextualSpacing/>
              <w:rPr>
                <w:rFonts w:cs="Arial"/>
                <w:szCs w:val="22"/>
              </w:rPr>
            </w:pPr>
          </w:p>
        </w:tc>
        <w:tc>
          <w:tcPr>
            <w:tcW w:w="1674" w:type="pct"/>
          </w:tcPr>
          <w:p w:rsidR="00384719" w:rsidRPr="001C20E4" w:rsidRDefault="00384719" w:rsidP="00674570">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E40F6F">
            <w:pPr>
              <w:tabs>
                <w:tab w:val="left" w:pos="0"/>
              </w:tabs>
              <w:rPr>
                <w:rFonts w:cs="Arial"/>
                <w:szCs w:val="22"/>
              </w:rPr>
            </w:pPr>
          </w:p>
          <w:p w:rsidR="0045036E" w:rsidRPr="001C20E4" w:rsidRDefault="0045036E" w:rsidP="00E40F6F">
            <w:pPr>
              <w:tabs>
                <w:tab w:val="left" w:pos="0"/>
              </w:tabs>
              <w:rPr>
                <w:rFonts w:cs="Arial"/>
                <w:szCs w:val="22"/>
              </w:rPr>
            </w:pPr>
            <w:r w:rsidRPr="001C20E4">
              <w:rPr>
                <w:rFonts w:cs="Arial"/>
                <w:szCs w:val="22"/>
              </w:rPr>
              <w:t>Artículo 2°. Las sociedades anónimas pueden ser de tres clases: abiertas, especiales o cerradas.</w:t>
            </w:r>
          </w:p>
          <w:p w:rsidR="0045036E" w:rsidRPr="001C20E4" w:rsidRDefault="0045036E" w:rsidP="00E40F6F">
            <w:pPr>
              <w:tabs>
                <w:tab w:val="left" w:pos="0"/>
              </w:tabs>
              <w:rPr>
                <w:rFonts w:cs="Arial"/>
                <w:szCs w:val="22"/>
              </w:rPr>
            </w:pPr>
          </w:p>
          <w:p w:rsidR="0045036E" w:rsidRPr="001C20E4" w:rsidRDefault="0045036E" w:rsidP="00E40F6F">
            <w:pPr>
              <w:tabs>
                <w:tab w:val="left" w:pos="0"/>
              </w:tabs>
              <w:rPr>
                <w:rFonts w:cs="Arial"/>
              </w:rPr>
            </w:pPr>
            <w:r w:rsidRPr="001C20E4">
              <w:rPr>
                <w:rFonts w:cs="Arial"/>
                <w:szCs w:val="22"/>
              </w:rPr>
              <w:t>Son sociedades anónimas abiertas aquellas que inscriban voluntariamente o por obligación legal sus acciones en el Registro de Valores.</w:t>
            </w:r>
          </w:p>
          <w:p w:rsidR="0045036E" w:rsidRPr="001C20E4" w:rsidRDefault="0045036E" w:rsidP="00E40F6F">
            <w:pPr>
              <w:tabs>
                <w:tab w:val="left" w:pos="0"/>
              </w:tabs>
              <w:rPr>
                <w:rFonts w:cs="Arial"/>
                <w:szCs w:val="22"/>
              </w:rPr>
            </w:pPr>
          </w:p>
          <w:p w:rsidR="0045036E" w:rsidRPr="001C20E4" w:rsidRDefault="0045036E" w:rsidP="00E40F6F">
            <w:pPr>
              <w:tabs>
                <w:tab w:val="left" w:pos="0"/>
              </w:tabs>
              <w:rPr>
                <w:rFonts w:cs="Arial"/>
                <w:szCs w:val="22"/>
              </w:rPr>
            </w:pPr>
            <w:r w:rsidRPr="001C20E4">
              <w:rPr>
                <w:rFonts w:cs="Arial"/>
                <w:szCs w:val="22"/>
              </w:rPr>
              <w:t>Son sociedades anónimas especiales las indicadas en el Título XIII de esta ley.</w:t>
            </w:r>
          </w:p>
          <w:p w:rsidR="0045036E" w:rsidRPr="001C20E4" w:rsidRDefault="0045036E" w:rsidP="00E40F6F">
            <w:pPr>
              <w:tabs>
                <w:tab w:val="left" w:pos="0"/>
              </w:tabs>
              <w:rPr>
                <w:rFonts w:cs="Arial"/>
              </w:rPr>
            </w:pPr>
          </w:p>
          <w:p w:rsidR="0045036E" w:rsidRPr="001C20E4" w:rsidRDefault="0045036E" w:rsidP="00E40F6F">
            <w:pPr>
              <w:tabs>
                <w:tab w:val="left" w:pos="0"/>
              </w:tabs>
              <w:rPr>
                <w:rFonts w:cs="Arial"/>
                <w:szCs w:val="22"/>
              </w:rPr>
            </w:pPr>
            <w:r w:rsidRPr="001C20E4">
              <w:rPr>
                <w:rFonts w:cs="Arial"/>
                <w:szCs w:val="22"/>
              </w:rPr>
              <w:t>Son sociedades anónimas cerradas las que no califican como abiertas o especiales.</w:t>
            </w:r>
          </w:p>
          <w:p w:rsidR="0045036E" w:rsidRPr="001C20E4" w:rsidRDefault="0045036E" w:rsidP="00E40F6F">
            <w:pPr>
              <w:tabs>
                <w:tab w:val="left" w:pos="0"/>
              </w:tabs>
              <w:rPr>
                <w:rFonts w:cs="Arial"/>
              </w:rPr>
            </w:pPr>
          </w:p>
          <w:p w:rsidR="0045036E" w:rsidRPr="001C20E4" w:rsidRDefault="0045036E" w:rsidP="00E40F6F">
            <w:pPr>
              <w:tabs>
                <w:tab w:val="left" w:pos="0"/>
              </w:tabs>
              <w:rPr>
                <w:rFonts w:cs="Arial"/>
                <w:szCs w:val="22"/>
              </w:rPr>
            </w:pPr>
            <w:r w:rsidRPr="001C20E4">
              <w:rPr>
                <w:rFonts w:cs="Arial"/>
                <w:szCs w:val="22"/>
              </w:rPr>
              <w:t xml:space="preserve">Las sociedades anónimas abiertas y las sociedades anónimas especiales quedarán sometidas a la fiscalización de la Superintendencia de Valores y Seguros, en adelante la Superintendencia, salvo que la ley las someta al control de </w:t>
            </w:r>
            <w:r w:rsidRPr="001C20E4">
              <w:rPr>
                <w:rFonts w:cs="Arial"/>
                <w:szCs w:val="22"/>
                <w:u w:val="single"/>
              </w:rPr>
              <w:t>otra</w:t>
            </w:r>
            <w:r w:rsidRPr="001C20E4">
              <w:rPr>
                <w:rFonts w:cs="Arial"/>
                <w:szCs w:val="22"/>
              </w:rPr>
              <w:t xml:space="preserve"> Superintendencia. En este último caso, quedarán además sometidas a la primera, en lo que corresponda, cuando emitieren valores.</w:t>
            </w:r>
          </w:p>
          <w:p w:rsidR="0045036E" w:rsidRPr="001C20E4" w:rsidRDefault="0045036E" w:rsidP="00E40F6F">
            <w:pPr>
              <w:tabs>
                <w:tab w:val="left" w:pos="0"/>
              </w:tabs>
              <w:rPr>
                <w:rFonts w:cs="Arial"/>
              </w:rPr>
            </w:pPr>
          </w:p>
          <w:p w:rsidR="0045036E" w:rsidRPr="001C20E4" w:rsidRDefault="0045036E" w:rsidP="00E40F6F">
            <w:pPr>
              <w:tabs>
                <w:tab w:val="left" w:pos="0"/>
              </w:tabs>
              <w:rPr>
                <w:rFonts w:cs="Arial"/>
                <w:szCs w:val="22"/>
              </w:rPr>
            </w:pPr>
            <w:r w:rsidRPr="001C20E4">
              <w:rPr>
                <w:rFonts w:cs="Arial"/>
                <w:szCs w:val="22"/>
              </w:rPr>
              <w:t>Las sociedades anónimas que dejen de cumplir las condiciones para estar obligadas a inscribir sus acciones en el Registro de Valores, continuarán afectas a las normas que rigen a las sociedades anónimas abiertas, mientras la junta extraordinaria de accionistas no acordare lo contrario por los dos tercios de las acciones con derecho a voto. En este caso, el accionista ausente o disidente tendrá derecho a retiro.</w:t>
            </w:r>
          </w:p>
          <w:p w:rsidR="0045036E" w:rsidRPr="001C20E4" w:rsidRDefault="0045036E" w:rsidP="00E40F6F">
            <w:pPr>
              <w:tabs>
                <w:tab w:val="left" w:pos="0"/>
              </w:tabs>
              <w:rPr>
                <w:rFonts w:cs="Arial"/>
              </w:rPr>
            </w:pPr>
          </w:p>
          <w:p w:rsidR="0045036E" w:rsidRPr="001C20E4" w:rsidRDefault="0045036E" w:rsidP="00E40F6F">
            <w:pPr>
              <w:tabs>
                <w:tab w:val="left" w:pos="0"/>
              </w:tabs>
              <w:rPr>
                <w:rFonts w:cs="Arial"/>
                <w:szCs w:val="22"/>
              </w:rPr>
            </w:pPr>
            <w:r w:rsidRPr="001C20E4">
              <w:rPr>
                <w:rFonts w:cs="Arial"/>
                <w:szCs w:val="22"/>
              </w:rPr>
              <w:t>Cada vez que las leyes establezcan como requisito que una sociedad se someta a las normas de las sociedades anónimas abiertas o que dichas normas le sean aplicables, o</w:t>
            </w:r>
            <w:r w:rsidRPr="001C20E4">
              <w:rPr>
                <w:rFonts w:cs="Arial"/>
              </w:rPr>
              <w:t xml:space="preserve"> </w:t>
            </w:r>
            <w:r w:rsidRPr="001C20E4">
              <w:rPr>
                <w:rFonts w:cs="Arial"/>
                <w:szCs w:val="22"/>
              </w:rPr>
              <w:t>se haga referencia a las sociedades sometidas a la fiscalización, al control o a la vigilancia de la Superintendencia, o se empleen otras expresiones análogas, se entenderá, salvo mención expresa en contrario, que la remisión se refiere exclusivamente a las normas aplicables a las sociedades anónimas abiertas en cuanto a las obligaciones de información y publicidad para con los accionistas, la Superintendencia y el público en general. En todo lo demás, esas sociedades se regirán por las disposiciones de las sociedades anónimas cerradas y no estarán obligadas a inscribirse en el Registro de Valores, salvo que fueren emisores de valores de oferta pública. Las sociedades anónimas a que se refiere este inciso, que no fueren abiertas, una vez que cesare la condición o actividad en cuya virtud la ley las sometió al control de la Superintendencia, podrán solicitar a ésta la exclusión de sus registros y fiscalización, acreditando dicha circunstancia.</w:t>
            </w:r>
          </w:p>
          <w:p w:rsidR="0045036E" w:rsidRPr="001C20E4" w:rsidRDefault="0045036E" w:rsidP="00E40F6F">
            <w:pPr>
              <w:tabs>
                <w:tab w:val="left" w:pos="0"/>
              </w:tabs>
              <w:rPr>
                <w:rFonts w:cs="Arial"/>
              </w:rPr>
            </w:pPr>
          </w:p>
          <w:p w:rsidR="0045036E" w:rsidRPr="001C20E4" w:rsidRDefault="0045036E" w:rsidP="00E40F6F">
            <w:pPr>
              <w:tabs>
                <w:tab w:val="left" w:pos="0"/>
              </w:tabs>
              <w:rPr>
                <w:rFonts w:cs="Arial"/>
                <w:szCs w:val="22"/>
              </w:rPr>
            </w:pPr>
            <w:r w:rsidRPr="001C20E4">
              <w:rPr>
                <w:rFonts w:cs="Arial"/>
                <w:szCs w:val="22"/>
              </w:rPr>
              <w:t>Las disposiciones de la presente ley primarán sobre las de los estatutos de las sociedades que dejen de ser cerradas, por haber cumplido con algunos de los requisitos establecidos en el inciso segundo del presente artículo. Lo anterior es sin perjuicio de la obligación de estas sociedades de adecuar sus estatutos a las normas de la presente ley, conjuntamente con la primera modificación que en ellos se introduzca.</w:t>
            </w:r>
          </w:p>
          <w:p w:rsidR="0045036E" w:rsidRDefault="0045036E" w:rsidP="009277FF">
            <w:pPr>
              <w:rPr>
                <w:rFonts w:cs="Arial"/>
                <w:bCs/>
                <w:szCs w:val="22"/>
              </w:rPr>
            </w:pPr>
          </w:p>
          <w:p w:rsidR="00EC2F2B" w:rsidRPr="001C20E4" w:rsidRDefault="00EC2F2B" w:rsidP="009277FF">
            <w:pPr>
              <w:rPr>
                <w:rFonts w:cs="Arial"/>
                <w:bCs/>
                <w:szCs w:val="22"/>
              </w:rPr>
            </w:pPr>
          </w:p>
        </w:tc>
        <w:tc>
          <w:tcPr>
            <w:tcW w:w="1665" w:type="pct"/>
          </w:tcPr>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982CAB" w:rsidRDefault="00982CAB" w:rsidP="00982CAB">
            <w:pPr>
              <w:contextualSpacing/>
              <w:rPr>
                <w:rFonts w:cs="Arial"/>
                <w:szCs w:val="22"/>
              </w:rPr>
            </w:pPr>
          </w:p>
          <w:p w:rsidR="00D13B9A" w:rsidRDefault="00D13B9A" w:rsidP="00982CAB">
            <w:pPr>
              <w:contextualSpacing/>
              <w:rPr>
                <w:rFonts w:cs="Arial"/>
                <w:szCs w:val="22"/>
              </w:rPr>
            </w:pPr>
          </w:p>
          <w:p w:rsidR="00982CAB" w:rsidRDefault="00982CAB" w:rsidP="00982CAB">
            <w:pPr>
              <w:contextualSpacing/>
              <w:rPr>
                <w:rFonts w:cs="Arial"/>
                <w:szCs w:val="22"/>
              </w:rPr>
            </w:pPr>
          </w:p>
          <w:p w:rsidR="00982CAB" w:rsidRPr="00982CAB" w:rsidRDefault="00982CAB" w:rsidP="00982CAB">
            <w:pPr>
              <w:contextualSpacing/>
              <w:rPr>
                <w:rFonts w:cs="Arial"/>
                <w:szCs w:val="22"/>
              </w:rPr>
            </w:pPr>
            <w:r w:rsidRPr="00982CAB">
              <w:rPr>
                <w:rFonts w:cs="Arial"/>
                <w:szCs w:val="22"/>
              </w:rPr>
              <w:t>4) Sustitúyese, en la primera oración del inciso quinto del artículo 2°, la palabra “otra” por “alguna”.</w:t>
            </w:r>
          </w:p>
          <w:p w:rsidR="00982CAB" w:rsidRPr="00982CAB" w:rsidRDefault="00982CAB" w:rsidP="00982CAB">
            <w:pPr>
              <w:contextualSpacing/>
              <w:rPr>
                <w:rFonts w:cs="Arial"/>
                <w:szCs w:val="22"/>
              </w:rPr>
            </w:pPr>
          </w:p>
          <w:p w:rsidR="0045036E" w:rsidRPr="001C20E4" w:rsidRDefault="0045036E">
            <w:pPr>
              <w:contextualSpacing/>
              <w:rPr>
                <w:rFonts w:cs="Arial"/>
                <w:szCs w:val="22"/>
              </w:rPr>
            </w:pPr>
          </w:p>
        </w:tc>
        <w:tc>
          <w:tcPr>
            <w:tcW w:w="1674" w:type="pct"/>
          </w:tcPr>
          <w:p w:rsidR="0045036E" w:rsidRPr="001C20E4" w:rsidRDefault="0045036E" w:rsidP="00674570">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FF742C">
            <w:pPr>
              <w:tabs>
                <w:tab w:val="left" w:pos="0"/>
              </w:tabs>
              <w:rPr>
                <w:rFonts w:cs="Arial"/>
              </w:rPr>
            </w:pPr>
          </w:p>
          <w:p w:rsidR="0045036E" w:rsidRPr="001C20E4" w:rsidRDefault="0045036E" w:rsidP="00FF742C">
            <w:pPr>
              <w:tabs>
                <w:tab w:val="left" w:pos="0"/>
              </w:tabs>
              <w:rPr>
                <w:rFonts w:cs="Arial"/>
              </w:rPr>
            </w:pPr>
            <w:r w:rsidRPr="001C20E4">
              <w:rPr>
                <w:rFonts w:cs="Arial"/>
              </w:rPr>
              <w:t>Art. 36. Además de los casos mencionados en el artículo anterior, no podrán ser directores de una sociedad anónima abierta o de sus filiales:</w:t>
            </w:r>
          </w:p>
          <w:p w:rsidR="0045036E" w:rsidRPr="001C20E4" w:rsidRDefault="0045036E" w:rsidP="00FF742C">
            <w:pPr>
              <w:tabs>
                <w:tab w:val="left" w:pos="0"/>
              </w:tabs>
              <w:rPr>
                <w:rFonts w:cs="Arial"/>
              </w:rPr>
            </w:pPr>
          </w:p>
          <w:p w:rsidR="0045036E" w:rsidRPr="001C20E4" w:rsidRDefault="0045036E" w:rsidP="00FF742C">
            <w:pPr>
              <w:tabs>
                <w:tab w:val="left" w:pos="0"/>
              </w:tabs>
              <w:rPr>
                <w:rFonts w:cs="Arial"/>
              </w:rPr>
            </w:pPr>
            <w:r w:rsidRPr="001C20E4">
              <w:rPr>
                <w:rFonts w:cs="Arial"/>
              </w:rPr>
              <w:t xml:space="preserve">1) Los senadores, diputados y alcaldes; </w:t>
            </w:r>
          </w:p>
          <w:p w:rsidR="0045036E" w:rsidRPr="001C20E4" w:rsidRDefault="0045036E" w:rsidP="00FF742C">
            <w:pPr>
              <w:tabs>
                <w:tab w:val="left" w:pos="0"/>
              </w:tabs>
              <w:rPr>
                <w:rFonts w:cs="Arial"/>
              </w:rPr>
            </w:pPr>
          </w:p>
          <w:p w:rsidR="0045036E" w:rsidRPr="001C20E4" w:rsidRDefault="0045036E" w:rsidP="00FF742C">
            <w:pPr>
              <w:tabs>
                <w:tab w:val="left" w:pos="0"/>
              </w:tabs>
              <w:rPr>
                <w:rFonts w:cs="Arial"/>
              </w:rPr>
            </w:pPr>
            <w:r w:rsidRPr="001C20E4">
              <w:rPr>
                <w:rFonts w:cs="Arial"/>
              </w:rPr>
              <w:t xml:space="preserve">2) Los ministros de Estado, subsecretarios, intendentes y gobernadores, secretarios regionales ministeriales y embajadores, jefes de servicio y el directivo superior inmediato que deba subrogar a cada uno de ellos, con excepción de los cargos de director de las sociedades anónimas abiertas en las que el Estado, según la ley, deba tener representantes en su administración, o sea accionista mayoritario, directa o indirectamente a través de organismos de administración autónoma, empresas fiscales, semifiscales, de administración autónoma, o aquellas en que el Estado sea accionista mayoritario; </w:t>
            </w:r>
          </w:p>
          <w:p w:rsidR="0045036E" w:rsidRDefault="0045036E" w:rsidP="00FF742C">
            <w:pPr>
              <w:tabs>
                <w:tab w:val="left" w:pos="0"/>
              </w:tabs>
              <w:rPr>
                <w:rFonts w:cs="Arial"/>
              </w:rPr>
            </w:pPr>
          </w:p>
          <w:p w:rsidR="00BB3C13" w:rsidRPr="001C20E4" w:rsidRDefault="00BB3C13" w:rsidP="00FF742C">
            <w:pPr>
              <w:tabs>
                <w:tab w:val="left" w:pos="0"/>
              </w:tabs>
              <w:rPr>
                <w:rFonts w:cs="Arial"/>
              </w:rPr>
            </w:pPr>
          </w:p>
          <w:p w:rsidR="0045036E" w:rsidRPr="001C20E4" w:rsidRDefault="0045036E" w:rsidP="00FF742C">
            <w:pPr>
              <w:tabs>
                <w:tab w:val="left" w:pos="0"/>
              </w:tabs>
              <w:rPr>
                <w:rFonts w:cs="Arial"/>
              </w:rPr>
            </w:pPr>
            <w:r w:rsidRPr="001C20E4">
              <w:rPr>
                <w:rFonts w:cs="Arial"/>
              </w:rPr>
              <w:t xml:space="preserve">3) Los funcionarios de </w:t>
            </w:r>
            <w:r w:rsidRPr="001C20E4">
              <w:rPr>
                <w:rFonts w:cs="Arial"/>
                <w:u w:val="single"/>
              </w:rPr>
              <w:t>las superintendencias</w:t>
            </w:r>
            <w:r w:rsidRPr="001C20E4">
              <w:rPr>
                <w:rFonts w:cs="Arial"/>
              </w:rPr>
              <w:t xml:space="preserve"> que supervisen a la sociedad respectiva o a una o más de las sociedades del grupo empresarial a que pertenece, y</w:t>
            </w:r>
          </w:p>
          <w:p w:rsidR="0045036E" w:rsidRPr="001C20E4" w:rsidRDefault="0045036E" w:rsidP="00FF742C">
            <w:pPr>
              <w:tabs>
                <w:tab w:val="left" w:pos="0"/>
              </w:tabs>
              <w:rPr>
                <w:rFonts w:cs="Arial"/>
              </w:rPr>
            </w:pPr>
          </w:p>
          <w:p w:rsidR="0045036E" w:rsidRPr="001C20E4" w:rsidRDefault="0045036E" w:rsidP="00FF742C">
            <w:pPr>
              <w:tabs>
                <w:tab w:val="left" w:pos="0"/>
              </w:tabs>
              <w:rPr>
                <w:rFonts w:cs="Arial"/>
                <w:szCs w:val="22"/>
              </w:rPr>
            </w:pPr>
            <w:r w:rsidRPr="001C20E4">
              <w:rPr>
                <w:rFonts w:cs="Arial"/>
              </w:rPr>
              <w:t>4) Los corredores de bolsa y los agentes de valores, así como sus directores, gerentes, ejecutivos principales y administradores. Esta restricción no se aplicará en las bolsas de valores.</w:t>
            </w:r>
          </w:p>
          <w:p w:rsidR="0045036E" w:rsidRPr="001C20E4" w:rsidRDefault="0045036E">
            <w:pPr>
              <w:jc w:val="center"/>
              <w:rPr>
                <w:rFonts w:cs="Arial"/>
                <w:b/>
                <w:bCs/>
                <w:szCs w:val="22"/>
              </w:rPr>
            </w:pPr>
          </w:p>
        </w:tc>
        <w:tc>
          <w:tcPr>
            <w:tcW w:w="1665" w:type="pct"/>
          </w:tcPr>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F670B8" w:rsidRDefault="00F670B8" w:rsidP="00F670B8">
            <w:pPr>
              <w:contextualSpacing/>
              <w:rPr>
                <w:rFonts w:cs="Arial"/>
                <w:szCs w:val="22"/>
              </w:rPr>
            </w:pPr>
          </w:p>
          <w:p w:rsidR="002A2249" w:rsidRDefault="002A2249" w:rsidP="00F670B8">
            <w:pPr>
              <w:contextualSpacing/>
              <w:rPr>
                <w:rFonts w:cs="Arial"/>
                <w:szCs w:val="22"/>
              </w:rPr>
            </w:pPr>
          </w:p>
          <w:p w:rsidR="002A2249" w:rsidRDefault="002A2249" w:rsidP="00F670B8">
            <w:pPr>
              <w:contextualSpacing/>
              <w:rPr>
                <w:rFonts w:cs="Arial"/>
                <w:szCs w:val="22"/>
              </w:rPr>
            </w:pPr>
          </w:p>
          <w:p w:rsidR="00F670B8" w:rsidRPr="00F670B8" w:rsidRDefault="00F670B8" w:rsidP="00F670B8">
            <w:pPr>
              <w:contextualSpacing/>
              <w:rPr>
                <w:rFonts w:cs="Arial"/>
                <w:szCs w:val="22"/>
              </w:rPr>
            </w:pPr>
            <w:r w:rsidRPr="00F670B8">
              <w:rPr>
                <w:rFonts w:cs="Arial"/>
                <w:szCs w:val="22"/>
              </w:rPr>
              <w:t xml:space="preserve">5) Sustitúyese, en el número 3) del artículo 36, la expresión “las superintendencias” por “la Comisión”. </w:t>
            </w:r>
          </w:p>
          <w:p w:rsidR="00F670B8" w:rsidRPr="00F670B8" w:rsidRDefault="00F670B8" w:rsidP="00F670B8">
            <w:pPr>
              <w:contextualSpacing/>
              <w:rPr>
                <w:rFonts w:cs="Arial"/>
                <w:szCs w:val="22"/>
              </w:rPr>
            </w:pPr>
          </w:p>
          <w:p w:rsidR="0045036E" w:rsidRPr="001C20E4" w:rsidRDefault="0045036E">
            <w:pPr>
              <w:contextualSpacing/>
              <w:rPr>
                <w:rFonts w:cs="Arial"/>
                <w:szCs w:val="22"/>
              </w:rPr>
            </w:pPr>
          </w:p>
        </w:tc>
        <w:tc>
          <w:tcPr>
            <w:tcW w:w="1674" w:type="pct"/>
          </w:tcPr>
          <w:p w:rsidR="0045036E" w:rsidRDefault="0045036E"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2A2249" w:rsidRDefault="002A2249" w:rsidP="00674570">
            <w:pPr>
              <w:tabs>
                <w:tab w:val="clear" w:pos="2835"/>
              </w:tabs>
              <w:rPr>
                <w:rFonts w:cs="Arial"/>
                <w:szCs w:val="22"/>
                <w:lang w:val="es-ES_tradnl"/>
              </w:rPr>
            </w:pPr>
          </w:p>
          <w:p w:rsidR="002A2249" w:rsidRDefault="002A2249" w:rsidP="00674570">
            <w:pPr>
              <w:tabs>
                <w:tab w:val="clear" w:pos="2835"/>
              </w:tabs>
              <w:rPr>
                <w:rFonts w:cs="Arial"/>
                <w:szCs w:val="22"/>
                <w:lang w:val="es-ES_tradnl"/>
              </w:rPr>
            </w:pPr>
          </w:p>
          <w:p w:rsidR="00EC2F2B" w:rsidRDefault="00EC2F2B" w:rsidP="00674570">
            <w:pPr>
              <w:tabs>
                <w:tab w:val="clear" w:pos="2835"/>
              </w:tabs>
              <w:rPr>
                <w:rFonts w:cs="Arial"/>
                <w:szCs w:val="22"/>
                <w:lang w:val="es-ES_tradnl"/>
              </w:rPr>
            </w:pPr>
          </w:p>
          <w:p w:rsidR="002D7C15" w:rsidRPr="002D7C15" w:rsidRDefault="002D7C15" w:rsidP="002D7C15">
            <w:pPr>
              <w:tabs>
                <w:tab w:val="clear" w:pos="2835"/>
              </w:tabs>
              <w:jc w:val="center"/>
              <w:rPr>
                <w:rFonts w:cs="Arial"/>
                <w:b/>
                <w:szCs w:val="22"/>
                <w:u w:val="single"/>
                <w:lang w:val="es-ES_tradnl"/>
              </w:rPr>
            </w:pPr>
            <w:r w:rsidRPr="002D7C15">
              <w:rPr>
                <w:rFonts w:cs="Arial"/>
                <w:b/>
                <w:szCs w:val="22"/>
                <w:u w:val="single"/>
                <w:lang w:val="es-ES_tradnl"/>
              </w:rPr>
              <w:t>Numeral 5</w:t>
            </w:r>
          </w:p>
          <w:p w:rsidR="002D7C15" w:rsidRDefault="002D7C15" w:rsidP="002D7C15">
            <w:pPr>
              <w:tabs>
                <w:tab w:val="clear" w:pos="2835"/>
              </w:tabs>
              <w:rPr>
                <w:rFonts w:cs="Arial"/>
                <w:szCs w:val="22"/>
                <w:lang w:val="es-ES_tradnl"/>
              </w:rPr>
            </w:pPr>
          </w:p>
          <w:p w:rsidR="002D7C15" w:rsidRP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r w:rsidRPr="002D7C15">
              <w:rPr>
                <w:rFonts w:cs="Arial"/>
                <w:szCs w:val="22"/>
                <w:lang w:val="es-ES_tradnl"/>
              </w:rPr>
              <w:t>- Ha antepuesto como encabezado “En el artículo 36:”</w:t>
            </w:r>
          </w:p>
          <w:p w:rsidR="002D7C15" w:rsidRP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r w:rsidRPr="002D7C15">
              <w:rPr>
                <w:rFonts w:cs="Arial"/>
                <w:szCs w:val="22"/>
                <w:lang w:val="es-ES_tradnl"/>
              </w:rPr>
              <w:t>- Ha contemplado el texto aprobado por el Senado como letra a).</w:t>
            </w:r>
          </w:p>
          <w:p w:rsid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p>
          <w:p w:rsidR="002D7C15" w:rsidRP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r w:rsidRPr="002D7C15">
              <w:rPr>
                <w:rFonts w:cs="Arial"/>
                <w:szCs w:val="22"/>
                <w:lang w:val="es-ES_tradnl"/>
              </w:rPr>
              <w:t>- Ha incorporado la siguiente letra b):</w:t>
            </w:r>
          </w:p>
          <w:p w:rsidR="002D7C15" w:rsidRPr="002D7C15" w:rsidRDefault="002D7C15" w:rsidP="002D7C15">
            <w:pPr>
              <w:tabs>
                <w:tab w:val="clear" w:pos="2835"/>
              </w:tabs>
              <w:rPr>
                <w:rFonts w:cs="Arial"/>
                <w:szCs w:val="22"/>
                <w:lang w:val="es-ES_tradnl"/>
              </w:rPr>
            </w:pPr>
          </w:p>
          <w:p w:rsidR="002D7C15" w:rsidRDefault="002D7C15" w:rsidP="002D7C15">
            <w:pPr>
              <w:tabs>
                <w:tab w:val="clear" w:pos="2835"/>
              </w:tabs>
              <w:rPr>
                <w:rFonts w:cs="Arial"/>
                <w:szCs w:val="22"/>
                <w:lang w:val="es-ES_tradnl"/>
              </w:rPr>
            </w:pPr>
            <w:r w:rsidRPr="002D7C15">
              <w:rPr>
                <w:rFonts w:cs="Arial"/>
                <w:szCs w:val="22"/>
                <w:lang w:val="es-ES_tradnl"/>
              </w:rPr>
              <w:t>“b) Agrégase el siguiente numeral 5):</w:t>
            </w:r>
          </w:p>
          <w:p w:rsidR="002D7C15" w:rsidRPr="002D7C15" w:rsidRDefault="002D7C15" w:rsidP="002D7C15">
            <w:pPr>
              <w:tabs>
                <w:tab w:val="clear" w:pos="2835"/>
              </w:tabs>
              <w:rPr>
                <w:rFonts w:cs="Arial"/>
                <w:szCs w:val="22"/>
                <w:lang w:val="es-ES_tradnl"/>
              </w:rPr>
            </w:pPr>
          </w:p>
          <w:p w:rsidR="002D7C15" w:rsidRPr="002D7C15" w:rsidRDefault="002D7C15" w:rsidP="002D7C15">
            <w:pPr>
              <w:tabs>
                <w:tab w:val="clear" w:pos="2835"/>
              </w:tabs>
              <w:rPr>
                <w:rFonts w:cs="Arial"/>
                <w:szCs w:val="22"/>
                <w:lang w:val="es-ES_tradnl"/>
              </w:rPr>
            </w:pPr>
            <w:r w:rsidRPr="002D7C15">
              <w:rPr>
                <w:rFonts w:cs="Arial"/>
                <w:szCs w:val="22"/>
                <w:lang w:val="es-ES_tradnl"/>
              </w:rPr>
              <w:t>“5) Las exautoridades y funcionarios públicos a que se refieren los numerales 1), 2) y 3), hasta el término de doce meses contado desde que hubieren cesado en el cargo.”</w:t>
            </w:r>
          </w:p>
          <w:p w:rsidR="00EC2F2B" w:rsidRDefault="00EC2F2B" w:rsidP="00674570">
            <w:pPr>
              <w:tabs>
                <w:tab w:val="clear" w:pos="2835"/>
              </w:tabs>
              <w:rPr>
                <w:rFonts w:cs="Arial"/>
                <w:szCs w:val="22"/>
                <w:lang w:val="es-ES_tradnl"/>
              </w:rPr>
            </w:pPr>
          </w:p>
          <w:p w:rsidR="00EC2F2B" w:rsidRPr="001C20E4" w:rsidRDefault="00EC2F2B" w:rsidP="00674570">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pPr>
              <w:jc w:val="center"/>
              <w:rPr>
                <w:rFonts w:cs="Arial"/>
                <w:b/>
                <w:bCs/>
                <w:szCs w:val="22"/>
                <w:lang w:val="es-ES_tradnl"/>
              </w:rPr>
            </w:pPr>
          </w:p>
          <w:p w:rsidR="0045036E" w:rsidRPr="001C20E4" w:rsidRDefault="0045036E">
            <w:pPr>
              <w:jc w:val="center"/>
            </w:pPr>
            <w:r w:rsidRPr="001C20E4">
              <w:t>TITULO IV</w:t>
            </w:r>
          </w:p>
          <w:p w:rsidR="0045036E" w:rsidRPr="001C20E4" w:rsidRDefault="0045036E">
            <w:pPr>
              <w:jc w:val="center"/>
            </w:pPr>
            <w:r w:rsidRPr="001C20E4">
              <w:t>De la Administración de la Sociedad</w:t>
            </w:r>
          </w:p>
          <w:p w:rsidR="0045036E" w:rsidRPr="001C20E4" w:rsidRDefault="0045036E">
            <w:pPr>
              <w:jc w:val="center"/>
              <w:rPr>
                <w:rFonts w:cs="Arial"/>
                <w:b/>
                <w:bCs/>
                <w:szCs w:val="22"/>
              </w:rPr>
            </w:pPr>
          </w:p>
          <w:p w:rsidR="0045036E" w:rsidRPr="001C20E4" w:rsidRDefault="0045036E">
            <w:pPr>
              <w:rPr>
                <w:rFonts w:cs="Arial"/>
                <w:szCs w:val="22"/>
              </w:rPr>
            </w:pPr>
            <w:r w:rsidRPr="001C20E4">
              <w:rPr>
                <w:rFonts w:cs="Arial"/>
                <w:szCs w:val="22"/>
              </w:rPr>
              <w:t>Artículo 45.- Se presume la culpabilidad de los directores respondiendo en consecuencia, solidariamente de los perjuicios causados a la sociedad, accionistas o terceros, en los siguientes casos:</w:t>
            </w:r>
          </w:p>
          <w:p w:rsidR="0045036E" w:rsidRPr="001C20E4" w:rsidRDefault="0045036E" w:rsidP="00D03FE1">
            <w:pPr>
              <w:widowControl w:val="0"/>
              <w:rPr>
                <w:rFonts w:cs="Arial"/>
                <w:szCs w:val="22"/>
              </w:rPr>
            </w:pPr>
          </w:p>
          <w:p w:rsidR="0045036E" w:rsidRPr="001C20E4" w:rsidRDefault="0045036E" w:rsidP="00D03FE1">
            <w:pPr>
              <w:widowControl w:val="0"/>
              <w:rPr>
                <w:rFonts w:cs="Arial"/>
                <w:szCs w:val="22"/>
                <w:u w:val="single"/>
              </w:rPr>
            </w:pPr>
            <w:r w:rsidRPr="001C20E4">
              <w:rPr>
                <w:rFonts w:cs="Arial"/>
                <w:szCs w:val="22"/>
              </w:rPr>
              <w:t>1) Si la sociedad no llevare sus libros o registros</w:t>
            </w:r>
            <w:r w:rsidRPr="001C20E4">
              <w:rPr>
                <w:rFonts w:cs="Arial"/>
                <w:szCs w:val="22"/>
                <w:u w:val="single"/>
              </w:rPr>
              <w:t>;</w:t>
            </w:r>
          </w:p>
          <w:p w:rsidR="0045036E" w:rsidRPr="001C20E4" w:rsidRDefault="0045036E" w:rsidP="00D03FE1">
            <w:pPr>
              <w:widowControl w:val="0"/>
              <w:rPr>
                <w:rFonts w:cs="Arial"/>
                <w:szCs w:val="22"/>
              </w:rPr>
            </w:pPr>
          </w:p>
          <w:p w:rsidR="0045036E" w:rsidRPr="001C20E4" w:rsidRDefault="0045036E" w:rsidP="00D03FE1">
            <w:pPr>
              <w:widowControl w:val="0"/>
              <w:rPr>
                <w:rFonts w:cs="Arial"/>
                <w:szCs w:val="22"/>
              </w:rPr>
            </w:pPr>
            <w:r w:rsidRPr="001C20E4">
              <w:rPr>
                <w:rFonts w:cs="Arial"/>
                <w:szCs w:val="22"/>
              </w:rPr>
              <w:t>2) Si se repartieren dividendos provisorios habiendo pérdidas acumuladas, respecto de los directores que concurrieron al acuerdo respectivo</w:t>
            </w:r>
            <w:r w:rsidRPr="001C20E4">
              <w:rPr>
                <w:rFonts w:cs="Arial"/>
                <w:szCs w:val="22"/>
                <w:u w:val="single"/>
              </w:rPr>
              <w:t>;</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3) Si la sociedad ocultare sus bienes, reconociere deudas supuestas o simulare enajenaciones. Se presume igualmente la culpabilidad del o de los directores que se beneficien en forma indebida, directamente o a través de otra persona natural o jurídica de un negocio social que, a su vez, irrogue perjuicio a la sociedad</w:t>
            </w:r>
            <w:r w:rsidRPr="001C20E4">
              <w:rPr>
                <w:rFonts w:cs="Arial"/>
                <w:szCs w:val="22"/>
                <w:u w:val="single"/>
              </w:rPr>
              <w:t>.</w:t>
            </w:r>
          </w:p>
          <w:p w:rsidR="0045036E" w:rsidRPr="001C20E4" w:rsidRDefault="0045036E">
            <w:pPr>
              <w:jc w:val="center"/>
              <w:rPr>
                <w:rFonts w:cs="Arial"/>
                <w:b/>
                <w:bCs/>
                <w:szCs w:val="22"/>
              </w:rPr>
            </w:pPr>
          </w:p>
        </w:tc>
        <w:tc>
          <w:tcPr>
            <w:tcW w:w="1665" w:type="pct"/>
          </w:tcPr>
          <w:p w:rsidR="00E66BE8" w:rsidRDefault="00E66BE8" w:rsidP="00E66BE8">
            <w:pPr>
              <w:contextualSpacing/>
              <w:rPr>
                <w:rFonts w:cs="Arial"/>
                <w:szCs w:val="22"/>
              </w:rPr>
            </w:pPr>
          </w:p>
          <w:p w:rsidR="00E66BE8" w:rsidRDefault="00E66BE8" w:rsidP="00E66BE8">
            <w:pPr>
              <w:contextualSpacing/>
              <w:rPr>
                <w:rFonts w:cs="Arial"/>
                <w:szCs w:val="22"/>
              </w:rPr>
            </w:pPr>
          </w:p>
          <w:p w:rsidR="00E66BE8" w:rsidRPr="00E66BE8" w:rsidRDefault="00E66BE8" w:rsidP="00E66BE8">
            <w:pPr>
              <w:contextualSpacing/>
              <w:rPr>
                <w:rFonts w:cs="Arial"/>
                <w:szCs w:val="22"/>
              </w:rPr>
            </w:pPr>
            <w:r w:rsidRPr="00E66BE8">
              <w:rPr>
                <w:rFonts w:cs="Arial"/>
                <w:szCs w:val="22"/>
              </w:rPr>
              <w:t>6) Modifícase el inciso primero del artículo 45, del siguiente modo:</w:t>
            </w:r>
          </w:p>
          <w:p w:rsidR="00E66BE8" w:rsidRPr="00E66BE8" w:rsidRDefault="00E66BE8" w:rsidP="00E66BE8">
            <w:pPr>
              <w:contextualSpacing/>
              <w:rPr>
                <w:rFonts w:cs="Arial"/>
                <w:szCs w:val="22"/>
              </w:rPr>
            </w:pPr>
          </w:p>
          <w:p w:rsidR="00E66BE8" w:rsidRDefault="00E66BE8" w:rsidP="00E66BE8">
            <w:pPr>
              <w:contextualSpacing/>
              <w:rPr>
                <w:rFonts w:cs="Arial"/>
                <w:szCs w:val="22"/>
              </w:rPr>
            </w:pPr>
          </w:p>
          <w:p w:rsidR="00E66BE8" w:rsidRPr="00192142" w:rsidRDefault="00E66BE8" w:rsidP="00E66BE8">
            <w:pPr>
              <w:contextualSpacing/>
              <w:rPr>
                <w:rFonts w:cs="Arial"/>
                <w:szCs w:val="22"/>
              </w:rPr>
            </w:pPr>
          </w:p>
          <w:p w:rsidR="00E66BE8" w:rsidRPr="00192142" w:rsidRDefault="00E66BE8" w:rsidP="00E66BE8">
            <w:pPr>
              <w:contextualSpacing/>
              <w:rPr>
                <w:rFonts w:cs="Arial"/>
                <w:szCs w:val="22"/>
              </w:rPr>
            </w:pPr>
          </w:p>
          <w:p w:rsidR="00E66BE8" w:rsidRPr="00192142" w:rsidRDefault="00E66BE8" w:rsidP="00E66BE8">
            <w:pPr>
              <w:contextualSpacing/>
              <w:rPr>
                <w:rFonts w:cs="Arial"/>
                <w:szCs w:val="22"/>
              </w:rPr>
            </w:pPr>
          </w:p>
          <w:p w:rsidR="00E66BE8" w:rsidRPr="00192142" w:rsidRDefault="00E66BE8" w:rsidP="00E66BE8">
            <w:pPr>
              <w:contextualSpacing/>
              <w:rPr>
                <w:rFonts w:cs="Arial"/>
                <w:szCs w:val="22"/>
              </w:rPr>
            </w:pPr>
          </w:p>
          <w:p w:rsidR="00BE69D6" w:rsidRPr="00192142" w:rsidRDefault="00BE69D6" w:rsidP="00E66BE8">
            <w:pPr>
              <w:contextualSpacing/>
              <w:rPr>
                <w:rFonts w:cs="Arial"/>
                <w:szCs w:val="22"/>
              </w:rPr>
            </w:pPr>
          </w:p>
          <w:p w:rsidR="00E66BE8" w:rsidRPr="00192142" w:rsidRDefault="00E66BE8" w:rsidP="00E66BE8">
            <w:pPr>
              <w:pStyle w:val="Prrafodelista"/>
              <w:numPr>
                <w:ilvl w:val="0"/>
                <w:numId w:val="7"/>
              </w:numPr>
              <w:contextualSpacing/>
              <w:rPr>
                <w:rFonts w:ascii="Arial" w:hAnsi="Arial" w:cs="Arial"/>
                <w:szCs w:val="22"/>
              </w:rPr>
            </w:pPr>
            <w:r w:rsidRPr="00192142">
              <w:rPr>
                <w:rFonts w:ascii="Arial" w:hAnsi="Arial" w:cs="Arial"/>
                <w:szCs w:val="22"/>
              </w:rPr>
              <w:t>Sustitúyese, en sus numerales 1) y 2), el punto y coma final, por un punto y aparte.</w:t>
            </w:r>
          </w:p>
          <w:p w:rsidR="00E66BE8" w:rsidRPr="00192142" w:rsidRDefault="00E66BE8" w:rsidP="00E66BE8">
            <w:pPr>
              <w:contextualSpacing/>
              <w:rPr>
                <w:rFonts w:cs="Arial"/>
                <w:szCs w:val="22"/>
              </w:rPr>
            </w:pPr>
          </w:p>
          <w:p w:rsidR="00E66BE8" w:rsidRPr="00192142" w:rsidRDefault="00E66BE8" w:rsidP="00E66BE8">
            <w:pPr>
              <w:contextualSpacing/>
              <w:rPr>
                <w:rFonts w:cs="Arial"/>
                <w:szCs w:val="22"/>
              </w:rPr>
            </w:pPr>
          </w:p>
          <w:p w:rsidR="00E66BE8" w:rsidRDefault="00E66BE8" w:rsidP="00E66BE8">
            <w:pPr>
              <w:contextualSpacing/>
              <w:rPr>
                <w:rFonts w:cs="Arial"/>
                <w:szCs w:val="22"/>
              </w:rPr>
            </w:pPr>
          </w:p>
          <w:p w:rsidR="00E66BE8" w:rsidRDefault="00E66BE8" w:rsidP="00E66BE8">
            <w:pPr>
              <w:contextualSpacing/>
              <w:rPr>
                <w:rFonts w:cs="Arial"/>
                <w:szCs w:val="22"/>
              </w:rPr>
            </w:pPr>
          </w:p>
          <w:p w:rsidR="004001CA" w:rsidRDefault="004001CA" w:rsidP="00E66BE8">
            <w:pPr>
              <w:contextualSpacing/>
              <w:rPr>
                <w:rFonts w:cs="Arial"/>
                <w:szCs w:val="22"/>
              </w:rPr>
            </w:pPr>
          </w:p>
          <w:p w:rsidR="004001CA" w:rsidRDefault="004001CA" w:rsidP="00E66BE8">
            <w:pPr>
              <w:contextualSpacing/>
              <w:rPr>
                <w:rFonts w:cs="Arial"/>
                <w:szCs w:val="22"/>
              </w:rPr>
            </w:pPr>
          </w:p>
          <w:p w:rsidR="00E66BE8" w:rsidRDefault="00E66BE8" w:rsidP="00E66BE8">
            <w:pPr>
              <w:contextualSpacing/>
              <w:rPr>
                <w:rFonts w:cs="Arial"/>
                <w:szCs w:val="22"/>
              </w:rPr>
            </w:pPr>
          </w:p>
          <w:p w:rsidR="00E66BE8" w:rsidRDefault="00E66BE8" w:rsidP="00E66BE8">
            <w:pPr>
              <w:contextualSpacing/>
              <w:rPr>
                <w:rFonts w:cs="Arial"/>
                <w:szCs w:val="22"/>
              </w:rPr>
            </w:pPr>
          </w:p>
          <w:p w:rsidR="00E66BE8" w:rsidRPr="00E66BE8" w:rsidRDefault="00E66BE8" w:rsidP="00E66BE8">
            <w:pPr>
              <w:contextualSpacing/>
              <w:rPr>
                <w:rFonts w:cs="Arial"/>
                <w:szCs w:val="22"/>
              </w:rPr>
            </w:pPr>
          </w:p>
          <w:p w:rsidR="00E66BE8" w:rsidRPr="00E66BE8" w:rsidRDefault="00E66BE8" w:rsidP="00E66BE8">
            <w:pPr>
              <w:contextualSpacing/>
              <w:rPr>
                <w:rFonts w:cs="Arial"/>
                <w:szCs w:val="22"/>
              </w:rPr>
            </w:pPr>
          </w:p>
          <w:p w:rsidR="00E66BE8" w:rsidRPr="00E66BE8" w:rsidRDefault="00E66BE8" w:rsidP="00E66BE8">
            <w:pPr>
              <w:contextualSpacing/>
              <w:rPr>
                <w:rFonts w:cs="Arial"/>
                <w:szCs w:val="22"/>
              </w:rPr>
            </w:pPr>
            <w:r w:rsidRPr="00E66BE8">
              <w:rPr>
                <w:rFonts w:cs="Arial"/>
                <w:szCs w:val="22"/>
              </w:rPr>
              <w:t>b) Agrégase el siguiente numeral 4):</w:t>
            </w:r>
          </w:p>
          <w:p w:rsidR="00E66BE8" w:rsidRPr="00E66BE8" w:rsidRDefault="00E66BE8" w:rsidP="00E66BE8">
            <w:pPr>
              <w:contextualSpacing/>
              <w:rPr>
                <w:rFonts w:cs="Arial"/>
                <w:szCs w:val="22"/>
              </w:rPr>
            </w:pPr>
          </w:p>
          <w:p w:rsidR="00E66BE8" w:rsidRPr="00E66BE8" w:rsidRDefault="00E66BE8" w:rsidP="00E66BE8">
            <w:pPr>
              <w:contextualSpacing/>
              <w:rPr>
                <w:rFonts w:cs="Arial"/>
                <w:szCs w:val="22"/>
              </w:rPr>
            </w:pPr>
            <w:r w:rsidRPr="00E66BE8">
              <w:rPr>
                <w:rFonts w:cs="Arial"/>
                <w:szCs w:val="22"/>
              </w:rPr>
              <w:t>“4) Si se aprobaren operaciones en contravención a lo dispuesto en el artículo 44 o en el Título XVI de la presente ley, en su caso.”.</w:t>
            </w:r>
          </w:p>
          <w:p w:rsidR="0045036E" w:rsidRPr="001C20E4" w:rsidRDefault="0045036E" w:rsidP="00674570">
            <w:pPr>
              <w:contextualSpacing/>
              <w:rPr>
                <w:rFonts w:cs="Arial"/>
                <w:szCs w:val="22"/>
              </w:rPr>
            </w:pPr>
          </w:p>
        </w:tc>
        <w:tc>
          <w:tcPr>
            <w:tcW w:w="1674" w:type="pct"/>
          </w:tcPr>
          <w:p w:rsidR="0045036E" w:rsidRPr="001C20E4" w:rsidRDefault="0045036E" w:rsidP="00674570">
            <w:pPr>
              <w:tabs>
                <w:tab w:val="clear" w:pos="2835"/>
              </w:tabs>
              <w:rPr>
                <w:rFonts w:cs="Arial"/>
                <w:szCs w:val="22"/>
              </w:rPr>
            </w:pPr>
          </w:p>
        </w:tc>
      </w:tr>
      <w:tr w:rsidR="00096CE0" w:rsidRPr="001C20E4" w:rsidTr="00096CE0">
        <w:trPr>
          <w:trHeight w:val="315"/>
          <w:jc w:val="center"/>
        </w:trPr>
        <w:tc>
          <w:tcPr>
            <w:tcW w:w="1661" w:type="pct"/>
          </w:tcPr>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A5227F" w:rsidRDefault="00A5227F" w:rsidP="00EF63C2">
            <w:pPr>
              <w:widowControl w:val="0"/>
              <w:tabs>
                <w:tab w:val="clear" w:pos="2835"/>
              </w:tabs>
              <w:autoSpaceDE w:val="0"/>
              <w:autoSpaceDN w:val="0"/>
              <w:adjustRightInd w:val="0"/>
              <w:rPr>
                <w:rFonts w:eastAsiaTheme="minorEastAsia" w:cs="Arial"/>
                <w:szCs w:val="22"/>
                <w:lang w:val="es-ES_tradnl" w:eastAsia="es-CL"/>
              </w:rPr>
            </w:pPr>
          </w:p>
          <w:p w:rsidR="00A5227F" w:rsidRPr="001C20E4" w:rsidRDefault="00A5227F"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 50 bis. Las sociedades anónimas abiertas deberán designar al menos un director independiente y el comité de directores a que se refiere este artículo, cuando tengan un patrimonio bursátil igual o superior al equivalente a 1.500.000 unidades de fomento y a lo menos un 12,5% de sus acciones emitidas con derecho a voto, se encuentren en poder de accionistas que individualmente controlen o posean menos del 10% de tales acciones.</w:t>
            </w: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192142" w:rsidRDefault="00192142" w:rsidP="00EF63C2">
            <w:pPr>
              <w:widowControl w:val="0"/>
              <w:tabs>
                <w:tab w:val="clear" w:pos="2835"/>
              </w:tabs>
              <w:autoSpaceDE w:val="0"/>
              <w:autoSpaceDN w:val="0"/>
              <w:adjustRightInd w:val="0"/>
              <w:rPr>
                <w:rFonts w:eastAsiaTheme="minorEastAsia" w:cs="Arial"/>
                <w:szCs w:val="22"/>
                <w:lang w:val="es-ES_tradnl" w:eastAsia="es-CL"/>
              </w:rPr>
            </w:pPr>
          </w:p>
          <w:p w:rsidR="00192142" w:rsidRPr="001C20E4" w:rsidRDefault="00192142"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Si durante el año se alcanzare el patrimonio y el porcentaje accionario a que se refiere el inciso anterior, la sociedad estará obligada a designar los directores y el comité a contar del año siguiente; si se produjere una disminución del patrimonio bursátil a un monto inferior al indicado o se redujere el porcentaje accionario antes referido, la sociedad no estará obligada a mantener los directores independientes ni el comité a contar del año siguiente.</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1A52DF" w:rsidRDefault="001A52DF" w:rsidP="00EF63C2">
            <w:pPr>
              <w:widowControl w:val="0"/>
              <w:tabs>
                <w:tab w:val="clear" w:pos="2835"/>
              </w:tabs>
              <w:autoSpaceDE w:val="0"/>
              <w:autoSpaceDN w:val="0"/>
              <w:adjustRightInd w:val="0"/>
              <w:rPr>
                <w:rFonts w:eastAsiaTheme="minorEastAsia" w:cs="Arial"/>
                <w:szCs w:val="22"/>
                <w:lang w:val="es-ES_tradnl" w:eastAsia="es-CL"/>
              </w:rPr>
            </w:pPr>
          </w:p>
          <w:p w:rsidR="001A52DF" w:rsidRDefault="001A52DF" w:rsidP="00EF63C2">
            <w:pPr>
              <w:widowControl w:val="0"/>
              <w:tabs>
                <w:tab w:val="clear" w:pos="2835"/>
              </w:tabs>
              <w:autoSpaceDE w:val="0"/>
              <w:autoSpaceDN w:val="0"/>
              <w:adjustRightInd w:val="0"/>
              <w:rPr>
                <w:rFonts w:eastAsiaTheme="minorEastAsia" w:cs="Arial"/>
                <w:szCs w:val="22"/>
                <w:lang w:val="es-ES_tradnl" w:eastAsia="es-CL"/>
              </w:rPr>
            </w:pPr>
          </w:p>
          <w:p w:rsidR="0045036E" w:rsidRPr="001A52DF" w:rsidRDefault="0045036E" w:rsidP="00EF63C2">
            <w:pPr>
              <w:widowControl w:val="0"/>
              <w:tabs>
                <w:tab w:val="clear" w:pos="2835"/>
              </w:tabs>
              <w:autoSpaceDE w:val="0"/>
              <w:autoSpaceDN w:val="0"/>
              <w:adjustRightInd w:val="0"/>
              <w:rPr>
                <w:rFonts w:eastAsiaTheme="minorEastAsia" w:cs="Arial"/>
                <w:szCs w:val="22"/>
                <w:u w:val="single"/>
                <w:lang w:val="es-ES_tradnl" w:eastAsia="es-CL"/>
              </w:rPr>
            </w:pPr>
            <w:r w:rsidRPr="001A52DF">
              <w:rPr>
                <w:rFonts w:eastAsiaTheme="minorEastAsia" w:cs="Arial"/>
                <w:szCs w:val="22"/>
                <w:u w:val="single"/>
                <w:lang w:val="es-ES_tradnl" w:eastAsia="es-CL"/>
              </w:rPr>
              <w:t>No se considerará independiente a quienes se hayan encontrado en cualquier momento dentro de los últimos dieciocho meses, en alguna de las siguientes circunstancias:</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 Mantuvieren cualquier vinculación, interés o dependencia económica, profesional, crediticia o comercial, de una naturaleza y volumen relevante, con la sociedad, las demás sociedades del grupo del que ella forma parte, su controlador, ni con los ejecutivos principales de cualquiera de ellos, o hayan sido directores, gerentes, administradores, ejecutivos principales o asesores de éstas.</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2) Mantuvieren una relación de parentesco hasta el segundo grado de consanguinidad o afinidad, con las personas indicadas en el número anterior.</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3) Hubiesen sido directores, gerentes, administradores o ejecutivos principales de organizaciones sin fines de lucro que hayan recibido aportes, contribuciones o donaciones relevantes de las personas indicadas en el número 1).</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4) Hubiesen sido socios o accionistas que hayan poseído o controlado, directa o indirectamente, 10% o más del capital; directores; gerentes; administradores o ejecutivos principales de entidades que han prestado servicios jurídicos o de consultoría, por montos relevantes, o de auditoría externa, a las personas indicadas en el número 1).</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5) Hubiesen sido socios o accionistas que hayan poseído o controlado, directa o indirectamente, 10% o más del capital; directores; gerentes; administradores o ejecutivos principales de los principales competidores, proveedores o clientes de la sociedad.</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Para poder ser elegidos como directores independientes, los candidatos deberán ser propuestos por accionistas que representen el 1% o más de las acciones de la sociedad, con a lo menos diez días de anticipación a la fecha prevista para la junta de accionistas llamada a efectuar la elección de los directores.</w:t>
            </w: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DE04FA" w:rsidRDefault="00DE04FA" w:rsidP="00EF63C2">
            <w:pPr>
              <w:widowControl w:val="0"/>
              <w:tabs>
                <w:tab w:val="clear" w:pos="2835"/>
              </w:tabs>
              <w:autoSpaceDE w:val="0"/>
              <w:autoSpaceDN w:val="0"/>
              <w:adjustRightInd w:val="0"/>
              <w:rPr>
                <w:rFonts w:eastAsiaTheme="minorEastAsia" w:cs="Arial"/>
                <w:szCs w:val="22"/>
                <w:lang w:val="es-ES_tradnl" w:eastAsia="es-CL"/>
              </w:rPr>
            </w:pPr>
          </w:p>
          <w:p w:rsidR="00DE04FA" w:rsidRPr="001C20E4" w:rsidRDefault="00DE04FA" w:rsidP="00EF63C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F63C2">
            <w:pPr>
              <w:widowControl w:val="0"/>
              <w:tabs>
                <w:tab w:val="clear" w:pos="2835"/>
              </w:tabs>
              <w:autoSpaceDE w:val="0"/>
              <w:autoSpaceDN w:val="0"/>
              <w:adjustRightInd w:val="0"/>
              <w:rPr>
                <w:rFonts w:eastAsiaTheme="minorEastAsia" w:cs="Arial"/>
                <w:szCs w:val="22"/>
                <w:u w:val="single"/>
                <w:lang w:val="es-ES_tradnl" w:eastAsia="es-CL"/>
              </w:rPr>
            </w:pPr>
            <w:r w:rsidRPr="001C20E4">
              <w:rPr>
                <w:rFonts w:eastAsiaTheme="minorEastAsia" w:cs="Arial"/>
                <w:szCs w:val="22"/>
                <w:lang w:val="es-ES_tradnl" w:eastAsia="es-CL"/>
              </w:rPr>
              <w:t xml:space="preserve">Con no menos de dos días de anterioridad a la junta respectiva, el candidato y su respectivo suplente, en su caso, deberán poner a disposición del gerente general una declaración jurada en que señalen que: i) aceptan ser candidato a director independiente; ii) no se encuentran en ninguna de las circunstancias indicadas en los numerales anteriores; iii) no mantienen alguna relación con la sociedad, las demás sociedades del grupo del que ella forma parte, su controlador, ni con los ejecutivos principales de cualquiera de ellos, que pueda privar a una persona sensata de un grado razonable de autonomía, interferir con sus posibilidades de realizar un trabajo objetivo y efectivo, generarle un potencial conflicto de interés o entorpecer su independencia de juicio, y iv) asumen el compromiso de mantenerse independientes por todo el tiempo en que ejerzan el cargo de director. </w:t>
            </w:r>
            <w:r w:rsidRPr="001C20E4">
              <w:rPr>
                <w:rFonts w:eastAsiaTheme="minorEastAsia" w:cs="Arial"/>
                <w:szCs w:val="22"/>
                <w:u w:val="single"/>
                <w:lang w:val="es-ES_tradnl" w:eastAsia="es-CL"/>
              </w:rPr>
              <w:t>La infracción al literal iii) no invalidará su elección ni los hará cesar en el cargo, pero obligará a responder de los perjuicios que su falta de veracidad o incumplimiento pueda causar a los accionistas.</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Será elegido director independiente aquel candidato que obtenga la más alta votación.</w:t>
            </w:r>
          </w:p>
          <w:p w:rsidR="001F6240" w:rsidRPr="001C20E4" w:rsidRDefault="001F6240" w:rsidP="00EF63C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El director independiente que conforme a lo establecido en el inciso tercero adquiera una inhabilidad sobreviniente para desempeñar su cargo, cesará automáticamente en él, sin perjuicio de su responsabilidad frente a los accionistas. No dará lugar a inhabilidad la reelección del director independiente en su cargo </w:t>
            </w:r>
            <w:r w:rsidRPr="001C20E4">
              <w:rPr>
                <w:rFonts w:eastAsiaTheme="minorEastAsia" w:cs="Arial"/>
                <w:szCs w:val="22"/>
                <w:u w:val="single"/>
                <w:lang w:val="es-ES_tradnl" w:eastAsia="es-CL"/>
              </w:rPr>
              <w:t>o su designación como director en una o más filiales de la sociedad, en cuanto los directores de dichas entidades no sean remunerados</w:t>
            </w:r>
            <w:r w:rsidRPr="001C20E4">
              <w:rPr>
                <w:rFonts w:eastAsiaTheme="minorEastAsia" w:cs="Arial"/>
                <w:szCs w:val="22"/>
                <w:lang w:val="es-ES_tradnl" w:eastAsia="es-CL"/>
              </w:rPr>
              <w:t>.</w:t>
            </w:r>
          </w:p>
          <w:p w:rsidR="001F6240" w:rsidRPr="001C20E4" w:rsidRDefault="001F6240"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El comité tendrá las siguientes facultades y deberes:</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 Examinar los informes de los auditores externos, el balance y demás estados financieros presentados por los administradores o liquidadores de la sociedad a los accionistas, y pronunciarse respecto de éstos en forma previa a su presentación a los accionistas para su aprobación.</w:t>
            </w: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1F6240" w:rsidRPr="001C20E4" w:rsidRDefault="001F6240"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2) Proponer al directorio nombres para los auditores externos y clasificadores privados de riesgo, en su caso, que serán sugeridos a la junta de accionistas respectiva. En caso de desacuerdo, el directorio formulará una sugerencia propia, sometiéndose ambas a consideración de la junta de accionistas.</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3) Examinar los antecedentes relativos a las operaciones a que se refiere el Título XVI y evacuar un informe respecto a esas operaciones. Una copia del informe será enviada al directorio, en el cual se deberá dar lectura a éste en la sesión citada para la aprobación o rechazo de la operación respectiva.</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0B1EE1" w:rsidRPr="001C20E4" w:rsidRDefault="000B1EE1" w:rsidP="00EF63C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D957D9" w:rsidRDefault="00D957D9" w:rsidP="00EF63C2">
            <w:pPr>
              <w:widowControl w:val="0"/>
              <w:tabs>
                <w:tab w:val="clear" w:pos="2835"/>
              </w:tabs>
              <w:autoSpaceDE w:val="0"/>
              <w:autoSpaceDN w:val="0"/>
              <w:adjustRightInd w:val="0"/>
              <w:rPr>
                <w:rFonts w:eastAsiaTheme="minorEastAsia" w:cs="Arial"/>
                <w:szCs w:val="22"/>
                <w:lang w:val="es-ES_tradnl" w:eastAsia="es-CL"/>
              </w:rPr>
            </w:pPr>
          </w:p>
          <w:p w:rsidR="00D957D9" w:rsidRDefault="00D957D9" w:rsidP="00EF63C2">
            <w:pPr>
              <w:widowControl w:val="0"/>
              <w:tabs>
                <w:tab w:val="clear" w:pos="2835"/>
              </w:tabs>
              <w:autoSpaceDE w:val="0"/>
              <w:autoSpaceDN w:val="0"/>
              <w:adjustRightInd w:val="0"/>
              <w:rPr>
                <w:rFonts w:eastAsiaTheme="minorEastAsia" w:cs="Arial"/>
                <w:szCs w:val="22"/>
                <w:lang w:val="es-ES_tradnl" w:eastAsia="es-CL"/>
              </w:rPr>
            </w:pPr>
          </w:p>
          <w:p w:rsidR="00D957D9" w:rsidRPr="001C20E4" w:rsidRDefault="00D957D9"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4) Examinar los sistemas de remuneraciones y planes de compensación de los gerentes, ejecutivos principales y trabajadores de la sociedad.</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5) Preparar un informe anual de su gestión, en que se incluyan sus principales recomendaciones a los accionistas.</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6) Informar al directorio respecto de la conveniencia de contratar o no a la empresa de auditoría externa para la prestación de servicios que no formen parte de la auditoría externa, cuando ellos no se encuentren prohibidos de conformidad a lo establecido en el artículo 242 de la ley Nº 18.045, en atención a si la naturaleza de tales servicios pueda generar un riesgo de pérdida de independencia.</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7) Las demás materias que señale el estatuto social, o que le encomiende una junta de accionistas o el directorio, en su caso.</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El comité estará integrado por tres miembros, la mayoría de los cuales deberán ser independientes. En caso que hubiese más directores con derecho a integrar el comité, según corresponda, en la primera reunión del directorio después de la junta de accionistas en que se haya efectuado su elección, los mismos directores resolverán, por unanimidad, quiénes lo habrán de integrar. En caso de desacuerdo, se dará preferencia a la integración del comité por aquellos directores que hubiesen sido electos con un mayor porcentaje de votación de accionistas que individualmente controlen o posean menos del 10% de tales acciones. Si hubiese solamente un director independiente, éste nombrará a los demás integrantes del comité de entre los directores que no tengan tal calidad, los que gozarán de plenos derechos como miembros del mismo. El presidente del directorio no podrá integrar el comité ni sus subcomités, salvo que sea director independiente.</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Las deliberaciones, acuerdos y organización del comité se regirán, en todo lo que les fuere aplicable, por las normas relativas a las sesiones de directorio de la sociedad. El comité comunicará al directorio la forma en que solicitará información, así como también sus acuerdos.</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Los directores integrantes del comité serán remunerados. El monto de la remuneración será fijado anualmente en la junta ordinaria de accionistas, acorde a las funciones que les corresponde desarrollar, pero no podrá ser inferior a la remuneración prevista para los directores titulares, más un tercio de su monto.</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junta ordinaria de accionistas determinará un presupuesto de gastos de funcionamiento del comité y sus asesores, el que no podrá ser inferior a la suma de las remuneraciones anuales de los miembros del comité, y éste podrá requerir la contratación de la asesoría de profesionales para el desarrollo de sus labores, conforme al referido presupuesto.</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Las actividades que desarrolle el comité, su informe de gestión anual y los gastos en que incurra, incluidos los de sus asesores, serán presentados en la memoria anual e informados en la junta ordinaria de accionistas. Las propuestas efectuadas por el comité al directorio que no hubieren sido recogidas por este último, serán informadas a la junta de accionistas previo a la votación de la materia correspondiente.</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Los directores que integren el comité en el ejercicio de las funciones que señala este artículo, además de la responsabilidad inherente al cargo de director, responderán solidariamente de los perjuicios que causen a los accionistas y a la sociedad.</w:t>
            </w:r>
          </w:p>
          <w:p w:rsidR="0045036E" w:rsidRPr="001C20E4" w:rsidRDefault="0045036E" w:rsidP="00EF63C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343F3E">
            <w:pPr>
              <w:widowControl w:val="0"/>
              <w:tabs>
                <w:tab w:val="clear" w:pos="2835"/>
              </w:tabs>
              <w:autoSpaceDE w:val="0"/>
              <w:autoSpaceDN w:val="0"/>
              <w:adjustRightInd w:val="0"/>
              <w:rPr>
                <w:lang w:val="es-ES_tradnl"/>
              </w:rPr>
            </w:pPr>
            <w:r w:rsidRPr="001C20E4">
              <w:rPr>
                <w:rFonts w:eastAsiaTheme="minorEastAsia" w:cs="Arial"/>
                <w:szCs w:val="22"/>
                <w:lang w:val="es-ES_tradnl" w:eastAsia="es-CL"/>
              </w:rPr>
              <w:t>Las sociedades anónimas abiertas que no tengan el patrimonio mínimo y porcentaje accionario señalados en el inciso primero, podrán acogerse voluntariamente a las normas precedentes; en ese caso, deberán cumplir estrictamente con las disposiciones de este artículo.</w:t>
            </w:r>
          </w:p>
        </w:tc>
        <w:tc>
          <w:tcPr>
            <w:tcW w:w="1665" w:type="pct"/>
          </w:tcPr>
          <w:p w:rsidR="00157659" w:rsidRPr="00157659" w:rsidRDefault="00157659" w:rsidP="00157659">
            <w:pPr>
              <w:contextualSpacing/>
              <w:rPr>
                <w:rFonts w:cs="Arial"/>
                <w:szCs w:val="22"/>
              </w:rPr>
            </w:pPr>
            <w:r w:rsidRPr="00157659">
              <w:rPr>
                <w:rFonts w:cs="Arial"/>
                <w:szCs w:val="22"/>
              </w:rPr>
              <w:t>7) Modifícase el artículo 50 bis, en los siguientes términos:</w:t>
            </w:r>
          </w:p>
          <w:p w:rsidR="00157659" w:rsidRDefault="00157659"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A5227F" w:rsidRDefault="00A5227F" w:rsidP="00157659">
            <w:pPr>
              <w:contextualSpacing/>
              <w:rPr>
                <w:rFonts w:cs="Arial"/>
                <w:szCs w:val="22"/>
              </w:rPr>
            </w:pPr>
          </w:p>
          <w:p w:rsidR="00192142" w:rsidRDefault="00192142" w:rsidP="00157659">
            <w:pPr>
              <w:contextualSpacing/>
              <w:rPr>
                <w:rFonts w:cs="Arial"/>
                <w:szCs w:val="22"/>
              </w:rPr>
            </w:pPr>
          </w:p>
          <w:p w:rsidR="00A5227F" w:rsidRPr="00157659" w:rsidRDefault="00A5227F" w:rsidP="00157659">
            <w:pPr>
              <w:contextualSpacing/>
              <w:rPr>
                <w:rFonts w:cs="Arial"/>
                <w:szCs w:val="22"/>
              </w:rPr>
            </w:pPr>
          </w:p>
          <w:p w:rsidR="00157659" w:rsidRPr="00157659" w:rsidRDefault="00157659" w:rsidP="00157659">
            <w:pPr>
              <w:contextualSpacing/>
              <w:rPr>
                <w:rFonts w:cs="Arial"/>
                <w:szCs w:val="22"/>
              </w:rPr>
            </w:pPr>
            <w:r w:rsidRPr="00157659">
              <w:rPr>
                <w:rFonts w:cs="Arial"/>
                <w:szCs w:val="22"/>
              </w:rPr>
              <w:t>a) Efectúanse, en su inciso tercero, las siguientes enmiendas:</w:t>
            </w:r>
          </w:p>
          <w:p w:rsidR="00157659" w:rsidRPr="00157659" w:rsidRDefault="00157659" w:rsidP="00157659">
            <w:pPr>
              <w:contextualSpacing/>
              <w:rPr>
                <w:rFonts w:cs="Arial"/>
                <w:szCs w:val="22"/>
              </w:rPr>
            </w:pPr>
          </w:p>
          <w:p w:rsidR="00157659" w:rsidRPr="00157659" w:rsidRDefault="00157659" w:rsidP="00157659">
            <w:pPr>
              <w:contextualSpacing/>
              <w:rPr>
                <w:rFonts w:cs="Arial"/>
                <w:szCs w:val="22"/>
              </w:rPr>
            </w:pPr>
            <w:r w:rsidRPr="00157659">
              <w:rPr>
                <w:rFonts w:cs="Arial"/>
                <w:szCs w:val="22"/>
              </w:rPr>
              <w:t>i) Reemplázase su encabezamiento por el siguiente:</w:t>
            </w:r>
          </w:p>
          <w:p w:rsidR="00157659" w:rsidRPr="00157659" w:rsidRDefault="00157659" w:rsidP="00157659">
            <w:pPr>
              <w:contextualSpacing/>
              <w:rPr>
                <w:rFonts w:cs="Arial"/>
                <w:szCs w:val="22"/>
              </w:rPr>
            </w:pPr>
          </w:p>
          <w:p w:rsidR="00157659" w:rsidRPr="00157659" w:rsidRDefault="00157659" w:rsidP="00157659">
            <w:pPr>
              <w:contextualSpacing/>
              <w:rPr>
                <w:rFonts w:cs="Arial"/>
                <w:szCs w:val="22"/>
              </w:rPr>
            </w:pPr>
            <w:r w:rsidRPr="00157659">
              <w:rPr>
                <w:rFonts w:cs="Arial"/>
                <w:szCs w:val="22"/>
              </w:rPr>
              <w:t>“La Comisión podrá, mediante norma de carácter general, señalar los requisitos y condiciones que deberán cumplir los directores para ser considerados como directores independientes. Sin perjuicio de lo anterior, no se considerará independiente a quienes se hayan encontrado en cualquier momento dentro de los últimos dieciocho meses, en alguna de las siguientes circunstancias:”.</w:t>
            </w:r>
          </w:p>
          <w:p w:rsidR="00157659" w:rsidRDefault="00157659" w:rsidP="00157659">
            <w:pPr>
              <w:contextualSpacing/>
              <w:rPr>
                <w:rFonts w:cs="Arial"/>
                <w:szCs w:val="22"/>
              </w:rPr>
            </w:pPr>
          </w:p>
          <w:p w:rsidR="00192142" w:rsidRDefault="00192142" w:rsidP="00157659">
            <w:pPr>
              <w:contextualSpacing/>
              <w:rPr>
                <w:rFonts w:cs="Arial"/>
                <w:szCs w:val="22"/>
              </w:rPr>
            </w:pPr>
          </w:p>
          <w:p w:rsidR="00157659" w:rsidRDefault="00157659" w:rsidP="00157659">
            <w:pPr>
              <w:contextualSpacing/>
              <w:rPr>
                <w:rFonts w:cs="Arial"/>
                <w:szCs w:val="22"/>
              </w:rPr>
            </w:pPr>
            <w:r w:rsidRPr="00157659">
              <w:rPr>
                <w:rFonts w:cs="Arial"/>
                <w:szCs w:val="22"/>
              </w:rPr>
              <w:t xml:space="preserve">ii) Agrégase, en su numeral 1), la siguiente oración final: </w:t>
            </w:r>
          </w:p>
          <w:p w:rsidR="00157659" w:rsidRDefault="00157659"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157659" w:rsidRPr="00157659" w:rsidRDefault="00157659" w:rsidP="00157659">
            <w:pPr>
              <w:contextualSpacing/>
              <w:rPr>
                <w:rFonts w:cs="Arial"/>
                <w:szCs w:val="22"/>
              </w:rPr>
            </w:pPr>
            <w:r w:rsidRPr="00157659">
              <w:rPr>
                <w:rFonts w:cs="Arial"/>
                <w:szCs w:val="22"/>
              </w:rPr>
              <w:t>“Para efectos de lo dispuesto en este artículo, la Comisión podrá establecer, mediante norma de carácter general, los criterios para determinar lo que se entenderá por naturaleza o volumen relevante.”.</w:t>
            </w:r>
          </w:p>
          <w:p w:rsidR="00157659" w:rsidRDefault="00157659"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614B21" w:rsidRDefault="00614B21"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614B21" w:rsidRDefault="00614B21" w:rsidP="00157659">
            <w:pPr>
              <w:contextualSpacing/>
              <w:rPr>
                <w:rFonts w:cs="Arial"/>
                <w:szCs w:val="22"/>
              </w:rPr>
            </w:pPr>
          </w:p>
          <w:p w:rsidR="00DE04FA" w:rsidRDefault="00DE04FA" w:rsidP="00157659">
            <w:pPr>
              <w:contextualSpacing/>
              <w:rPr>
                <w:rFonts w:cs="Arial"/>
                <w:szCs w:val="22"/>
              </w:rPr>
            </w:pPr>
          </w:p>
          <w:p w:rsidR="00DE04FA" w:rsidRDefault="00DE04FA" w:rsidP="00157659">
            <w:pPr>
              <w:contextualSpacing/>
              <w:rPr>
                <w:rFonts w:cs="Arial"/>
                <w:szCs w:val="22"/>
              </w:rPr>
            </w:pPr>
          </w:p>
          <w:p w:rsidR="00157659" w:rsidRDefault="00157659" w:rsidP="00157659">
            <w:pPr>
              <w:contextualSpacing/>
              <w:rPr>
                <w:rFonts w:cs="Arial"/>
                <w:szCs w:val="22"/>
              </w:rPr>
            </w:pPr>
            <w:r w:rsidRPr="00157659">
              <w:rPr>
                <w:rFonts w:cs="Arial"/>
                <w:szCs w:val="22"/>
              </w:rPr>
              <w:t xml:space="preserve">b) Elimínase, en su inciso quinto, la siguiente oración: </w:t>
            </w:r>
          </w:p>
          <w:p w:rsidR="00157659" w:rsidRDefault="00157659" w:rsidP="00157659">
            <w:pPr>
              <w:contextualSpacing/>
              <w:rPr>
                <w:rFonts w:cs="Arial"/>
                <w:szCs w:val="22"/>
              </w:rPr>
            </w:pPr>
          </w:p>
          <w:p w:rsidR="00157659" w:rsidRPr="00157659" w:rsidRDefault="00157659" w:rsidP="00157659">
            <w:pPr>
              <w:contextualSpacing/>
              <w:rPr>
                <w:rFonts w:cs="Arial"/>
                <w:szCs w:val="22"/>
              </w:rPr>
            </w:pPr>
            <w:r w:rsidRPr="00157659">
              <w:rPr>
                <w:rFonts w:cs="Arial"/>
                <w:szCs w:val="22"/>
              </w:rPr>
              <w:t>“La infracción al literal iii) no invalidará su elección ni los hará cesar en el cargo, pero obligará a responder de los perjuicios que su falta de veracidad o incumplimiento pueda causar a los accionistas.”.</w:t>
            </w:r>
          </w:p>
          <w:p w:rsidR="00157659" w:rsidRDefault="00157659"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BB3C13" w:rsidRDefault="00BB3C13" w:rsidP="00157659">
            <w:pPr>
              <w:contextualSpacing/>
              <w:rPr>
                <w:rFonts w:cs="Arial"/>
                <w:szCs w:val="22"/>
              </w:rPr>
            </w:pPr>
          </w:p>
          <w:p w:rsidR="00157659" w:rsidRPr="00157659" w:rsidRDefault="00157659" w:rsidP="00157659">
            <w:pPr>
              <w:contextualSpacing/>
              <w:rPr>
                <w:rFonts w:cs="Arial"/>
                <w:szCs w:val="22"/>
              </w:rPr>
            </w:pPr>
            <w:r w:rsidRPr="00157659">
              <w:rPr>
                <w:rFonts w:cs="Arial"/>
                <w:szCs w:val="22"/>
              </w:rPr>
              <w:t>c) Elimínase, en su inciso séptimo, la frase “o su designación como director en una o más filiales de la sociedad, en cuanto los directores de dichas entidades no sean remunerados”.</w:t>
            </w:r>
          </w:p>
          <w:p w:rsidR="00157659" w:rsidRDefault="00157659" w:rsidP="00157659">
            <w:pPr>
              <w:contextualSpacing/>
              <w:rPr>
                <w:rFonts w:cs="Arial"/>
                <w:szCs w:val="22"/>
              </w:rPr>
            </w:pPr>
          </w:p>
          <w:p w:rsidR="001F6240" w:rsidRPr="00157659"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D957D9" w:rsidRDefault="00D957D9" w:rsidP="00157659">
            <w:pPr>
              <w:contextualSpacing/>
              <w:rPr>
                <w:rFonts w:cs="Arial"/>
                <w:szCs w:val="22"/>
              </w:rPr>
            </w:pPr>
          </w:p>
          <w:p w:rsidR="00D957D9" w:rsidRDefault="00D957D9" w:rsidP="00157659">
            <w:pPr>
              <w:contextualSpacing/>
              <w:rPr>
                <w:rFonts w:cs="Arial"/>
                <w:szCs w:val="22"/>
              </w:rPr>
            </w:pPr>
          </w:p>
          <w:p w:rsidR="00D957D9" w:rsidRDefault="00D957D9" w:rsidP="00157659">
            <w:pPr>
              <w:contextualSpacing/>
              <w:rPr>
                <w:rFonts w:cs="Arial"/>
                <w:szCs w:val="22"/>
              </w:rPr>
            </w:pPr>
          </w:p>
          <w:p w:rsidR="00D957D9" w:rsidRDefault="00D957D9" w:rsidP="00157659">
            <w:pPr>
              <w:contextualSpacing/>
              <w:rPr>
                <w:rFonts w:cs="Arial"/>
                <w:szCs w:val="22"/>
              </w:rPr>
            </w:pPr>
          </w:p>
          <w:p w:rsidR="00D957D9" w:rsidRDefault="00D957D9" w:rsidP="00157659">
            <w:pPr>
              <w:contextualSpacing/>
              <w:rPr>
                <w:rFonts w:cs="Arial"/>
                <w:szCs w:val="22"/>
              </w:rPr>
            </w:pPr>
          </w:p>
          <w:p w:rsidR="001F6240" w:rsidRDefault="001F6240" w:rsidP="00157659">
            <w:pPr>
              <w:contextualSpacing/>
              <w:rPr>
                <w:rFonts w:cs="Arial"/>
                <w:szCs w:val="22"/>
              </w:rPr>
            </w:pPr>
          </w:p>
          <w:p w:rsidR="001F6240" w:rsidRDefault="001F6240" w:rsidP="00157659">
            <w:pPr>
              <w:contextualSpacing/>
              <w:rPr>
                <w:rFonts w:cs="Arial"/>
                <w:szCs w:val="22"/>
              </w:rPr>
            </w:pPr>
          </w:p>
          <w:p w:rsidR="00D957D9" w:rsidRPr="00D957D9" w:rsidRDefault="00D957D9" w:rsidP="00D957D9">
            <w:pPr>
              <w:contextualSpacing/>
              <w:rPr>
                <w:rFonts w:cs="Arial"/>
                <w:szCs w:val="22"/>
              </w:rPr>
            </w:pPr>
            <w:r w:rsidRPr="00D957D9">
              <w:rPr>
                <w:rFonts w:cs="Arial"/>
                <w:szCs w:val="22"/>
              </w:rPr>
              <w:t>d) Intercálase, en su inciso octavo, el siguiente numeral 4), nuevo, pasando el actual numeral 4) a ser 5), y así sucesivamente:</w:t>
            </w:r>
          </w:p>
          <w:p w:rsidR="00157659" w:rsidRPr="00157659" w:rsidRDefault="00157659" w:rsidP="00157659">
            <w:pPr>
              <w:contextualSpacing/>
              <w:rPr>
                <w:rFonts w:cs="Arial"/>
                <w:szCs w:val="22"/>
              </w:rPr>
            </w:pPr>
          </w:p>
          <w:p w:rsidR="00157659" w:rsidRPr="00157659" w:rsidRDefault="00157659" w:rsidP="00157659">
            <w:pPr>
              <w:contextualSpacing/>
              <w:rPr>
                <w:rFonts w:cs="Arial"/>
                <w:szCs w:val="22"/>
              </w:rPr>
            </w:pPr>
            <w:r w:rsidRPr="00157659">
              <w:rPr>
                <w:rFonts w:cs="Arial"/>
                <w:szCs w:val="22"/>
              </w:rPr>
              <w:t>“4) Proponer al directorio una política general de manejo de conflictos de interés, y pronunciarse acerca de las políticas generales de habitualidad establecidas de conformidad a lo dispuesto en el inciso segundo del artículo 147.”.</w:t>
            </w:r>
          </w:p>
          <w:p w:rsidR="0045036E" w:rsidRPr="001C20E4" w:rsidRDefault="0045036E">
            <w:pPr>
              <w:contextualSpacing/>
              <w:rPr>
                <w:rFonts w:cs="Arial"/>
                <w:szCs w:val="22"/>
              </w:rPr>
            </w:pPr>
          </w:p>
        </w:tc>
        <w:tc>
          <w:tcPr>
            <w:tcW w:w="1674" w:type="pct"/>
          </w:tcPr>
          <w:p w:rsidR="0045036E" w:rsidRPr="001C20E4" w:rsidRDefault="0045036E" w:rsidP="002C6C42">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pPr>
              <w:jc w:val="center"/>
            </w:pPr>
          </w:p>
          <w:p w:rsidR="0045036E" w:rsidRPr="001C20E4" w:rsidRDefault="0045036E">
            <w:pPr>
              <w:jc w:val="center"/>
            </w:pPr>
            <w:r w:rsidRPr="001C20E4">
              <w:t>TITULO VI</w:t>
            </w:r>
          </w:p>
          <w:p w:rsidR="0045036E" w:rsidRPr="001C20E4" w:rsidRDefault="0045036E">
            <w:pPr>
              <w:jc w:val="center"/>
            </w:pPr>
            <w:r w:rsidRPr="001C20E4">
              <w:t>De las juntas de accionistas</w:t>
            </w:r>
          </w:p>
          <w:p w:rsidR="0045036E" w:rsidRPr="001C20E4" w:rsidRDefault="0045036E">
            <w:pPr>
              <w:jc w:val="center"/>
              <w:rPr>
                <w:rFonts w:cs="Arial"/>
                <w:b/>
                <w:bCs/>
                <w:szCs w:val="22"/>
              </w:rPr>
            </w:pPr>
          </w:p>
          <w:p w:rsidR="0045036E" w:rsidRPr="001C20E4" w:rsidRDefault="0045036E">
            <w:pPr>
              <w:rPr>
                <w:rFonts w:cs="Arial"/>
                <w:szCs w:val="22"/>
              </w:rPr>
            </w:pPr>
            <w:r w:rsidRPr="001C20E4">
              <w:rPr>
                <w:rFonts w:cs="Arial"/>
                <w:szCs w:val="22"/>
              </w:rPr>
              <w:t>Artículo 69.- La aprobación por la junta de accionistas de alguna de las materias que se indican más adelante, concederá al accionista disidente el derecho a retirarse de la sociedad, previo pago por aquélla del valor de sus acciones. Sin perjuicio de lo anterior, en el caso de que la sociedad tenga la calidad de deudor en un procedimiento concursal de liquidación, se suspenderá el ejercicio del derecho a retiro hasta que no sean pagadas las acreencias que existan en el momento de generarse ese derecho. Igual norma se aplicará en caso de quedar sujeta la sociedad a un acuerdo de reorganización aprobado conforme a lo establecido en la Ley de Reorganización y Liquidación de Activos de Empresas y Personas y mientras esté vigente, salvo que dicho acuerdo autorice el retiro o cuando termine por la dictación de la resolución de liquidación.</w:t>
            </w:r>
          </w:p>
          <w:p w:rsidR="0045036E" w:rsidRPr="001C20E4" w:rsidRDefault="0045036E"/>
          <w:p w:rsidR="0045036E" w:rsidRPr="001C20E4" w:rsidRDefault="0045036E">
            <w:pPr>
              <w:rPr>
                <w:rFonts w:cs="Arial"/>
                <w:szCs w:val="22"/>
              </w:rPr>
            </w:pPr>
            <w:r w:rsidRPr="001C20E4">
              <w:rPr>
                <w:rFonts w:cs="Arial"/>
                <w:szCs w:val="22"/>
              </w:rPr>
              <w:t>Considérase accionista disidente a aquel que en la respectiva junta se hubiere opuesto al acuerdo que da derecho a retiro, o que, no habiendo concurrido a la junta, manifieste su disidencia por escrito a la sociedad, dentro del plazo establecido en el artículo siguiente.</w:t>
            </w:r>
          </w:p>
          <w:p w:rsidR="0045036E" w:rsidRPr="001C20E4" w:rsidRDefault="0045036E"/>
          <w:p w:rsidR="0045036E" w:rsidRPr="001C20E4" w:rsidRDefault="0045036E">
            <w:pPr>
              <w:rPr>
                <w:rFonts w:cs="Arial"/>
                <w:szCs w:val="22"/>
              </w:rPr>
            </w:pPr>
            <w:r w:rsidRPr="001C20E4">
              <w:rPr>
                <w:rFonts w:cs="Arial"/>
                <w:szCs w:val="22"/>
              </w:rPr>
              <w:t>El precio a pagar por la sociedad al accionista disidente que haga uso del derecho a retiro será, en las sociedades anónimas cerradas, el valor de libros de la acción y en las abiertas, el valor del mercado de la misma, determinados en la forma que fije el Reglamento.</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Los acuerdos que dan origen al derecho a retiro de la sociedad son:</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1) La transformación de la sociedad;</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2) La fusión de la sociedad;</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3) Las enajenaciones a que se refiere el Nº 9) del artículo 67</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4) El otorgamiento de las cauciones a que se refiere el Nº11) del artículo 67;</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5) La creación de preferencia para una serie de acciones o el aumento, prórroga o la reducción de las ya existentes. En este caso, tendrán derecho a retiro únicamente los accionistas disidentes de la o las series afectadas;</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6) El saneamiento de la nulidad causada por vicios formales de que adolezca la constitución de la sociedad o alguna modificación de sus estatutos que diere este derecho.</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 xml:space="preserve">7) Los demás casos que establezcan la ley o sus estatutos, en su caso. </w:t>
            </w:r>
          </w:p>
          <w:p w:rsidR="0045036E" w:rsidRPr="001C20E4" w:rsidRDefault="0045036E">
            <w:pPr>
              <w:jc w:val="center"/>
              <w:rPr>
                <w:rFonts w:cs="Arial"/>
                <w:b/>
                <w:bCs/>
                <w:szCs w:val="22"/>
              </w:rPr>
            </w:pPr>
          </w:p>
        </w:tc>
        <w:tc>
          <w:tcPr>
            <w:tcW w:w="1665" w:type="pct"/>
          </w:tcPr>
          <w:p w:rsidR="0045036E" w:rsidRPr="001C20E4" w:rsidRDefault="0045036E">
            <w:pPr>
              <w:contextualSpacing/>
              <w:rPr>
                <w:rFonts w:cs="Arial"/>
                <w:szCs w:val="22"/>
                <w:lang w:val="es-ES_tradnl"/>
              </w:rPr>
            </w:pPr>
          </w:p>
        </w:tc>
        <w:tc>
          <w:tcPr>
            <w:tcW w:w="1674" w:type="pct"/>
          </w:tcPr>
          <w:p w:rsidR="0045036E" w:rsidRPr="001C20E4" w:rsidRDefault="0045036E">
            <w:pPr>
              <w:contextualSpacing/>
              <w:rPr>
                <w:rFonts w:cs="Arial"/>
                <w:szCs w:val="22"/>
              </w:rPr>
            </w:pPr>
          </w:p>
        </w:tc>
      </w:tr>
      <w:tr w:rsidR="00096CE0" w:rsidRPr="001C20E4" w:rsidTr="00096CE0">
        <w:trPr>
          <w:trHeight w:val="315"/>
          <w:jc w:val="center"/>
        </w:trPr>
        <w:tc>
          <w:tcPr>
            <w:tcW w:w="1661" w:type="pct"/>
          </w:tcPr>
          <w:p w:rsidR="0045036E" w:rsidRPr="001C20E4" w:rsidRDefault="0045036E" w:rsidP="00924ECA">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924ECA">
            <w:pPr>
              <w:tabs>
                <w:tab w:val="left" w:pos="0"/>
              </w:tabs>
              <w:rPr>
                <w:rFonts w:cs="Arial"/>
              </w:rPr>
            </w:pPr>
            <w:r w:rsidRPr="001C20E4">
              <w:rPr>
                <w:rFonts w:cs="Arial"/>
              </w:rPr>
              <w:t xml:space="preserve">Artículo 69 bis.- Tratándose de sociedades anónimas abiertas en las que el Estado, directamente o por intermedio de sus empresas, instituciones descentralizadas, autónomas, municipales o a través de cualquier persona jurídica, fuere controlador y mientras mantenga esa calidad en dichas sociedades, podrá ejercerse por los restantes accionistas el derecho a retiro de la sociedad sí, en conformidad a las disposiciones del Título XIV de la ley N° 18.045, sus acciones hubieren estado clasificadas en primera clase y posteriormente fueren clasificadas como de segunda clase o sin información suficiente, por dos entidades clasificadoras de riesgo que deban evaluar sus acciones de acuerdo a la ley citada, basadas en razones que afectaren negativa y substancialmente su rentabilidad y derivadas de alguna de las siguientes causales: </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a) cuando se dicten normas en materia tarifaria o de precios de los servicios o bienes que ofrezcan o produzcan o relativas al acceso a los mercados, o se modifiquen las normas existentes;</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b) cuando la autoridad determine un precio de los bienes o servicios que ofrezcan o adquieran, diferente al precio fijado y calculado según los procedimientos establecidos por las leyes, o al convenido entre el proveedor del servicio y el usuario, que altere negativamente al que se tuvo en consideración al clasificar las acciones como de primera clase;</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c) cuando la sociedad esté sujeta a fijación de tarifas o de precios de los servicios o bienes que ofrezca o produzca y los administradores determinen fijar un valor menor por ellos, que altere negativamente al que se tuvo en consideración al clasificar las acciones como de primera clase;</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d) la determinación de sus administradores de adquirir materias primas u otros bienes o servicios necesarios para su giro que incidan en sus costos, en términos o condiciones más onerosos en relación al promedio del precio en que normalmente se ofrecen en el mercado, sean nacionales o extranjeros, considerando el volumen, calidad y especialidad que la sociedad requiera;</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e) la determinación de los administradores de la sociedad de iniciar proyectos importantes de inversión sin tener en cuenta una rentabilidad adecuada, considerando las características y el riesgo del proyecto, y</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 xml:space="preserve">f) la realización de acciones de fomento o ayuda o el otorgamiento directo o indirecto de subsidios de parte de la sociedad, que no hubieren sido considerados a la época de la clasificación de las acciones como de primera clase, siempre que no le fueren otorgados, directa o indirectamente, por el Estado, los recursos suficientes para su financiamiento. </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El derecho a retiro establecido en el inciso segundo del artículo 106 del decreto ley N° 3.500, respecto de las administradoras de fondos de pensiones, podrá también ser ejercido por los accionistas a que se refiere el artículo 56 del decreto con fuerza de ley N° 251, de 1931, y los indicados en el inciso anterior.</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El derecho a retiro de que tratan este artículo, el artículo 106 del decreto ley N° 3.500, de 1980, y el artículo 56 del decreto con fuerza de ley N° 251, de 1931, deberá ser ejercido por el accionista dentro del plazo de 30 días contado desde la fecha de la publicación del acuerdo desaprobatorio o clasificaciones pertinentes.</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En los casos en que se origine el derecho a retiro, sea en virtud de esta ley o de otras leyes, será obligación de la sociedad emisora efectuar una publicación mediante un aviso destacado en un diario de amplia circulación nacional y remitir una comunicación a los accionistas con derecho, informando sobre esta circunstancia y sobre el plazo para su ejercicio, dentro de los dos días siguientes a la fecha en que nazca el derecho a retiro.</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Para ejercer el derecho a retiro, el accionista deberá manifestarlo por escrito a la sociedad emisora dentro del plazo indicado en el inciso tercero, y comprenderá las acciones que poseía inscritas a su nombre en el Registro de Accionistas a la fecha de publicación del acuerdo o clasificaciones correspondientes.</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El precio a pagar por la sociedad al accionista que ejerza el derecho a retiro, en conformidad a lo dispuesto en el artículo 106 del decreto ley N° 3.500, de 1980, en el artículo 56 del decreto con fuerza de ley N° 251, de 1931, o en el inciso primero de este artículo será el equivalente al precio promedio ponderado de las transacciones bursátiles de las acciones de que se trate, en los seis meses precedentes al día de la publicación del acuerdo desaprobatorio de la Comisión Clasificadora de Riesgo o clasificación de las entidades clasificadoras, según corresponda, que motiva el retiro. Para el cálculo del precio promedio ponderado, deberá considerarse la variación experimentada por la unidad de fomento entre el día de cada transacción y el día precedente al de la publicación del acuerdo o clasificaciones correspondientes.</w:t>
            </w:r>
          </w:p>
          <w:p w:rsidR="0045036E" w:rsidRPr="001C20E4" w:rsidRDefault="0045036E" w:rsidP="00924ECA">
            <w:pPr>
              <w:tabs>
                <w:tab w:val="left" w:pos="0"/>
              </w:tabs>
              <w:rPr>
                <w:rFonts w:cs="Arial"/>
              </w:rPr>
            </w:pPr>
          </w:p>
          <w:p w:rsidR="0045036E" w:rsidRPr="001C20E4" w:rsidRDefault="0045036E" w:rsidP="00924ECA">
            <w:pPr>
              <w:widowControl w:val="0"/>
              <w:tabs>
                <w:tab w:val="left" w:pos="0"/>
              </w:tabs>
              <w:rPr>
                <w:rFonts w:cs="Arial"/>
              </w:rPr>
            </w:pPr>
            <w:r w:rsidRPr="001C20E4">
              <w:rPr>
                <w:rFonts w:cs="Arial"/>
              </w:rPr>
              <w:t>Sin embargo, el precio a pagar al accionista que ejerza el derecho a retiro cuando las acciones de la sociedad dejen de tener transacción bursátil o si teniéndola, no alcancen a establecer un valor de acuerdo a las normas que se dicten por la Superintendencia al efecto, será el valor de libros, conforme se determina en el Reglamento de esta ley.</w:t>
            </w:r>
          </w:p>
          <w:p w:rsidR="0045036E" w:rsidRPr="001C20E4" w:rsidRDefault="0045036E" w:rsidP="00924ECA">
            <w:pPr>
              <w:widowControl w:val="0"/>
              <w:tabs>
                <w:tab w:val="left" w:pos="0"/>
              </w:tabs>
              <w:rPr>
                <w:rFonts w:cs="Arial"/>
              </w:rPr>
            </w:pPr>
          </w:p>
          <w:p w:rsidR="0045036E" w:rsidRPr="001C20E4" w:rsidRDefault="0045036E" w:rsidP="00924ECA">
            <w:pPr>
              <w:widowControl w:val="0"/>
              <w:tabs>
                <w:tab w:val="left" w:pos="0"/>
              </w:tabs>
              <w:rPr>
                <w:rFonts w:cs="Arial"/>
              </w:rPr>
            </w:pPr>
            <w:r w:rsidRPr="001C20E4">
              <w:rPr>
                <w:rFonts w:cs="Arial"/>
              </w:rPr>
              <w:t xml:space="preserve">El pago del precio deberá efectuarse dentro de los 60 días siguientes a la fecha de vencimiento del plazo a que se refiere el inciso tercero de este artículo. Si no se pagare dentro de dicho término, el precio deberá expresarse en unidades de fomento y devengará intereses corrientes para operaciones reajustables, a contar del vencimiento del plazo antes señalado. Para el cobro del mismo, tendrá mérito ejecutivo la certificación que otorgue la Superintendencia respecto de las publicaciones que hayan hecho las clasificadoras de riesgo </w:t>
            </w:r>
            <w:r w:rsidRPr="00343F3E">
              <w:rPr>
                <w:rFonts w:cs="Arial"/>
                <w:u w:val="single"/>
              </w:rPr>
              <w:t>o la Comisión</w:t>
            </w:r>
            <w:r w:rsidRPr="00D957D9">
              <w:rPr>
                <w:rFonts w:cs="Arial"/>
              </w:rPr>
              <w:t>, en su caso</w:t>
            </w:r>
            <w:r w:rsidRPr="001C20E4">
              <w:rPr>
                <w:rFonts w:cs="Arial"/>
                <w:u w:val="single"/>
              </w:rPr>
              <w:t>,</w:t>
            </w:r>
            <w:r w:rsidRPr="001C20E4">
              <w:rPr>
                <w:rFonts w:cs="Arial"/>
              </w:rPr>
              <w:t xml:space="preserve"> y el título de las acciones o el documento que haga sus veces. Asimismo, gozará de igual mérito la certificación de la Superintendencia acerca de la copia del acta, o de una parte de ella, a que se refiere el inciso siguiente.</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Si los accionistas que ejercieren el derecho a retiro representaren un porcentaje igual o superior a un tercio de las acciones emitidas, el directorio deberá citar a junta extraordinaria de accionistas, dentro de los 60 días siguientes de transcurrido el plazo a que se refiere el inciso tercero de este artículo, a fin de que la sociedad representada por su directorio, convenga con los accionistas disidentes que representen el voto conforme de los dos tercios de las acciones que hayan ejercido el derecho a retiro, las condiciones y plazos para el pago de la deuda que se genere como consecuencia de ello. Este acuerdo será obligatorio para los demás accionistas disidentes. Para los accionistas que no hubieren ejercido el derecho a retiro, esta junta tendrá el carácter de informativa y estos accionistas no serán considerados para efectos de quórum ni tendrán derecho a voto.</w:t>
            </w:r>
          </w:p>
          <w:p w:rsidR="0045036E" w:rsidRPr="001C20E4" w:rsidRDefault="0045036E" w:rsidP="00924ECA">
            <w:pPr>
              <w:tabs>
                <w:tab w:val="left" w:pos="0"/>
              </w:tabs>
              <w:rPr>
                <w:rFonts w:cs="Arial"/>
              </w:rPr>
            </w:pPr>
          </w:p>
          <w:p w:rsidR="0045036E" w:rsidRPr="001C20E4" w:rsidRDefault="0045036E" w:rsidP="00924ECA">
            <w:pPr>
              <w:tabs>
                <w:tab w:val="left" w:pos="0"/>
              </w:tabs>
              <w:rPr>
                <w:rFonts w:cs="Arial"/>
              </w:rPr>
            </w:pPr>
            <w:r w:rsidRPr="001C20E4">
              <w:rPr>
                <w:rFonts w:cs="Arial"/>
              </w:rPr>
              <w:t>El accionista disidente podrá renunciar a hacer efectivo su derecho a retiro, hasta antes de que la sociedad le efectúe el pago o que la sociedad y los accionistas disidentes acuerden el convenio de pago, a que se refiere el inciso penúltimo de este artículo.</w:t>
            </w:r>
          </w:p>
          <w:p w:rsidR="0045036E" w:rsidRPr="001C20E4" w:rsidRDefault="0045036E" w:rsidP="00276D59">
            <w:pPr>
              <w:widowControl w:val="0"/>
              <w:tabs>
                <w:tab w:val="clear" w:pos="2835"/>
              </w:tabs>
              <w:autoSpaceDE w:val="0"/>
              <w:autoSpaceDN w:val="0"/>
              <w:adjustRightInd w:val="0"/>
              <w:jc w:val="center"/>
              <w:rPr>
                <w:rFonts w:eastAsiaTheme="minorEastAsia" w:cs="Arial"/>
                <w:szCs w:val="22"/>
                <w:lang w:eastAsia="es-CL"/>
              </w:rPr>
            </w:pPr>
          </w:p>
        </w:tc>
        <w:tc>
          <w:tcPr>
            <w:tcW w:w="1665" w:type="pct"/>
          </w:tcPr>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Default="00343F3E" w:rsidP="00343F3E">
            <w:pPr>
              <w:contextualSpacing/>
              <w:rPr>
                <w:rFonts w:cs="Arial"/>
                <w:szCs w:val="22"/>
              </w:rPr>
            </w:pPr>
          </w:p>
          <w:p w:rsidR="00343F3E" w:rsidRPr="00343F3E" w:rsidRDefault="00343F3E" w:rsidP="00343F3E">
            <w:pPr>
              <w:contextualSpacing/>
              <w:rPr>
                <w:rFonts w:cs="Arial"/>
                <w:szCs w:val="22"/>
              </w:rPr>
            </w:pPr>
            <w:r w:rsidRPr="00343F3E">
              <w:rPr>
                <w:rFonts w:cs="Arial"/>
                <w:szCs w:val="22"/>
              </w:rPr>
              <w:t>8) Intercálase, en la tercera oración del inciso octavo del artículo 69 bis, a continuación de la expresión “o la Comisión”, lo siguiente: “Clasificadora de Riesgos”.</w:t>
            </w:r>
          </w:p>
          <w:p w:rsidR="0045036E" w:rsidRPr="001C20E4" w:rsidRDefault="0045036E">
            <w:pPr>
              <w:contextualSpacing/>
              <w:rPr>
                <w:rFonts w:cs="Arial"/>
                <w:szCs w:val="22"/>
              </w:rPr>
            </w:pPr>
          </w:p>
        </w:tc>
        <w:tc>
          <w:tcPr>
            <w:tcW w:w="1674" w:type="pct"/>
          </w:tcPr>
          <w:p w:rsidR="0045036E" w:rsidRPr="001C20E4" w:rsidRDefault="0045036E" w:rsidP="00457A44">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276D59">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276D59">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TITULO VIII</w:t>
            </w:r>
          </w:p>
          <w:p w:rsidR="0045036E" w:rsidRDefault="0045036E" w:rsidP="00276D59">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De las filiales y coligadas</w:t>
            </w:r>
          </w:p>
          <w:p w:rsidR="009D7094" w:rsidRDefault="009D7094" w:rsidP="00276D59">
            <w:pPr>
              <w:widowControl w:val="0"/>
              <w:tabs>
                <w:tab w:val="clear" w:pos="2835"/>
              </w:tabs>
              <w:autoSpaceDE w:val="0"/>
              <w:autoSpaceDN w:val="0"/>
              <w:adjustRightInd w:val="0"/>
              <w:jc w:val="center"/>
              <w:rPr>
                <w:rFonts w:eastAsiaTheme="minorEastAsia" w:cs="Arial"/>
                <w:szCs w:val="22"/>
                <w:lang w:val="es-ES_tradnl" w:eastAsia="es-CL"/>
              </w:rPr>
            </w:pPr>
          </w:p>
          <w:p w:rsidR="009D7094" w:rsidRDefault="009D7094" w:rsidP="00276D59">
            <w:pPr>
              <w:widowControl w:val="0"/>
              <w:tabs>
                <w:tab w:val="clear" w:pos="2835"/>
              </w:tabs>
              <w:autoSpaceDE w:val="0"/>
              <w:autoSpaceDN w:val="0"/>
              <w:adjustRightInd w:val="0"/>
              <w:jc w:val="center"/>
              <w:rPr>
                <w:rFonts w:eastAsiaTheme="minorEastAsia" w:cs="Arial"/>
                <w:szCs w:val="22"/>
                <w:lang w:val="es-ES_tradnl" w:eastAsia="es-CL"/>
              </w:rPr>
            </w:pPr>
          </w:p>
          <w:p w:rsidR="009D7094" w:rsidRPr="001C20E4" w:rsidRDefault="009D7094" w:rsidP="00276D59">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276D59">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276D59">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 86. Es sociedad filial de una sociedad anónima, que se denomina matriz, aquella en la que ésta controla directamente o a través de otra persona natural o jurídica más del 50% de su capital con derecho a voto o del capital, si no se tratare de una sociedad por acciones o pueda elegir o designar o hacer elegir o designar a la mayoría de sus directores o administradores.</w:t>
            </w:r>
          </w:p>
          <w:p w:rsidR="0045036E" w:rsidRPr="001C20E4" w:rsidRDefault="0045036E" w:rsidP="00276D59">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276D59">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sociedad en comandita será también filial de una anónima, cuando ésta tenga el poder para dirigir u orientar la administración del gestor.</w:t>
            </w:r>
          </w:p>
          <w:p w:rsidR="0045036E" w:rsidRPr="001C20E4" w:rsidRDefault="0045036E" w:rsidP="00276D59">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pPr>
              <w:jc w:val="center"/>
              <w:rPr>
                <w:rFonts w:cs="Arial"/>
                <w:szCs w:val="22"/>
                <w:lang w:val="es-ES_tradnl"/>
              </w:rPr>
            </w:pPr>
          </w:p>
        </w:tc>
        <w:tc>
          <w:tcPr>
            <w:tcW w:w="1665" w:type="pct"/>
          </w:tcPr>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Pr="009D7094" w:rsidRDefault="009D7094" w:rsidP="009D7094">
            <w:pPr>
              <w:contextualSpacing/>
              <w:rPr>
                <w:rFonts w:cs="Arial"/>
                <w:szCs w:val="22"/>
              </w:rPr>
            </w:pPr>
            <w:r w:rsidRPr="009D7094">
              <w:rPr>
                <w:rFonts w:cs="Arial"/>
                <w:szCs w:val="22"/>
              </w:rPr>
              <w:t>9) Agrégase, en el artículo 86, el siguiente inciso final:</w:t>
            </w:r>
          </w:p>
          <w:p w:rsidR="009D7094" w:rsidRP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Default="009D7094" w:rsidP="009D7094">
            <w:pPr>
              <w:contextualSpacing/>
              <w:rPr>
                <w:rFonts w:cs="Arial"/>
                <w:szCs w:val="22"/>
              </w:rPr>
            </w:pPr>
          </w:p>
          <w:p w:rsidR="009D7094" w:rsidRPr="009D7094" w:rsidRDefault="009D7094" w:rsidP="009D7094">
            <w:pPr>
              <w:contextualSpacing/>
              <w:rPr>
                <w:rFonts w:cs="Arial"/>
                <w:szCs w:val="22"/>
              </w:rPr>
            </w:pPr>
            <w:r w:rsidRPr="009D7094">
              <w:rPr>
                <w:rFonts w:cs="Arial"/>
                <w:szCs w:val="22"/>
              </w:rPr>
              <w:t>“La Comisión podrá requerir la información que considere pertinente para efectos de fiscalizar el cumplimiento de las disposiciones de la presente ley a las sociedades filiales de una sociedad anónima abierta, sin importar su forma jurídica. El incumplimiento en la entrega de la información así requerida podrá ser sancionado por la precitada Comisión de conformidad a lo dispuesto en el Título III del decreto ley N° 3.538, del Ministerio de Hacienda, de 1980, cuyo texto fue reemplazado por el artículo primero de la ley N° 21.000, que crea la Comisión para el Mercado Financiero.”.</w:t>
            </w:r>
          </w:p>
          <w:p w:rsidR="0045036E" w:rsidRPr="001C20E4" w:rsidRDefault="0045036E">
            <w:pPr>
              <w:contextualSpacing/>
              <w:rPr>
                <w:rFonts w:cs="Arial"/>
                <w:szCs w:val="22"/>
              </w:rPr>
            </w:pPr>
          </w:p>
        </w:tc>
        <w:tc>
          <w:tcPr>
            <w:tcW w:w="1674" w:type="pct"/>
          </w:tcPr>
          <w:p w:rsidR="0045036E" w:rsidRPr="001C20E4" w:rsidRDefault="0045036E" w:rsidP="00457A44">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6746F7">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Default="0045036E" w:rsidP="006746F7">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Art. 92. Los directores de una sociedad matriz, aunque no sean miembros del directorio de una sociedad filial o administradores de la misma, podrán asistir con derecho a voz, a las reuniones de dichos directorios o a las de los administradores, en su caso, y tendrán además, facultad para imponerse de los libros y antecedentes de la sociedad filial.</w:t>
            </w:r>
          </w:p>
          <w:p w:rsidR="002A2249" w:rsidRDefault="002A2249" w:rsidP="006746F7">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Pr>
                <w:rFonts w:cs="Arial"/>
                <w:szCs w:val="22"/>
                <w:lang w:val="es-CL" w:eastAsia="es-CL"/>
              </w:rPr>
              <w:br/>
            </w:r>
          </w:p>
          <w:p w:rsidR="002A2249" w:rsidRPr="001C20E4" w:rsidRDefault="002A2249" w:rsidP="006746F7">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276D59">
            <w:pPr>
              <w:widowControl w:val="0"/>
              <w:tabs>
                <w:tab w:val="clear" w:pos="2835"/>
              </w:tabs>
              <w:autoSpaceDE w:val="0"/>
              <w:autoSpaceDN w:val="0"/>
              <w:adjustRightInd w:val="0"/>
              <w:jc w:val="center"/>
              <w:rPr>
                <w:rFonts w:eastAsiaTheme="minorEastAsia" w:cs="Arial"/>
                <w:szCs w:val="22"/>
                <w:lang w:val="es-ES_tradnl" w:eastAsia="es-CL"/>
              </w:rPr>
            </w:pPr>
          </w:p>
        </w:tc>
        <w:tc>
          <w:tcPr>
            <w:tcW w:w="1665" w:type="pct"/>
          </w:tcPr>
          <w:p w:rsidR="0045036E" w:rsidRPr="001C20E4" w:rsidRDefault="0045036E">
            <w:pPr>
              <w:contextualSpacing/>
              <w:rPr>
                <w:rFonts w:cs="Arial"/>
                <w:szCs w:val="22"/>
              </w:rPr>
            </w:pPr>
          </w:p>
        </w:tc>
        <w:tc>
          <w:tcPr>
            <w:tcW w:w="1674" w:type="pct"/>
          </w:tcPr>
          <w:p w:rsidR="0045036E" w:rsidRPr="001C20E4" w:rsidRDefault="0045036E" w:rsidP="005E1A7D">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pPr>
              <w:jc w:val="center"/>
              <w:rPr>
                <w:rFonts w:cs="Arial"/>
                <w:szCs w:val="22"/>
              </w:rPr>
            </w:pPr>
          </w:p>
        </w:tc>
        <w:tc>
          <w:tcPr>
            <w:tcW w:w="1665" w:type="pct"/>
          </w:tcPr>
          <w:p w:rsidR="00872AEB" w:rsidRPr="00872AEB" w:rsidRDefault="00872AEB" w:rsidP="00872AEB">
            <w:pPr>
              <w:contextualSpacing/>
              <w:rPr>
                <w:rFonts w:cs="Arial"/>
                <w:szCs w:val="22"/>
              </w:rPr>
            </w:pPr>
            <w:r w:rsidRPr="00872AEB">
              <w:rPr>
                <w:rFonts w:cs="Arial"/>
                <w:szCs w:val="22"/>
              </w:rPr>
              <w:t>10) Intercálase el siguiente artículo 92 bis:</w:t>
            </w:r>
          </w:p>
          <w:p w:rsidR="00872AEB" w:rsidRPr="00872AEB" w:rsidRDefault="00872AEB" w:rsidP="00872AEB">
            <w:pPr>
              <w:contextualSpacing/>
              <w:rPr>
                <w:rFonts w:cs="Arial"/>
                <w:szCs w:val="22"/>
              </w:rPr>
            </w:pPr>
          </w:p>
          <w:p w:rsidR="00872AEB" w:rsidRPr="00872AEB" w:rsidRDefault="00872AEB" w:rsidP="00872AEB">
            <w:pPr>
              <w:contextualSpacing/>
              <w:rPr>
                <w:rFonts w:cs="Arial"/>
                <w:szCs w:val="22"/>
              </w:rPr>
            </w:pPr>
            <w:r w:rsidRPr="00872AEB">
              <w:rPr>
                <w:rFonts w:cs="Arial"/>
                <w:szCs w:val="22"/>
              </w:rPr>
              <w:t>“Artículo 92 bis.- El directorio de la sociedad matriz de una sociedad fiscalizada por la Comisión deberá establecer y difundir una política general de elección de directores en sus sociedades filiales, la que deberá contener las menciones mínimas que al efecto establezca la Comisión, mediante norma de carácter general.”.</w:t>
            </w:r>
          </w:p>
          <w:p w:rsidR="0045036E" w:rsidRPr="001C20E4" w:rsidRDefault="0045036E">
            <w:pPr>
              <w:contextualSpacing/>
              <w:rPr>
                <w:rFonts w:cs="Arial"/>
                <w:szCs w:val="22"/>
              </w:rPr>
            </w:pPr>
          </w:p>
        </w:tc>
        <w:tc>
          <w:tcPr>
            <w:tcW w:w="1674" w:type="pct"/>
          </w:tcPr>
          <w:p w:rsidR="0045036E" w:rsidRPr="001C20E4" w:rsidRDefault="0045036E" w:rsidP="005E1A7D">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6746F7">
            <w:pPr>
              <w:rPr>
                <w:rFonts w:cs="Arial"/>
                <w:szCs w:val="22"/>
              </w:rPr>
            </w:pPr>
          </w:p>
          <w:p w:rsidR="0045036E" w:rsidRPr="001C20E4" w:rsidRDefault="0045036E" w:rsidP="009C7EF1">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1C20E4">
              <w:rPr>
                <w:rFonts w:cs="Arial"/>
                <w:szCs w:val="22"/>
                <w:lang w:val="es-CL" w:eastAsia="es-CL"/>
              </w:rPr>
              <w:t xml:space="preserve">Artículo 137 bis.- La </w:t>
            </w:r>
            <w:r w:rsidRPr="001C20E4">
              <w:rPr>
                <w:rFonts w:cs="Arial"/>
                <w:szCs w:val="22"/>
                <w:u w:val="single"/>
                <w:lang w:val="es-CL" w:eastAsia="es-CL"/>
              </w:rPr>
              <w:t>Superintendencia</w:t>
            </w:r>
            <w:r w:rsidRPr="001C20E4">
              <w:rPr>
                <w:rFonts w:cs="Arial"/>
                <w:szCs w:val="22"/>
                <w:lang w:val="es-CL" w:eastAsia="es-CL"/>
              </w:rPr>
              <w:t xml:space="preserve"> determinará, mediante norma de carácter general, los medios alternativos a través de los cuales las sociedades fiscalizadas podrán enviar o poner a disposición de sus accionistas, los documentos, información y comunicaciones que establece esta ley.</w:t>
            </w:r>
          </w:p>
        </w:tc>
        <w:tc>
          <w:tcPr>
            <w:tcW w:w="1665" w:type="pct"/>
          </w:tcPr>
          <w:p w:rsidR="00F20B3C" w:rsidRPr="00F20B3C" w:rsidRDefault="00F20B3C" w:rsidP="00F20B3C">
            <w:pPr>
              <w:contextualSpacing/>
              <w:rPr>
                <w:rFonts w:cs="Arial"/>
                <w:szCs w:val="22"/>
              </w:rPr>
            </w:pPr>
            <w:r w:rsidRPr="00F20B3C">
              <w:rPr>
                <w:rFonts w:cs="Arial"/>
                <w:szCs w:val="22"/>
              </w:rPr>
              <w:t>11) Reemplázase, en el artículo 137 bis, la palabra “Superintendencia”, por la voz “Comisión”.</w:t>
            </w:r>
          </w:p>
          <w:p w:rsidR="0045036E" w:rsidRPr="001C20E4" w:rsidRDefault="0045036E">
            <w:pPr>
              <w:contextualSpacing/>
              <w:rPr>
                <w:rFonts w:cs="Arial"/>
                <w:szCs w:val="22"/>
              </w:rPr>
            </w:pPr>
          </w:p>
        </w:tc>
        <w:tc>
          <w:tcPr>
            <w:tcW w:w="1674" w:type="pct"/>
          </w:tcPr>
          <w:p w:rsidR="0045036E" w:rsidRPr="001C20E4" w:rsidRDefault="0045036E">
            <w:pPr>
              <w:contextualSpacing/>
              <w:rPr>
                <w:rFonts w:cs="Arial"/>
                <w:szCs w:val="22"/>
                <w:lang w:val="es-ES_tradnl"/>
              </w:rPr>
            </w:pPr>
          </w:p>
        </w:tc>
      </w:tr>
      <w:tr w:rsidR="00096CE0" w:rsidRPr="001C20E4" w:rsidTr="00096CE0">
        <w:trPr>
          <w:trHeight w:val="315"/>
          <w:jc w:val="center"/>
        </w:trPr>
        <w:tc>
          <w:tcPr>
            <w:tcW w:w="1661" w:type="pct"/>
          </w:tcPr>
          <w:p w:rsidR="0045036E" w:rsidRPr="001C20E4" w:rsidRDefault="0045036E">
            <w:pPr>
              <w:jc w:val="center"/>
              <w:rPr>
                <w:rFonts w:cs="Arial"/>
                <w:szCs w:val="22"/>
              </w:rPr>
            </w:pPr>
          </w:p>
          <w:p w:rsidR="0045036E" w:rsidRPr="001C20E4" w:rsidRDefault="0045036E">
            <w:pPr>
              <w:jc w:val="center"/>
              <w:rPr>
                <w:rFonts w:cs="Arial"/>
                <w:szCs w:val="22"/>
              </w:rPr>
            </w:pPr>
            <w:r w:rsidRPr="001C20E4">
              <w:rPr>
                <w:rFonts w:cs="Arial"/>
                <w:szCs w:val="22"/>
              </w:rPr>
              <w:t>TÍTULO XVI</w:t>
            </w:r>
          </w:p>
          <w:p w:rsidR="0045036E" w:rsidRPr="001C20E4" w:rsidRDefault="0045036E">
            <w:pPr>
              <w:jc w:val="center"/>
              <w:rPr>
                <w:rFonts w:cs="Arial"/>
                <w:szCs w:val="22"/>
              </w:rPr>
            </w:pPr>
          </w:p>
          <w:p w:rsidR="0045036E" w:rsidRPr="001C20E4" w:rsidRDefault="0045036E">
            <w:pPr>
              <w:jc w:val="center"/>
              <w:rPr>
                <w:rFonts w:cs="Arial"/>
                <w:szCs w:val="22"/>
              </w:rPr>
            </w:pPr>
            <w:r w:rsidRPr="001C20E4">
              <w:rPr>
                <w:rFonts w:cs="Arial"/>
                <w:szCs w:val="22"/>
              </w:rPr>
              <w:t>DE LAS OPERACIONES CON PARTES RELACIONADAS EN LAS SOCIEDADES ANÓNIMAS ABIERTAS Y SUS FILIALES</w:t>
            </w:r>
          </w:p>
          <w:p w:rsidR="0045036E" w:rsidRDefault="0045036E">
            <w:pPr>
              <w:jc w:val="center"/>
              <w:rPr>
                <w:rFonts w:cs="Arial"/>
                <w:b/>
                <w:bCs/>
                <w:szCs w:val="22"/>
              </w:rPr>
            </w:pPr>
          </w:p>
          <w:p w:rsidR="008971BD" w:rsidRDefault="008971BD">
            <w:pPr>
              <w:jc w:val="center"/>
              <w:rPr>
                <w:rFonts w:cs="Arial"/>
                <w:b/>
                <w:bCs/>
                <w:szCs w:val="22"/>
              </w:rPr>
            </w:pPr>
          </w:p>
          <w:p w:rsidR="008971BD" w:rsidRPr="001C20E4" w:rsidRDefault="008971BD">
            <w:pPr>
              <w:jc w:val="center"/>
              <w:rPr>
                <w:rFonts w:cs="Arial"/>
                <w:b/>
                <w:bCs/>
                <w:szCs w:val="22"/>
              </w:rPr>
            </w:pPr>
          </w:p>
          <w:p w:rsidR="0045036E" w:rsidRPr="001C20E4" w:rsidRDefault="0045036E">
            <w:pPr>
              <w:rPr>
                <w:rFonts w:cs="Arial"/>
                <w:szCs w:val="22"/>
              </w:rPr>
            </w:pPr>
            <w:r w:rsidRPr="001C20E4">
              <w:rPr>
                <w:rFonts w:cs="Arial"/>
                <w:szCs w:val="22"/>
              </w:rPr>
              <w:t>Artículo 147.- Una sociedad anónima abierta sólo podrá celebrar operaciones con partes relacionadas cuando tengan por objeto contribuir al interés social, se ajusten en precio, términos y condiciones a aquellas que prevalezcan en el mercado al tiempo de su aprobación, y cumplan con los requisitos y procedimientos que se señalan a continuación:</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1) Los directores, gerentes, administradores, ejecutivos principales o liquidadores que tengan interés o participen en negociaciones conducentes a la realización de una operación con partes relacionadas de la sociedad anónima, deberán informar inmediatamente de ello al directorio o a quien éste designe. Quienes incumplan esta obligación serán solidariamente responsables de los perjuicios que la operación ocasionare a la sociedad y sus accionistas.</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2) Antes que la sociedad otorgue su consentimiento a una operación con parte relacionada, ésta deberá ser aprobada por la mayoría absoluta de los miembros del directorio, con exclusión de los directores o liquidadores involucrados, quienes no obstante deberán hacer público su parecer respecto de la operación si son requeridos por el directorio, debiendo dejarse constancia en el acta de su opinión. Asimismo, deberá dejarse constancia de los fundamentos de la decisión y las razones por las cuales se excluyeron a tales directores.</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3) Los acuerdos adoptados por el directorio para aprobar una operación con una parte relacionada serán dados a conocer en la próxima junta de accionistas, debiendo hacerse mención de los directores que la aprobaron. De esta materia se hará indicación expresa en la citación a la correspondiente junta de accionistas.</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4) En caso que la mayoría absoluta de los miembros del directorio deba abstenerse en la votación destinada a resolver la operación, ésta sólo podrá llevarse a cabo si es aprobada por la unanimidad de los miembros del directorio no involucrados o, en su defecto, si es aprobada en junta extraordinaria de accionistas con el acuerdo de dos tercios de las acciones emitidas con derecho a voto.</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5) Si se convocase a junta extraordinaria de accionistas para aprobar la operación, el directorio designará al menos un evaluador independiente para informar a los accionistas respecto de las condiciones de la operación, sus efectos y su potencial impacto para la sociedad. En su informe, los evaluadores independientes deberán también pronunciarse acerca de los puntos que el comité de directores, en su caso, haya solicitado expresamente que sean evaluados. El comité de directores de la sociedad o, si la sociedad no contare con éste, los directores no involucrados, podrán designar un evaluador independiente adicional, en caso que no estuvieren de acuerdo con la selección efectuada por el directorio.</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Los informes de los evaluadores independientes serán puestos por el directorio a disposición de los accionistas al día hábil siguiente de recibidos por la sociedad, en las oficinas sociales y en el sitio en Internet de la sociedad, de contar la sociedad con tales medios, por un plazo mínimo de 15 días hábiles contado desde la fecha en que se recibió el último de esos informes, debiendo comunicar la sociedad tal situación a los accionistas mediante hecho esencial.</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Los directores deberán pronunciarse respecto de la conveniencia de la operación para el interés social, dentro de los 5 días hábiles siguientes desde la fecha en que se recibió el último de los informes de los evaluadores.</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6) Cuando los directores de la sociedad deban pronunciarse respecto de operaciones de este Título, deberán explicitar la relación que tuvieran con la contraparte de la operación o el interés que en ella tengan. Deberán también hacerse cargo de la conveniencia de la operación para el interés social, de los reparos u objeciones que hubiese expresado el comité de directores, en su caso, así como de las conclusiones de los informes de los evaluadores o peritos. Estas opiniones de los directores deberán ser puestas a disposición de los accionistas al día siguiente de recibidos por la sociedad, en las oficinas sociales así como en el sitio en Internet de las sociedades que cuenten con tales medios, y dicha situación deberá ser informada por la sociedad mediante hecho esencial.</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7) Sin perjuicio de las sanciones que correspondan, la infracción a este artículo no afectará la validez de la operación, pero otorgará a la sociedad o a los accionistas el derecho de demandar, de la persona relacionada infractora, el reembolso en beneficio de la sociedad de una suma equivalente a los beneficios que la operación hubiera reportado a la contraparte relacionada, además de la indemnización de los daños correspondientes. En este caso, corresponderá a la parte demandada probar que la operación se ajustó a lo señalado en este artículo.</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No obstante lo dispuesto en los números anteriores, las siguientes operaciones con partes relacionadas podrán ejecutarse sin los requisitos y procedimientos establecidos en los números anteriores, previa autorización del directorio:</w:t>
            </w: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a) Aquellas operaciones que no sean de monto relevante. Para estos efectos, se entiende que es de monto relevante todo acto o contrato que supere el 1% del patrimonio social, siempre que dicho acto o contrato exceda el equivalente a 2.000 unidades de fomento y, en todo caso, cuando sea superior a 20.000 unidades de fomento. Se presume que constituyen una sola operación todas aquellas que se perfeccionen en un periodo de 12 meses consecutivos por medio de uno o más actos similares o complementarios, en los que exista identidad de partes, incluidas las personas relacionadas, u objeto.</w:t>
            </w:r>
          </w:p>
          <w:p w:rsidR="0045036E" w:rsidRDefault="0045036E">
            <w:pPr>
              <w:rPr>
                <w:rFonts w:cs="Arial"/>
                <w:szCs w:val="22"/>
              </w:rPr>
            </w:pPr>
          </w:p>
          <w:p w:rsidR="00D957D9" w:rsidRDefault="00D957D9">
            <w:pPr>
              <w:rPr>
                <w:rFonts w:cs="Arial"/>
                <w:szCs w:val="22"/>
              </w:rPr>
            </w:pPr>
          </w:p>
          <w:p w:rsidR="00D957D9" w:rsidRPr="001C20E4" w:rsidRDefault="00D957D9">
            <w:pPr>
              <w:rPr>
                <w:rFonts w:cs="Arial"/>
                <w:szCs w:val="22"/>
              </w:rPr>
            </w:pPr>
          </w:p>
          <w:p w:rsidR="0045036E" w:rsidRPr="001C20E4" w:rsidRDefault="0045036E">
            <w:pPr>
              <w:rPr>
                <w:rFonts w:cs="Arial"/>
                <w:szCs w:val="22"/>
                <w:u w:val="single"/>
              </w:rPr>
            </w:pPr>
            <w:r w:rsidRPr="001C20E4">
              <w:rPr>
                <w:rFonts w:cs="Arial"/>
                <w:szCs w:val="22"/>
                <w:u w:val="single"/>
              </w:rPr>
              <w:t>b) Aquellas operaciones que, conforme a políticas generales de habitualidad, determinadas por el directorio de la sociedad, sean ordinarias en consideración al giro social. En este último caso, el acuerdo que establezca dichas políticas o su modificación será informado como hecho esencial y puesto a disposición de los accionistas en las oficinas sociales y en el sitio en Internet de las sociedades que cuenten con tales medios, sin perjuicio de informar las operaciones como hecho esencial cuando corresponda.</w:t>
            </w: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p>
          <w:p w:rsidR="0045036E" w:rsidRPr="001C20E4" w:rsidRDefault="0045036E">
            <w:pPr>
              <w:rPr>
                <w:rFonts w:cs="Arial"/>
                <w:szCs w:val="22"/>
              </w:rPr>
            </w:pPr>
            <w:r w:rsidRPr="001C20E4">
              <w:rPr>
                <w:rFonts w:cs="Arial"/>
                <w:szCs w:val="22"/>
              </w:rPr>
              <w:t>c) Aquellas operaciones entre personas jurídicas en las cuales la sociedad posea, directa o indirectamente, al menos un 95% de la propiedad de la contraparte.</w:t>
            </w:r>
          </w:p>
          <w:p w:rsidR="0045036E" w:rsidRPr="001C20E4" w:rsidRDefault="0045036E" w:rsidP="00726383">
            <w:pPr>
              <w:rPr>
                <w:rFonts w:cs="Arial"/>
                <w:b/>
                <w:bCs/>
                <w:szCs w:val="22"/>
              </w:rPr>
            </w:pPr>
          </w:p>
        </w:tc>
        <w:tc>
          <w:tcPr>
            <w:tcW w:w="1665" w:type="pct"/>
          </w:tcPr>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Pr="008971BD" w:rsidRDefault="008971BD" w:rsidP="008971BD">
            <w:pPr>
              <w:widowControl w:val="0"/>
              <w:contextualSpacing/>
              <w:rPr>
                <w:rFonts w:cs="Arial"/>
                <w:szCs w:val="22"/>
              </w:rPr>
            </w:pPr>
            <w:r w:rsidRPr="008971BD">
              <w:rPr>
                <w:rFonts w:cs="Arial"/>
                <w:szCs w:val="22"/>
              </w:rPr>
              <w:t>12) Efectúanse, en el artículo 147, las siguientes enmiendas:</w:t>
            </w: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D957D9" w:rsidRDefault="00D957D9" w:rsidP="008971BD">
            <w:pPr>
              <w:widowControl w:val="0"/>
              <w:contextualSpacing/>
              <w:rPr>
                <w:rFonts w:cs="Arial"/>
                <w:szCs w:val="22"/>
              </w:rPr>
            </w:pPr>
          </w:p>
          <w:p w:rsidR="004001CA" w:rsidRDefault="004001CA" w:rsidP="008971BD">
            <w:pPr>
              <w:widowControl w:val="0"/>
              <w:contextualSpacing/>
              <w:rPr>
                <w:rFonts w:cs="Arial"/>
                <w:szCs w:val="22"/>
              </w:rPr>
            </w:pPr>
          </w:p>
          <w:p w:rsidR="004001CA" w:rsidRDefault="004001CA" w:rsidP="008971BD">
            <w:pPr>
              <w:widowControl w:val="0"/>
              <w:contextualSpacing/>
              <w:rPr>
                <w:rFonts w:cs="Arial"/>
                <w:szCs w:val="22"/>
              </w:rPr>
            </w:pPr>
          </w:p>
          <w:p w:rsidR="00D957D9" w:rsidRDefault="00D957D9" w:rsidP="008971BD">
            <w:pPr>
              <w:widowControl w:val="0"/>
              <w:contextualSpacing/>
              <w:rPr>
                <w:rFonts w:cs="Arial"/>
                <w:szCs w:val="22"/>
              </w:rPr>
            </w:pPr>
          </w:p>
          <w:p w:rsidR="008971BD" w:rsidRPr="008971BD" w:rsidRDefault="008971BD" w:rsidP="008971BD">
            <w:pPr>
              <w:widowControl w:val="0"/>
              <w:contextualSpacing/>
              <w:rPr>
                <w:rFonts w:cs="Arial"/>
                <w:szCs w:val="22"/>
              </w:rPr>
            </w:pPr>
            <w:r w:rsidRPr="008971BD">
              <w:rPr>
                <w:rFonts w:cs="Arial"/>
                <w:szCs w:val="22"/>
              </w:rPr>
              <w:t>a) Reemplázase la letra b) de su inciso segundo, por la siguiente:</w:t>
            </w:r>
          </w:p>
          <w:p w:rsidR="008971BD" w:rsidRPr="008971BD" w:rsidRDefault="008971BD" w:rsidP="008971BD">
            <w:pPr>
              <w:widowControl w:val="0"/>
              <w:contextualSpacing/>
              <w:rPr>
                <w:rFonts w:cs="Arial"/>
                <w:szCs w:val="22"/>
              </w:rPr>
            </w:pPr>
          </w:p>
          <w:p w:rsidR="008971BD" w:rsidRPr="008971BD" w:rsidRDefault="008971BD" w:rsidP="008971BD">
            <w:pPr>
              <w:widowControl w:val="0"/>
              <w:contextualSpacing/>
              <w:rPr>
                <w:rFonts w:cs="Arial"/>
                <w:szCs w:val="22"/>
              </w:rPr>
            </w:pPr>
            <w:r w:rsidRPr="008971BD">
              <w:rPr>
                <w:rFonts w:cs="Arial"/>
                <w:szCs w:val="22"/>
              </w:rPr>
              <w:t>“b) Aquellas que, conforme a la política de operaciones habituales aprobada por el directorio, sean ordinarias en consideración al giro social. El acuerdo que establezca estas políticas o su modificación deberá contar con el pronunciamiento del Comité de Directores y será informado a la Comisión como hecho esencial cuando corresponda.</w:t>
            </w:r>
          </w:p>
          <w:p w:rsidR="008971BD" w:rsidRPr="008971BD" w:rsidRDefault="008971BD" w:rsidP="008971BD">
            <w:pPr>
              <w:widowControl w:val="0"/>
              <w:contextualSpacing/>
              <w:rPr>
                <w:rFonts w:cs="Arial"/>
                <w:szCs w:val="22"/>
              </w:rPr>
            </w:pPr>
          </w:p>
          <w:p w:rsidR="008971BD" w:rsidRPr="008971BD" w:rsidRDefault="008971BD" w:rsidP="008971BD">
            <w:pPr>
              <w:widowControl w:val="0"/>
              <w:contextualSpacing/>
              <w:rPr>
                <w:rFonts w:cs="Arial"/>
                <w:szCs w:val="22"/>
              </w:rPr>
            </w:pPr>
            <w:r w:rsidRPr="008971BD">
              <w:rPr>
                <w:rFonts w:cs="Arial"/>
                <w:szCs w:val="22"/>
              </w:rPr>
              <w:t>La política de operaciones habituales a que se refiere el presente literal deberá contener las menciones mínimas que establezca la Comisión mediante una norma de carácter general, y mantenerse permanentemente a disposición de los accionistas en las oficinas sociales y en el sitio web institucional de las sociedades que cuenten con tales medios.</w:t>
            </w:r>
          </w:p>
          <w:p w:rsidR="008971BD" w:rsidRPr="008971BD" w:rsidRDefault="008971BD" w:rsidP="008971BD">
            <w:pPr>
              <w:widowControl w:val="0"/>
              <w:contextualSpacing/>
              <w:rPr>
                <w:rFonts w:cs="Arial"/>
                <w:szCs w:val="22"/>
              </w:rPr>
            </w:pPr>
          </w:p>
          <w:p w:rsidR="008971BD" w:rsidRPr="008971BD" w:rsidRDefault="008971BD" w:rsidP="008971BD">
            <w:pPr>
              <w:widowControl w:val="0"/>
              <w:contextualSpacing/>
              <w:rPr>
                <w:rFonts w:cs="Arial"/>
                <w:szCs w:val="22"/>
              </w:rPr>
            </w:pPr>
            <w:r w:rsidRPr="008971BD">
              <w:rPr>
                <w:rFonts w:cs="Arial"/>
                <w:szCs w:val="22"/>
              </w:rPr>
              <w:t>Con todo, la política referida precedentemente no podrá autorizar la suscripción de actos o contratos que comprometan más del 10% del activo de la sociedad.”.</w:t>
            </w: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p>
          <w:p w:rsidR="008971BD" w:rsidRPr="008971BD" w:rsidRDefault="008971BD" w:rsidP="008971BD">
            <w:pPr>
              <w:widowControl w:val="0"/>
              <w:contextualSpacing/>
              <w:rPr>
                <w:rFonts w:cs="Arial"/>
                <w:szCs w:val="22"/>
              </w:rPr>
            </w:pPr>
          </w:p>
          <w:p w:rsidR="008971BD" w:rsidRPr="008971BD" w:rsidRDefault="008971BD" w:rsidP="008971BD">
            <w:pPr>
              <w:widowControl w:val="0"/>
              <w:contextualSpacing/>
              <w:rPr>
                <w:rFonts w:cs="Arial"/>
                <w:szCs w:val="22"/>
              </w:rPr>
            </w:pPr>
            <w:r w:rsidRPr="008971BD">
              <w:rPr>
                <w:rFonts w:cs="Arial"/>
                <w:szCs w:val="22"/>
              </w:rPr>
              <w:t>b) Agrégase el siguiente inciso final:</w:t>
            </w:r>
          </w:p>
          <w:p w:rsidR="008971BD" w:rsidRPr="008971BD" w:rsidRDefault="008971BD" w:rsidP="008971BD">
            <w:pPr>
              <w:widowControl w:val="0"/>
              <w:contextualSpacing/>
              <w:rPr>
                <w:rFonts w:cs="Arial"/>
                <w:szCs w:val="22"/>
              </w:rPr>
            </w:pPr>
          </w:p>
          <w:p w:rsidR="008971BD" w:rsidRDefault="008971BD" w:rsidP="008971BD">
            <w:pPr>
              <w:widowControl w:val="0"/>
              <w:contextualSpacing/>
              <w:rPr>
                <w:rFonts w:cs="Arial"/>
                <w:szCs w:val="22"/>
              </w:rPr>
            </w:pPr>
            <w:r w:rsidRPr="008971BD">
              <w:rPr>
                <w:rFonts w:cs="Arial"/>
                <w:szCs w:val="22"/>
              </w:rPr>
              <w:t>“Sin perjuicio de lo dispuesto en los incisos precedentes, la Comisión podrá requerir que las sociedades difundan a los accionistas y al público general el detalle de las operaciones con partes relacionadas que hubieren sido realizadas. Dicha difusión se llevará a cabo en la forma, plazo, periodicidad y condiciones que establezca la referida Comisión mediante norma de carácter general.”.</w:t>
            </w:r>
          </w:p>
          <w:p w:rsidR="00657E93" w:rsidRDefault="00657E93" w:rsidP="008971BD">
            <w:pPr>
              <w:widowControl w:val="0"/>
              <w:contextualSpacing/>
              <w:rPr>
                <w:rFonts w:cs="Arial"/>
                <w:szCs w:val="22"/>
              </w:rPr>
            </w:pPr>
          </w:p>
          <w:p w:rsidR="0045036E" w:rsidRPr="001C20E4" w:rsidRDefault="0045036E" w:rsidP="00B05127">
            <w:pPr>
              <w:widowControl w:val="0"/>
              <w:contextualSpacing/>
              <w:rPr>
                <w:rFonts w:cs="Arial"/>
                <w:szCs w:val="22"/>
              </w:rPr>
            </w:pPr>
          </w:p>
        </w:tc>
        <w:tc>
          <w:tcPr>
            <w:tcW w:w="1674" w:type="pct"/>
          </w:tcPr>
          <w:p w:rsidR="0045036E" w:rsidRPr="001C20E4" w:rsidRDefault="0045036E" w:rsidP="00B05127">
            <w:pPr>
              <w:widowControl w:val="0"/>
              <w:tabs>
                <w:tab w:val="left" w:pos="0"/>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336FB7">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336FB7">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TÍTULO XVI</w:t>
            </w:r>
          </w:p>
          <w:p w:rsidR="0045036E" w:rsidRPr="001C20E4" w:rsidRDefault="0045036E" w:rsidP="00336FB7">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336FB7">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DE LAS OPERACIONES CON PARTES RELACIONADAS EN LAS SOCIEDADES ANÓNIMAS ABIERTAS Y SUS FILIALES</w:t>
            </w:r>
          </w:p>
          <w:p w:rsidR="0045036E" w:rsidRDefault="0045036E" w:rsidP="00336FB7">
            <w:pPr>
              <w:widowControl w:val="0"/>
              <w:tabs>
                <w:tab w:val="clear" w:pos="2835"/>
              </w:tabs>
              <w:autoSpaceDE w:val="0"/>
              <w:autoSpaceDN w:val="0"/>
              <w:adjustRightInd w:val="0"/>
              <w:jc w:val="center"/>
              <w:rPr>
                <w:rFonts w:eastAsiaTheme="minorEastAsia" w:cs="Arial"/>
                <w:szCs w:val="22"/>
                <w:lang w:val="es-ES_tradnl" w:eastAsia="es-CL"/>
              </w:rPr>
            </w:pPr>
          </w:p>
          <w:p w:rsidR="00746BB7" w:rsidRPr="001C20E4" w:rsidRDefault="00746BB7" w:rsidP="00336FB7">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336FB7">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Artículo 149. Las disposiciones de este título </w:t>
            </w:r>
            <w:r w:rsidRPr="001C20E4">
              <w:rPr>
                <w:rFonts w:eastAsiaTheme="minorEastAsia" w:cs="Arial"/>
                <w:szCs w:val="22"/>
                <w:u w:val="single"/>
                <w:lang w:val="es-ES_tradnl" w:eastAsia="es-CL"/>
              </w:rPr>
              <w:t>serán aplicables</w:t>
            </w:r>
            <w:r w:rsidRPr="00F10925">
              <w:rPr>
                <w:rFonts w:eastAsiaTheme="minorEastAsia" w:cs="Arial"/>
                <w:szCs w:val="22"/>
                <w:lang w:val="es-ES_tradnl" w:eastAsia="es-CL"/>
              </w:rPr>
              <w:t xml:space="preserve"> tanto</w:t>
            </w:r>
            <w:r w:rsidRPr="001C20E4">
              <w:rPr>
                <w:rFonts w:eastAsiaTheme="minorEastAsia" w:cs="Arial"/>
                <w:szCs w:val="22"/>
                <w:lang w:val="es-ES_tradnl" w:eastAsia="es-CL"/>
              </w:rPr>
              <w:t xml:space="preserve"> a las sociedades anónimas abiertas como a todas sus filiales, sin importar la naturaleza jurídica de éstas.</w:t>
            </w:r>
          </w:p>
          <w:p w:rsidR="0045036E" w:rsidRPr="001C20E4" w:rsidRDefault="0045036E" w:rsidP="00336FB7">
            <w:pPr>
              <w:widowControl w:val="0"/>
              <w:tabs>
                <w:tab w:val="clear" w:pos="2835"/>
              </w:tabs>
              <w:autoSpaceDE w:val="0"/>
              <w:autoSpaceDN w:val="0"/>
              <w:adjustRightInd w:val="0"/>
              <w:rPr>
                <w:rFonts w:cs="Arial"/>
                <w:szCs w:val="22"/>
                <w:lang w:val="es-ES_tradnl"/>
              </w:rPr>
            </w:pPr>
          </w:p>
        </w:tc>
        <w:tc>
          <w:tcPr>
            <w:tcW w:w="1665" w:type="pct"/>
          </w:tcPr>
          <w:p w:rsidR="00657E93" w:rsidRDefault="00657E93" w:rsidP="00657E93">
            <w:pPr>
              <w:contextualSpacing/>
              <w:rPr>
                <w:rFonts w:cs="Arial"/>
                <w:szCs w:val="22"/>
              </w:rPr>
            </w:pPr>
          </w:p>
          <w:p w:rsidR="00657E93" w:rsidRDefault="00657E93" w:rsidP="00657E93">
            <w:pPr>
              <w:contextualSpacing/>
              <w:rPr>
                <w:rFonts w:cs="Arial"/>
                <w:szCs w:val="22"/>
              </w:rPr>
            </w:pPr>
          </w:p>
          <w:p w:rsidR="00657E93" w:rsidRDefault="00657E93" w:rsidP="00657E93">
            <w:pPr>
              <w:contextualSpacing/>
              <w:rPr>
                <w:rFonts w:cs="Arial"/>
                <w:szCs w:val="22"/>
              </w:rPr>
            </w:pPr>
          </w:p>
          <w:p w:rsidR="00657E93" w:rsidRDefault="00657E93" w:rsidP="00657E93">
            <w:pPr>
              <w:contextualSpacing/>
              <w:rPr>
                <w:rFonts w:cs="Arial"/>
                <w:szCs w:val="22"/>
              </w:rPr>
            </w:pPr>
          </w:p>
          <w:p w:rsidR="00657E93" w:rsidRDefault="00657E93" w:rsidP="00657E93">
            <w:pPr>
              <w:contextualSpacing/>
              <w:rPr>
                <w:rFonts w:cs="Arial"/>
                <w:szCs w:val="22"/>
              </w:rPr>
            </w:pPr>
          </w:p>
          <w:p w:rsidR="00657E93" w:rsidRDefault="00657E93" w:rsidP="00657E93">
            <w:pPr>
              <w:contextualSpacing/>
              <w:rPr>
                <w:rFonts w:cs="Arial"/>
                <w:szCs w:val="22"/>
              </w:rPr>
            </w:pPr>
          </w:p>
          <w:p w:rsidR="00657E93" w:rsidRDefault="00657E93" w:rsidP="00657E93">
            <w:pPr>
              <w:contextualSpacing/>
              <w:rPr>
                <w:rFonts w:cs="Arial"/>
                <w:szCs w:val="22"/>
              </w:rPr>
            </w:pPr>
          </w:p>
          <w:p w:rsidR="00657E93" w:rsidRPr="00657E93" w:rsidRDefault="00657E93" w:rsidP="00657E93">
            <w:pPr>
              <w:contextualSpacing/>
              <w:rPr>
                <w:rFonts w:cs="Arial"/>
                <w:szCs w:val="22"/>
              </w:rPr>
            </w:pPr>
            <w:r w:rsidRPr="00657E93">
              <w:rPr>
                <w:rFonts w:cs="Arial"/>
                <w:szCs w:val="22"/>
              </w:rPr>
              <w:t>13) Intercálase, en el artículo 149, a continuación de la expresión “serán aplicables”, la frase “, sin perjuicio de las demás disposiciones de la presente ley,”.</w:t>
            </w:r>
          </w:p>
          <w:p w:rsidR="0045036E" w:rsidRDefault="0045036E">
            <w:pPr>
              <w:contextualSpacing/>
              <w:rPr>
                <w:rFonts w:cs="Arial"/>
                <w:szCs w:val="22"/>
              </w:rPr>
            </w:pPr>
          </w:p>
          <w:p w:rsidR="00F10925" w:rsidRDefault="00F10925">
            <w:pPr>
              <w:contextualSpacing/>
              <w:rPr>
                <w:rFonts w:cs="Arial"/>
                <w:szCs w:val="22"/>
              </w:rPr>
            </w:pPr>
          </w:p>
          <w:p w:rsidR="00F10925" w:rsidRDefault="00F10925">
            <w:pPr>
              <w:contextualSpacing/>
              <w:rPr>
                <w:rFonts w:cs="Arial"/>
                <w:szCs w:val="22"/>
              </w:rPr>
            </w:pPr>
          </w:p>
          <w:p w:rsidR="00F10925" w:rsidRDefault="00F10925">
            <w:pPr>
              <w:contextualSpacing/>
              <w:rPr>
                <w:rFonts w:cs="Arial"/>
                <w:szCs w:val="22"/>
              </w:rPr>
            </w:pPr>
          </w:p>
          <w:p w:rsidR="00F10925" w:rsidRDefault="00F10925">
            <w:pPr>
              <w:contextualSpacing/>
              <w:rPr>
                <w:rFonts w:cs="Arial"/>
                <w:szCs w:val="22"/>
              </w:rPr>
            </w:pPr>
          </w:p>
          <w:p w:rsidR="000E5BBF" w:rsidRDefault="000E5BBF">
            <w:pPr>
              <w:contextualSpacing/>
              <w:rPr>
                <w:rFonts w:cs="Arial"/>
                <w:szCs w:val="22"/>
              </w:rPr>
            </w:pPr>
          </w:p>
          <w:p w:rsidR="00F10925" w:rsidRPr="001C20E4" w:rsidRDefault="00F10925">
            <w:pPr>
              <w:contextualSpacing/>
              <w:rPr>
                <w:rFonts w:cs="Arial"/>
                <w:szCs w:val="22"/>
              </w:rPr>
            </w:pPr>
          </w:p>
        </w:tc>
        <w:tc>
          <w:tcPr>
            <w:tcW w:w="1674" w:type="pct"/>
          </w:tcPr>
          <w:p w:rsidR="0045036E" w:rsidRPr="001C20E4" w:rsidRDefault="0045036E">
            <w:pPr>
              <w:contextualSpacing/>
              <w:rPr>
                <w:rFonts w:cs="Arial"/>
                <w:szCs w:val="22"/>
              </w:rPr>
            </w:pPr>
          </w:p>
        </w:tc>
      </w:tr>
      <w:tr w:rsidR="00096CE0" w:rsidRPr="001C20E4" w:rsidTr="00096CE0">
        <w:trPr>
          <w:trHeight w:val="315"/>
          <w:jc w:val="center"/>
        </w:trPr>
        <w:tc>
          <w:tcPr>
            <w:tcW w:w="1661" w:type="pct"/>
          </w:tcPr>
          <w:p w:rsidR="0045036E" w:rsidRPr="001C20E4" w:rsidRDefault="0045036E" w:rsidP="00336FB7">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336FB7">
            <w:pPr>
              <w:widowControl w:val="0"/>
              <w:tabs>
                <w:tab w:val="clear" w:pos="2835"/>
              </w:tabs>
              <w:autoSpaceDE w:val="0"/>
              <w:autoSpaceDN w:val="0"/>
              <w:adjustRightInd w:val="0"/>
              <w:jc w:val="center"/>
              <w:rPr>
                <w:rFonts w:eastAsiaTheme="minorEastAsia" w:cs="Arial"/>
                <w:szCs w:val="22"/>
                <w:lang w:val="es-ES_tradnl" w:eastAsia="es-CL"/>
              </w:rPr>
            </w:pPr>
          </w:p>
        </w:tc>
        <w:tc>
          <w:tcPr>
            <w:tcW w:w="1665" w:type="pct"/>
          </w:tcPr>
          <w:p w:rsidR="00D810CB" w:rsidRDefault="00D810CB" w:rsidP="00D810CB">
            <w:pPr>
              <w:contextualSpacing/>
              <w:rPr>
                <w:rFonts w:cs="Arial"/>
                <w:szCs w:val="22"/>
              </w:rPr>
            </w:pPr>
            <w:r w:rsidRPr="00D810CB">
              <w:rPr>
                <w:rFonts w:cs="Arial"/>
                <w:szCs w:val="22"/>
              </w:rPr>
              <w:t>Artículo 3°.- La prestación de servicios de asesoría de inversión en Chile quedará sometida a la presente regulación. Para estos efectos se entenderá por asesorías de inversión la prestación, por cualquier medio, de servicios o la oferta de productos al público general o a sectores específicos de él, relacionados con la inversión en instrumentos financieros de cualquier especie. Quedarán excluidos de la obligación de inscripción en el Registro regulado por el presente artículo, los bancos, las compañías de seguros y reaseguros, los intermediarios de valores de oferta pública, las administradoras de fondos autorizados por ley y los administradores de cartera fiscalizados por la Comisión para el Mercado Financiero.</w:t>
            </w:r>
          </w:p>
          <w:p w:rsidR="000556B3" w:rsidRPr="00D810CB" w:rsidRDefault="000556B3"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La prestación de servicios de asesoría de inversión estará sometida a la fiscalización de la Comisión para el Mercado Financiero, la que dispondrá de todas las facultades que le confiere el decreto ley N° 3.538, del Ministerio de Hacienda, de 1980, cuyo texto fue reemplazado por el artículo primero de la ley N° 21.000, que crea la Comisión para el Mercado Financiero, para efectos de vigilar el cumplimiento de las disposiciones del presente artículo y las normas que en su conformidad sean dictadas.</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 xml:space="preserve">Quien se dedique de manera habitual a prestar servicios de asesoría de inversión deberá estar previamente inscrito en el Registro que mantenga al efecto la Comisión para el Mercado Financiero y sólo podrá prestar servicios mientras se encuentre registrado en él. Dicho Registro estará permanentemente a disposición del público a través de su sitio web institucional. </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La precitada Comisión, por norma de carácter general, establecerá los requisitos de inscripción en el Registro, los casos y procedimiento de cancelación y suspensión del mismo y, en caso que lo estime necesario para el adecuado funcionamiento del mercado financiero, determinará las exigencias que deberán cumplir los asesores de inversión en materia de solvencia, gestión de riesgos, idoneidad y conducta. Asimismo, determinará la información mínima que los asesores de inversión deberán proporcionar al público general y a la propia Comisión. Con todo, la Comisión para el Mercado Financiero estará facultada para dictar normas diferenciadas en atención a la naturaleza de los servicios o productos de inversión que ofrezcan al público, así como la cantidad de clientes que pudieren verse afectados.</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Por las anotaciones o modificaciones que se realicen al Registro descrito en el presente artículo no procederá el cobro de derecho o tarifa alguna.</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La información, propaganda o publicidad que por cualquier medio se entregue respecto de la oferta de productos o servicios relacionados con la inversión no podrá contener declaraciones, alusiones o representaciones que puedan inducir a error, o que sean equívocos o puedan causar confusión al público acerca de la naturaleza, precios, rentabilidad, rescates, liquidez, garantías, fiscalización o cualquier otra característica de tales productos o servicios o aquellas relativas a quienes los presten.</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La información que se entregue al público y que contenga recomendaciones de inversión deberá cumplir los requisitos que establezca la Comisión para el Mercado Financiero mediante norma de carácter general, en materia de difusión acerca del riesgo, costos, rentabilidades esperadas, conflictos de interés, y perfil profesional de los responsables de dicha información, entre otros.</w:t>
            </w:r>
          </w:p>
          <w:p w:rsidR="00D810CB" w:rsidRPr="00D810CB" w:rsidRDefault="00D810CB" w:rsidP="00D810CB">
            <w:pPr>
              <w:contextualSpacing/>
              <w:rPr>
                <w:rFonts w:cs="Arial"/>
                <w:szCs w:val="22"/>
              </w:rPr>
            </w:pPr>
          </w:p>
          <w:p w:rsidR="00D810CB" w:rsidRPr="000556B3" w:rsidRDefault="00D810CB" w:rsidP="00D810CB">
            <w:pPr>
              <w:contextualSpacing/>
              <w:rPr>
                <w:rFonts w:cs="Arial"/>
                <w:b/>
                <w:szCs w:val="22"/>
              </w:rPr>
            </w:pPr>
            <w:r w:rsidRPr="000556B3">
              <w:rPr>
                <w:rFonts w:cs="Arial"/>
                <w:b/>
                <w:szCs w:val="22"/>
              </w:rPr>
              <w:t>Sufrirán las penas de presidio menor en cualquiera de sus grados, quienes presten asesorías de inversión de manera habitual sin estar previamente inscritos en el Registro establecido en el presente artículo o cuya inscripción hubiere sido suspendida o cancelada.</w:t>
            </w:r>
          </w:p>
          <w:p w:rsidR="00D810CB" w:rsidRPr="000556B3" w:rsidRDefault="00D810CB" w:rsidP="00D810CB">
            <w:pPr>
              <w:contextualSpacing/>
              <w:rPr>
                <w:rFonts w:cs="Arial"/>
                <w:b/>
                <w:szCs w:val="22"/>
              </w:rPr>
            </w:pPr>
          </w:p>
          <w:p w:rsidR="00D810CB" w:rsidRPr="000556B3" w:rsidRDefault="00D810CB" w:rsidP="00D810CB">
            <w:pPr>
              <w:contextualSpacing/>
              <w:rPr>
                <w:rFonts w:cs="Arial"/>
                <w:b/>
                <w:szCs w:val="22"/>
              </w:rPr>
            </w:pPr>
            <w:r w:rsidRPr="000556B3">
              <w:rPr>
                <w:rFonts w:cs="Arial"/>
                <w:b/>
                <w:szCs w:val="22"/>
              </w:rPr>
              <w:t xml:space="preserve">Por su parte, sufrirán la pena de presidio menor en sus grados mínimo a medio, los que, con el objeto de inducir a error, difundan información falsa o tendenciosa, aun cuando no persigan con ello obtener ventajas para sí o terceros. </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 xml:space="preserve">La pena señalada en el inciso precedente se aumentará en dos grados, cuando: </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a) La conducta descrita se realice por quien debiendo estar inscrito en el Registro no lo estuviere al momento de realizarla, o</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b) La conducta descrita haya afectado a más de 100 personas.</w:t>
            </w:r>
          </w:p>
          <w:p w:rsidR="00D810CB" w:rsidRPr="00D810CB" w:rsidRDefault="00D810CB" w:rsidP="00D810CB">
            <w:pPr>
              <w:contextualSpacing/>
              <w:rPr>
                <w:rFonts w:cs="Arial"/>
                <w:szCs w:val="22"/>
              </w:rPr>
            </w:pPr>
          </w:p>
          <w:p w:rsidR="00D810CB" w:rsidRPr="00D810CB" w:rsidRDefault="00D810CB" w:rsidP="00D810CB">
            <w:pPr>
              <w:contextualSpacing/>
              <w:rPr>
                <w:rFonts w:cs="Arial"/>
                <w:szCs w:val="22"/>
              </w:rPr>
            </w:pPr>
            <w:r w:rsidRPr="00D810CB">
              <w:rPr>
                <w:rFonts w:cs="Arial"/>
                <w:szCs w:val="22"/>
              </w:rPr>
              <w:t>Con todo, las infracciones al presente artículo por las entidades inscritas en el Registro podrán ser sancionadas de conformidad a lo dispuesto en el Título III del decreto ley N° 3.538, del Ministerio de Hacienda, de 1980, cuyo texto fue reemplazado por el artículo primero de la ley N° 21.000, que crea la Comisión para el Mercado Financiero.</w:t>
            </w:r>
          </w:p>
          <w:p w:rsidR="0045036E" w:rsidRPr="001C20E4" w:rsidRDefault="0045036E">
            <w:pPr>
              <w:contextualSpacing/>
              <w:rPr>
                <w:rFonts w:cs="Arial"/>
                <w:szCs w:val="22"/>
              </w:rPr>
            </w:pPr>
          </w:p>
        </w:tc>
        <w:tc>
          <w:tcPr>
            <w:tcW w:w="1674" w:type="pct"/>
          </w:tcPr>
          <w:p w:rsidR="000556B3" w:rsidRDefault="000556B3" w:rsidP="000556B3">
            <w:pPr>
              <w:tabs>
                <w:tab w:val="clear" w:pos="2835"/>
              </w:tabs>
              <w:jc w:val="center"/>
              <w:rPr>
                <w:rFonts w:cs="Arial"/>
                <w:b/>
                <w:szCs w:val="22"/>
                <w:u w:val="single"/>
                <w:lang w:val="es-ES_tradnl"/>
              </w:rPr>
            </w:pPr>
            <w:r w:rsidRPr="000556B3">
              <w:rPr>
                <w:rFonts w:cs="Arial"/>
                <w:b/>
                <w:szCs w:val="22"/>
                <w:u w:val="single"/>
                <w:lang w:val="es-ES_tradnl"/>
              </w:rPr>
              <w:t>AL ARTÍCULO 3</w:t>
            </w:r>
          </w:p>
          <w:p w:rsidR="000556B3" w:rsidRPr="000556B3" w:rsidRDefault="000556B3" w:rsidP="000556B3">
            <w:pPr>
              <w:tabs>
                <w:tab w:val="clear" w:pos="2835"/>
              </w:tabs>
              <w:rPr>
                <w:rFonts w:cs="Arial"/>
                <w:b/>
                <w:szCs w:val="22"/>
                <w:u w:val="single"/>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0556B3" w:rsidRDefault="000556B3" w:rsidP="000556B3">
            <w:pPr>
              <w:tabs>
                <w:tab w:val="clear" w:pos="2835"/>
              </w:tabs>
              <w:rPr>
                <w:rFonts w:cs="Arial"/>
                <w:szCs w:val="22"/>
                <w:lang w:val="es-ES_tradnl"/>
              </w:rPr>
            </w:pPr>
          </w:p>
          <w:p w:rsidR="00F10925" w:rsidRDefault="00F10925" w:rsidP="000556B3">
            <w:pPr>
              <w:tabs>
                <w:tab w:val="clear" w:pos="2835"/>
              </w:tabs>
              <w:rPr>
                <w:rFonts w:cs="Arial"/>
                <w:szCs w:val="22"/>
                <w:lang w:val="es-ES_tradnl"/>
              </w:rPr>
            </w:pPr>
          </w:p>
          <w:p w:rsidR="00F10925" w:rsidRDefault="00F10925" w:rsidP="000556B3">
            <w:pPr>
              <w:tabs>
                <w:tab w:val="clear" w:pos="2835"/>
              </w:tabs>
              <w:rPr>
                <w:rFonts w:cs="Arial"/>
                <w:szCs w:val="22"/>
                <w:lang w:val="es-ES_tradnl"/>
              </w:rPr>
            </w:pPr>
          </w:p>
          <w:p w:rsidR="000556B3" w:rsidRPr="000556B3" w:rsidRDefault="000556B3" w:rsidP="000556B3">
            <w:pPr>
              <w:tabs>
                <w:tab w:val="clear" w:pos="2835"/>
              </w:tabs>
              <w:rPr>
                <w:rFonts w:cs="Arial"/>
                <w:szCs w:val="22"/>
                <w:lang w:val="es-ES_tradnl"/>
              </w:rPr>
            </w:pPr>
            <w:r w:rsidRPr="000556B3">
              <w:rPr>
                <w:rFonts w:cs="Arial"/>
                <w:szCs w:val="22"/>
                <w:lang w:val="es-ES_tradnl"/>
              </w:rPr>
              <w:t>Ha eliminado sus incisos octavo y noveno.</w:t>
            </w:r>
          </w:p>
          <w:p w:rsidR="0045036E" w:rsidRPr="001C20E4" w:rsidRDefault="0045036E" w:rsidP="00336FB7">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336FB7">
            <w:pPr>
              <w:widowControl w:val="0"/>
              <w:tabs>
                <w:tab w:val="clear" w:pos="2835"/>
              </w:tabs>
              <w:autoSpaceDE w:val="0"/>
              <w:autoSpaceDN w:val="0"/>
              <w:adjustRightInd w:val="0"/>
              <w:jc w:val="center"/>
              <w:rPr>
                <w:rFonts w:eastAsiaTheme="minorEastAsia" w:cs="Arial"/>
                <w:b/>
                <w:szCs w:val="22"/>
                <w:lang w:val="es-ES_tradnl" w:eastAsia="es-CL"/>
              </w:rPr>
            </w:pPr>
            <w:r w:rsidRPr="001C20E4">
              <w:rPr>
                <w:rFonts w:eastAsiaTheme="minorEastAsia" w:cs="Arial"/>
                <w:b/>
                <w:szCs w:val="22"/>
                <w:lang w:val="es-ES_tradnl" w:eastAsia="es-CL"/>
              </w:rPr>
              <w:t>DECRETO LEY N° 3500</w:t>
            </w:r>
            <w:r w:rsidR="00746BB7">
              <w:rPr>
                <w:rFonts w:eastAsiaTheme="minorEastAsia" w:cs="Arial"/>
                <w:b/>
                <w:szCs w:val="22"/>
                <w:lang w:val="es-ES_tradnl" w:eastAsia="es-CL"/>
              </w:rPr>
              <w:t>, DE 1980,</w:t>
            </w:r>
          </w:p>
          <w:p w:rsidR="0045036E" w:rsidRPr="001C20E4" w:rsidRDefault="0045036E" w:rsidP="00EE3000">
            <w:pPr>
              <w:jc w:val="center"/>
              <w:rPr>
                <w:rFonts w:eastAsiaTheme="minorEastAsia" w:cs="Arial"/>
                <w:b/>
                <w:szCs w:val="22"/>
                <w:lang w:val="es-ES_tradnl" w:eastAsia="es-CL"/>
              </w:rPr>
            </w:pPr>
            <w:r w:rsidRPr="001C20E4">
              <w:rPr>
                <w:rFonts w:eastAsiaTheme="minorEastAsia" w:cs="Arial"/>
                <w:b/>
                <w:szCs w:val="22"/>
                <w:lang w:val="es-ES_tradnl" w:eastAsia="es-CL"/>
              </w:rPr>
              <w:t>QUE ESTABLECE NUEVO SISTEMA DE PENSIONES</w:t>
            </w:r>
          </w:p>
          <w:p w:rsidR="0045036E" w:rsidRPr="001C20E4" w:rsidRDefault="0045036E" w:rsidP="00EE3000">
            <w:pPr>
              <w:jc w:val="center"/>
              <w:rPr>
                <w:rFonts w:eastAsiaTheme="minorEastAsia" w:cs="Arial"/>
                <w:b/>
                <w:szCs w:val="22"/>
                <w:lang w:val="es-ES_tradnl" w:eastAsia="es-CL"/>
              </w:rPr>
            </w:pPr>
          </w:p>
          <w:p w:rsidR="0045036E" w:rsidRPr="001C20E4" w:rsidRDefault="0045036E" w:rsidP="00EE3000">
            <w:pPr>
              <w:jc w:val="center"/>
              <w:rPr>
                <w:rFonts w:eastAsiaTheme="minorEastAsia" w:cs="Arial"/>
                <w:b/>
                <w:szCs w:val="22"/>
                <w:lang w:val="es-ES_tradnl" w:eastAsia="es-CL"/>
              </w:rPr>
            </w:pPr>
          </w:p>
          <w:p w:rsidR="0045036E" w:rsidRPr="001C20E4" w:rsidRDefault="0045036E" w:rsidP="00EE3000">
            <w:pPr>
              <w:jc w:val="center"/>
              <w:rPr>
                <w:rFonts w:eastAsiaTheme="minorEastAsia" w:cs="Arial"/>
                <w:b/>
                <w:szCs w:val="22"/>
                <w:lang w:val="es-ES_tradnl" w:eastAsia="es-CL"/>
              </w:rPr>
            </w:pP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25.- Ninguna persona natural o jurídica que no se hubiere constituido conforme a las disposiciones de esta ley como Administradora de Fondos de Pensiones podrá arrogarse la calidad de tal.</w:t>
            </w: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Tampoco podrá poner en su local u oficina, plancha o aviso que contenga expresiones que indiquen que se trata de una Administradora, ni podrá hacer uso de membretes, carteles, títulos, formularios, recibos, circulares o cualquier otro papel que contenga nombres u otras palabras que indiquen que los negocios a que se dedican dichas personas son los de Administradora. Les estará, asimismo, prohibido efectuar propaganda por la prensa u otro medio de publicidad en que se haga uso de tales expresiones.</w:t>
            </w: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E3000">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Las infracciones a este artículo se sancionarán con </w:t>
            </w:r>
            <w:r w:rsidRPr="001C20E4">
              <w:rPr>
                <w:rFonts w:eastAsiaTheme="minorEastAsia" w:cs="Arial"/>
                <w:szCs w:val="22"/>
                <w:u w:val="single"/>
                <w:lang w:val="es-ES_tradnl" w:eastAsia="es-CL"/>
              </w:rPr>
              <w:t>las penas que contempla el artículo 3° del decreto ley N° 280, de 1974</w:t>
            </w:r>
            <w:r w:rsidRPr="001C20E4">
              <w:rPr>
                <w:rFonts w:eastAsiaTheme="minorEastAsia" w:cs="Arial"/>
                <w:szCs w:val="22"/>
                <w:lang w:val="es-ES_tradnl" w:eastAsia="es-CL"/>
              </w:rPr>
              <w:t>.</w:t>
            </w:r>
          </w:p>
          <w:p w:rsidR="004E001B" w:rsidRDefault="004E001B" w:rsidP="00EE3000">
            <w:pPr>
              <w:widowControl w:val="0"/>
              <w:tabs>
                <w:tab w:val="clear" w:pos="2835"/>
              </w:tabs>
              <w:autoSpaceDE w:val="0"/>
              <w:autoSpaceDN w:val="0"/>
              <w:adjustRightInd w:val="0"/>
              <w:rPr>
                <w:rFonts w:eastAsiaTheme="minorEastAsia" w:cs="Arial"/>
                <w:szCs w:val="22"/>
                <w:lang w:val="es-ES_tradnl" w:eastAsia="es-CL"/>
              </w:rPr>
            </w:pPr>
          </w:p>
          <w:p w:rsidR="009752F5" w:rsidRDefault="009752F5" w:rsidP="00EE3000">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En todo caso si a consecuencia de estas actividades ilegales, el público sufriere perjuicio de cualquier naturaleza, los responsables serán castigados con las penas establecidas en el artículo 467 del Código Penal, aumentadas en un grado.</w:t>
            </w:r>
          </w:p>
          <w:p w:rsidR="0045036E" w:rsidRDefault="0045036E" w:rsidP="00EE3000">
            <w:pPr>
              <w:widowControl w:val="0"/>
              <w:tabs>
                <w:tab w:val="clear" w:pos="2835"/>
              </w:tabs>
              <w:autoSpaceDE w:val="0"/>
              <w:autoSpaceDN w:val="0"/>
              <w:adjustRightInd w:val="0"/>
              <w:rPr>
                <w:rFonts w:eastAsiaTheme="minorEastAsia" w:cs="Arial"/>
                <w:szCs w:val="22"/>
                <w:lang w:val="es-ES_tradnl" w:eastAsia="es-CL"/>
              </w:rPr>
            </w:pPr>
          </w:p>
          <w:p w:rsidR="004E001B" w:rsidRDefault="004E001B" w:rsidP="00EE3000">
            <w:pPr>
              <w:widowControl w:val="0"/>
              <w:tabs>
                <w:tab w:val="clear" w:pos="2835"/>
              </w:tabs>
              <w:autoSpaceDE w:val="0"/>
              <w:autoSpaceDN w:val="0"/>
              <w:adjustRightInd w:val="0"/>
              <w:rPr>
                <w:rFonts w:eastAsiaTheme="minorEastAsia" w:cs="Arial"/>
                <w:szCs w:val="22"/>
                <w:lang w:val="es-ES_tradnl" w:eastAsia="es-CL"/>
              </w:rPr>
            </w:pPr>
          </w:p>
          <w:p w:rsidR="004E001B" w:rsidRDefault="004E001B" w:rsidP="00EE3000">
            <w:pPr>
              <w:widowControl w:val="0"/>
              <w:tabs>
                <w:tab w:val="clear" w:pos="2835"/>
              </w:tabs>
              <w:autoSpaceDE w:val="0"/>
              <w:autoSpaceDN w:val="0"/>
              <w:adjustRightInd w:val="0"/>
              <w:rPr>
                <w:rFonts w:eastAsiaTheme="minorEastAsia" w:cs="Arial"/>
                <w:szCs w:val="22"/>
                <w:lang w:val="es-ES_tradnl" w:eastAsia="es-CL"/>
              </w:rPr>
            </w:pPr>
          </w:p>
          <w:p w:rsidR="000E5BBF" w:rsidRPr="001C20E4" w:rsidRDefault="000E5BBF" w:rsidP="00EE3000">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r w:rsidRPr="004E001B">
              <w:rPr>
                <w:rFonts w:eastAsiaTheme="minorEastAsia" w:cs="Arial"/>
                <w:szCs w:val="22"/>
                <w:u w:val="single"/>
                <w:lang w:val="es-ES_tradnl" w:eastAsia="es-CL"/>
              </w:rPr>
              <w:t>La Superintendencia de</w:t>
            </w:r>
            <w:r w:rsidRPr="001C20E4">
              <w:rPr>
                <w:rFonts w:eastAsiaTheme="minorEastAsia" w:cs="Arial"/>
                <w:szCs w:val="22"/>
                <w:u w:val="single"/>
                <w:lang w:val="es-ES_tradnl" w:eastAsia="es-CL"/>
              </w:rPr>
              <w:t xml:space="preserve"> Administradoras de Fondos</w:t>
            </w:r>
            <w:r w:rsidRPr="001C20E4">
              <w:rPr>
                <w:rFonts w:eastAsiaTheme="minorEastAsia" w:cs="Arial"/>
                <w:szCs w:val="22"/>
                <w:lang w:val="es-ES_tradnl" w:eastAsia="es-CL"/>
              </w:rPr>
              <w:t xml:space="preserve"> de Pensiones, pondrá los antecedentes a disposición </w:t>
            </w:r>
            <w:r w:rsidRPr="001C20E4">
              <w:rPr>
                <w:rFonts w:eastAsiaTheme="minorEastAsia" w:cs="Arial"/>
                <w:szCs w:val="22"/>
                <w:u w:val="single"/>
                <w:lang w:val="es-ES_tradnl" w:eastAsia="es-CL"/>
              </w:rPr>
              <w:t>de la Fiscalía Nacional Económica para que ésta</w:t>
            </w:r>
            <w:r w:rsidRPr="001C20E4">
              <w:rPr>
                <w:rFonts w:eastAsiaTheme="minorEastAsia" w:cs="Arial"/>
                <w:szCs w:val="22"/>
                <w:lang w:val="es-ES_tradnl" w:eastAsia="es-CL"/>
              </w:rPr>
              <w:t>, si fuere procedente, inicie las acciones pertinentes, sin perjuicio de la acción pública para denunciar estos delitos.</w:t>
            </w: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EE3000">
            <w:pPr>
              <w:widowControl w:val="0"/>
              <w:tabs>
                <w:tab w:val="clear" w:pos="2835"/>
              </w:tabs>
              <w:autoSpaceDE w:val="0"/>
              <w:autoSpaceDN w:val="0"/>
              <w:adjustRightInd w:val="0"/>
              <w:rPr>
                <w:rFonts w:eastAsiaTheme="minorEastAsia" w:cs="Arial"/>
                <w:szCs w:val="22"/>
                <w:lang w:val="es-ES_tradnl" w:eastAsia="es-CL"/>
              </w:rPr>
            </w:pPr>
          </w:p>
          <w:p w:rsidR="004E001B" w:rsidRDefault="004E001B" w:rsidP="00EE3000">
            <w:pPr>
              <w:widowControl w:val="0"/>
              <w:tabs>
                <w:tab w:val="clear" w:pos="2835"/>
              </w:tabs>
              <w:autoSpaceDE w:val="0"/>
              <w:autoSpaceDN w:val="0"/>
              <w:adjustRightInd w:val="0"/>
              <w:rPr>
                <w:rFonts w:eastAsiaTheme="minorEastAsia" w:cs="Arial"/>
                <w:szCs w:val="22"/>
                <w:lang w:val="es-ES_tradnl" w:eastAsia="es-CL"/>
              </w:rPr>
            </w:pPr>
          </w:p>
          <w:p w:rsidR="009B54C0" w:rsidRPr="001C20E4" w:rsidRDefault="009B54C0" w:rsidP="00EE3000">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Cuando a juicio de la Superintendencia </w:t>
            </w:r>
            <w:r w:rsidRPr="001C20E4">
              <w:rPr>
                <w:rFonts w:eastAsiaTheme="minorEastAsia" w:cs="Arial"/>
                <w:szCs w:val="22"/>
                <w:u w:val="single"/>
                <w:lang w:val="es-ES_tradnl" w:eastAsia="es-CL"/>
              </w:rPr>
              <w:t>de Administradoras de Fondos</w:t>
            </w:r>
            <w:r w:rsidRPr="001C20E4">
              <w:rPr>
                <w:rFonts w:eastAsiaTheme="minorEastAsia" w:cs="Arial"/>
                <w:szCs w:val="22"/>
                <w:lang w:val="es-ES_tradnl" w:eastAsia="es-CL"/>
              </w:rPr>
              <w:t xml:space="preserve"> de Pensiones, pueda presumirse que existe una infracción a lo dispuesto en este artículo, ella tendrá respecto de los presuntos infractores las mismas facultades de inspección que su ley orgánica le confiere para con las instituciones fiscalizadas.</w:t>
            </w:r>
          </w:p>
          <w:p w:rsidR="0045036E" w:rsidRPr="001C20E4" w:rsidRDefault="0045036E" w:rsidP="00EE3000">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E5825">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Cualquier persona u organismo público o privado que tome conocimiento de alguna infracción a lo dispuesto en este artículo, podrá también efectuar la denuncia correspondiente a la Superintendencia.</w:t>
            </w:r>
          </w:p>
          <w:p w:rsidR="0045036E" w:rsidRPr="001C20E4" w:rsidRDefault="0045036E" w:rsidP="007E5825">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B90031" w:rsidRPr="00B90031" w:rsidRDefault="00B90031" w:rsidP="00B90031">
            <w:pPr>
              <w:contextualSpacing/>
              <w:rPr>
                <w:rFonts w:cs="Arial"/>
                <w:szCs w:val="22"/>
              </w:rPr>
            </w:pPr>
            <w:r w:rsidRPr="00B90031">
              <w:rPr>
                <w:rFonts w:cs="Arial"/>
                <w:szCs w:val="22"/>
              </w:rPr>
              <w:t>Artículo 4°.- Introdúcense las siguientes modificaciones en el decreto ley 3.500, del Ministerio del Trabajo y Previsión Social, de 1980, que establece nuevo sistema de pensiones:</w:t>
            </w:r>
          </w:p>
          <w:p w:rsidR="00B90031" w:rsidRPr="00B90031" w:rsidRDefault="00B90031" w:rsidP="00B90031">
            <w:pPr>
              <w:contextualSpacing/>
              <w:rPr>
                <w:rFonts w:cs="Arial"/>
                <w:szCs w:val="22"/>
              </w:rPr>
            </w:pPr>
          </w:p>
          <w:p w:rsidR="00B90031" w:rsidRPr="00B90031" w:rsidRDefault="00B90031" w:rsidP="00B90031">
            <w:pPr>
              <w:contextualSpacing/>
              <w:rPr>
                <w:rFonts w:cs="Arial"/>
                <w:szCs w:val="22"/>
              </w:rPr>
            </w:pPr>
            <w:r w:rsidRPr="00B90031">
              <w:rPr>
                <w:rFonts w:cs="Arial"/>
                <w:szCs w:val="22"/>
              </w:rPr>
              <w:t>1) Modifícase el artículo 25, en los siguientes términos:</w:t>
            </w:r>
          </w:p>
          <w:p w:rsidR="00B90031" w:rsidRDefault="00B90031"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B90031" w:rsidRPr="00B90031" w:rsidRDefault="00B90031" w:rsidP="00B90031">
            <w:pPr>
              <w:contextualSpacing/>
              <w:rPr>
                <w:rFonts w:cs="Arial"/>
                <w:szCs w:val="22"/>
              </w:rPr>
            </w:pPr>
            <w:r w:rsidRPr="00B90031">
              <w:rPr>
                <w:rFonts w:cs="Arial"/>
                <w:szCs w:val="22"/>
              </w:rPr>
              <w:t>a) Reemplázase, en su inciso tercero, la frase “las penas que contempla el artículo 3° del decreto ley N° 280, de 1974”, por la siguiente: “la pena de presidio menor en sus grados mínimo a medio”.</w:t>
            </w:r>
          </w:p>
          <w:p w:rsidR="00B90031" w:rsidRDefault="00B90031"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4E001B" w:rsidRDefault="004E001B" w:rsidP="00B90031">
            <w:pPr>
              <w:contextualSpacing/>
              <w:rPr>
                <w:rFonts w:cs="Arial"/>
                <w:szCs w:val="22"/>
              </w:rPr>
            </w:pPr>
          </w:p>
          <w:p w:rsidR="00B90031" w:rsidRPr="00B90031" w:rsidRDefault="00B90031" w:rsidP="00B90031">
            <w:pPr>
              <w:contextualSpacing/>
              <w:rPr>
                <w:rFonts w:cs="Arial"/>
                <w:szCs w:val="22"/>
              </w:rPr>
            </w:pPr>
            <w:r w:rsidRPr="00B90031">
              <w:rPr>
                <w:rFonts w:cs="Arial"/>
                <w:szCs w:val="22"/>
              </w:rPr>
              <w:t>b) Efectúanse, en su inciso quinto, las siguientes enmiendas:</w:t>
            </w:r>
          </w:p>
          <w:p w:rsidR="00B90031" w:rsidRPr="00B90031" w:rsidRDefault="00B90031" w:rsidP="00B90031">
            <w:pPr>
              <w:contextualSpacing/>
              <w:rPr>
                <w:rFonts w:cs="Arial"/>
                <w:szCs w:val="22"/>
              </w:rPr>
            </w:pPr>
          </w:p>
          <w:p w:rsidR="00B90031" w:rsidRPr="00B90031" w:rsidRDefault="00B90031" w:rsidP="00B90031">
            <w:pPr>
              <w:contextualSpacing/>
              <w:rPr>
                <w:rFonts w:cs="Arial"/>
                <w:szCs w:val="22"/>
              </w:rPr>
            </w:pPr>
            <w:r w:rsidRPr="00B90031">
              <w:rPr>
                <w:rFonts w:cs="Arial"/>
                <w:szCs w:val="22"/>
              </w:rPr>
              <w:t>i) Reemplázase la expresión inicial “La Superintendencia de Administradoras de Fondos de Pensiones,”, por la siguiente: “La Superintendencia de Pensiones”.</w:t>
            </w:r>
          </w:p>
          <w:p w:rsidR="00B90031" w:rsidRPr="00B90031" w:rsidRDefault="00B90031" w:rsidP="00B90031">
            <w:pPr>
              <w:contextualSpacing/>
              <w:rPr>
                <w:rFonts w:cs="Arial"/>
                <w:szCs w:val="22"/>
              </w:rPr>
            </w:pPr>
          </w:p>
          <w:p w:rsidR="00B90031" w:rsidRPr="00B90031" w:rsidRDefault="00B90031" w:rsidP="00B90031">
            <w:pPr>
              <w:contextualSpacing/>
              <w:rPr>
                <w:rFonts w:cs="Arial"/>
                <w:szCs w:val="22"/>
              </w:rPr>
            </w:pPr>
            <w:r w:rsidRPr="00B90031">
              <w:rPr>
                <w:rFonts w:cs="Arial"/>
                <w:szCs w:val="22"/>
              </w:rPr>
              <w:t>ii) Sustitúyese la frase “de la Fiscalía Nacional Económica para que ésta”, por la siguiente: “del Ministerio Público para que éste”.</w:t>
            </w:r>
          </w:p>
          <w:p w:rsidR="00B90031" w:rsidRDefault="00B90031" w:rsidP="00B90031">
            <w:pPr>
              <w:contextualSpacing/>
              <w:rPr>
                <w:rFonts w:cs="Arial"/>
                <w:szCs w:val="22"/>
              </w:rPr>
            </w:pPr>
          </w:p>
          <w:p w:rsidR="004E001B" w:rsidRDefault="004E001B" w:rsidP="00B90031">
            <w:pPr>
              <w:contextualSpacing/>
              <w:rPr>
                <w:rFonts w:cs="Arial"/>
                <w:szCs w:val="22"/>
              </w:rPr>
            </w:pPr>
          </w:p>
          <w:p w:rsidR="000E5BBF" w:rsidRPr="00B90031" w:rsidRDefault="000E5BBF" w:rsidP="00B90031">
            <w:pPr>
              <w:contextualSpacing/>
              <w:rPr>
                <w:rFonts w:cs="Arial"/>
                <w:szCs w:val="22"/>
              </w:rPr>
            </w:pPr>
          </w:p>
          <w:p w:rsidR="00B90031" w:rsidRPr="00B90031" w:rsidRDefault="00B90031" w:rsidP="00B90031">
            <w:pPr>
              <w:contextualSpacing/>
              <w:rPr>
                <w:rFonts w:cs="Arial"/>
                <w:szCs w:val="22"/>
              </w:rPr>
            </w:pPr>
            <w:r w:rsidRPr="00B90031">
              <w:rPr>
                <w:rFonts w:cs="Arial"/>
                <w:szCs w:val="22"/>
              </w:rPr>
              <w:t>c) Elimínase, en su inciso sexto, la expresión “de Administradoras de Fondos”.</w:t>
            </w:r>
          </w:p>
          <w:p w:rsidR="0045036E" w:rsidRPr="001C20E4" w:rsidRDefault="0045036E">
            <w:pPr>
              <w:contextualSpacing/>
              <w:rPr>
                <w:rFonts w:cs="Arial"/>
                <w:szCs w:val="22"/>
              </w:rPr>
            </w:pPr>
          </w:p>
        </w:tc>
        <w:tc>
          <w:tcPr>
            <w:tcW w:w="1674" w:type="pct"/>
          </w:tcPr>
          <w:p w:rsidR="006D7C47" w:rsidRPr="006D7C47" w:rsidRDefault="006D7C47" w:rsidP="006D7C47">
            <w:pPr>
              <w:tabs>
                <w:tab w:val="clear" w:pos="2835"/>
              </w:tabs>
              <w:jc w:val="center"/>
              <w:rPr>
                <w:rFonts w:cs="Arial"/>
                <w:b/>
                <w:szCs w:val="22"/>
                <w:u w:val="single"/>
                <w:lang w:val="es-ES_tradnl"/>
              </w:rPr>
            </w:pPr>
            <w:r w:rsidRPr="006D7C47">
              <w:rPr>
                <w:rFonts w:cs="Arial"/>
                <w:b/>
                <w:szCs w:val="22"/>
                <w:u w:val="single"/>
                <w:lang w:val="es-ES_tradnl"/>
              </w:rPr>
              <w:t>AL ARTÍCULO 4</w:t>
            </w:r>
          </w:p>
          <w:p w:rsidR="0045036E" w:rsidRPr="001C20E4" w:rsidRDefault="0045036E" w:rsidP="006D7C47">
            <w:pPr>
              <w:tabs>
                <w:tab w:val="clear" w:pos="2835"/>
              </w:tabs>
              <w:jc w:val="right"/>
              <w:rPr>
                <w:rFonts w:cs="Arial"/>
                <w:szCs w:val="22"/>
                <w:lang w:val="es-ES_tradnl"/>
              </w:rPr>
            </w:pPr>
          </w:p>
        </w:tc>
      </w:tr>
      <w:tr w:rsidR="00096CE0" w:rsidRPr="001C20E4" w:rsidTr="00096CE0">
        <w:trPr>
          <w:trHeight w:val="315"/>
          <w:jc w:val="center"/>
        </w:trPr>
        <w:tc>
          <w:tcPr>
            <w:tcW w:w="1661" w:type="pct"/>
          </w:tcPr>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TITULO VI</w:t>
            </w:r>
          </w:p>
          <w:p w:rsidR="0045036E" w:rsidRPr="001C20E4" w:rsidRDefault="0045036E" w:rsidP="00155BBF">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DE LAS PENSIONES DE VEJEZ, INVALIDEZ Y</w:t>
            </w:r>
          </w:p>
          <w:p w:rsidR="0045036E" w:rsidRPr="001C20E4" w:rsidRDefault="0045036E" w:rsidP="00155BBF">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SOBREVIVENCIA.</w:t>
            </w:r>
          </w:p>
          <w:p w:rsidR="0045036E" w:rsidRDefault="0045036E" w:rsidP="00155BBF">
            <w:pPr>
              <w:widowControl w:val="0"/>
              <w:tabs>
                <w:tab w:val="clear" w:pos="2835"/>
              </w:tabs>
              <w:autoSpaceDE w:val="0"/>
              <w:autoSpaceDN w:val="0"/>
              <w:adjustRightInd w:val="0"/>
              <w:jc w:val="center"/>
              <w:rPr>
                <w:rFonts w:eastAsiaTheme="minorEastAsia" w:cs="Arial"/>
                <w:szCs w:val="22"/>
                <w:lang w:val="es-ES_tradnl" w:eastAsia="es-CL"/>
              </w:rPr>
            </w:pPr>
          </w:p>
          <w:p w:rsidR="005715AE" w:rsidRDefault="005715AE" w:rsidP="00155BBF">
            <w:pPr>
              <w:widowControl w:val="0"/>
              <w:tabs>
                <w:tab w:val="clear" w:pos="2835"/>
              </w:tabs>
              <w:autoSpaceDE w:val="0"/>
              <w:autoSpaceDN w:val="0"/>
              <w:adjustRightInd w:val="0"/>
              <w:jc w:val="center"/>
              <w:rPr>
                <w:rFonts w:eastAsiaTheme="minorEastAsia" w:cs="Arial"/>
                <w:szCs w:val="22"/>
                <w:lang w:val="es-ES_tradnl" w:eastAsia="es-CL"/>
              </w:rPr>
            </w:pPr>
          </w:p>
          <w:p w:rsidR="005715AE" w:rsidRDefault="005715AE" w:rsidP="00155BBF">
            <w:pPr>
              <w:widowControl w:val="0"/>
              <w:tabs>
                <w:tab w:val="clear" w:pos="2835"/>
              </w:tabs>
              <w:autoSpaceDE w:val="0"/>
              <w:autoSpaceDN w:val="0"/>
              <w:adjustRightInd w:val="0"/>
              <w:jc w:val="center"/>
              <w:rPr>
                <w:rFonts w:eastAsiaTheme="minorEastAsia" w:cs="Arial"/>
                <w:szCs w:val="22"/>
                <w:lang w:val="es-ES_tradnl" w:eastAsia="es-CL"/>
              </w:rPr>
            </w:pPr>
          </w:p>
          <w:p w:rsidR="000E5BBF" w:rsidRDefault="000E5BBF" w:rsidP="00155BBF">
            <w:pPr>
              <w:widowControl w:val="0"/>
              <w:tabs>
                <w:tab w:val="clear" w:pos="2835"/>
              </w:tabs>
              <w:autoSpaceDE w:val="0"/>
              <w:autoSpaceDN w:val="0"/>
              <w:adjustRightInd w:val="0"/>
              <w:rPr>
                <w:rFonts w:eastAsiaTheme="minorEastAsia" w:cs="Arial"/>
                <w:szCs w:val="22"/>
                <w:lang w:val="es-ES_tradnl" w:eastAsia="es-CL"/>
              </w:rPr>
            </w:pPr>
          </w:p>
          <w:p w:rsidR="000E5BBF" w:rsidRDefault="000E5BBF"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61 bis.- Para optar por una modalidad de pensión, los afiliados o sus beneficiarios, en su caso, deberán previamente recibir la información que entregue el Sistema de Consultas y Ofertas de Montos de Pensión, que se define en este artículo. Igual procedimiento deberán seguir tanto los afiliados que cambian su modalidad de pensión como los beneficiarios de pensión de sobrevivencia.</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Los afiliados o beneficiarios de pensión de sobrevivencia deberán seleccionar personalmente su modalidad de pensión. No obstante, podrán ejercer la opción a través de un representante especialmente facultado para ello mediante un poder notarial especial, que deberá señalar la opción elegida por el afiliado.</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Si el afiliado opta por la modalidad de renta vitalicia podrá aceptar, alternativamente, cualquier oferta efectuada en el Sistema de Consultas y Ofertas de Montos de Pensión; una efectuada fuera de él por alguna Compañía de Seguros que hubiera participado en el Sistema, siempre que el monto de la pensión sea superior al ofertado en dicho Sistema por la misma Compañía, de acuerdo a lo que establezca la norma de carácter general a que se refiere el inciso decimotercero de este artículo; o solicitar la realización de un remate a través del referido Sistema de Consultas.</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Si el afiliado no optare por alguna de las alternativas antes señaladas, podrá postergar su decisión de pensionarse, a menos que la consulta al Sistema definido en este artículo, se hubiese ocasionado por una solicitud de pensión de invalidez cuyo dictamen se encuentre ejecutoriado.</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Para que el remate a que se refiere este artículo tenga lugar, los afiliados deberán seleccionar el tipo de renta vitalicia, indicando al menos tres Compañías de Seguros de Vida que podrán participar en él. En todo caso sólo podrán participar en el remate aquellas Compañías que haya indicado el afiliado. A su vez, los afiliados deberán fijar la postura mínima, que no podrá ser inferior al monto de la mayor de las ofertas efectuadas en el Sistema de Consultas por dichas Compañías.</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Finalizado el proceso de remate, se adjudicará al mayor postor. En caso de igualdad de los montos de las ofertas, se adjudicará el remate a aquella oferta que seleccione el afiliado. En este último caso, si el afiliado no eligiera, la adjudicación se efectuará a la oferta de la Compañía de Seguros que presente la mejor clasificación de riesgo; a igual clasificación de riesgo, se estará a lo señalado en la norma de carácter general a que se refiere el inciso decimotercero de este artículo. Para efectos de lo señalado en este inciso, las Administradoras deberán suscribir a nombre de los afiliados o beneficiarios, los contratos de rentas vitalicias a que haya lugar, en caso de que éstos no los suscriban por sí mismos.</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Con todo, el remate sólo tendrá el carácter de vinculante, cuando al menos dos de las Compañías seleccionadas por el afiliado presenten ofertas de montos de pensión. En caso que sólo una Compañía de Seguros de Vida presente oferta de montos de pensión, los afiliados podrán optar por aceptarla; solicitar un nuevo remate; solicitar una oferta externa de acuerdo a lo establecido en el inciso tercero de este artículo; volver a realizar una consulta en el Sistema o desistir de pensionarse.</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Las Administradoras de Fondos de Pensiones y las Compañías de Seguros de Vida deberán contar con sistemas propios de información electrónico interconectados entre todas ellas, denominado Sistema de Consultas y Ofertas de Montos de Pensión, a través del cual deberán:</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 Recibir y transmitirse las solicitudes de montos de pensión requeridas por los afiliados, indicando, en su caso, los tipos de renta vitalicia previamente definidos por aquéllos;</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b) Recibir y transmitirse las ofertas de rentas vitalicias de las Compañías de Seguros de Vida y los montos de retiro programado calculados por las Administradoras.</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Las ofertas de rentas vitalicias deberán referirse, a lo menos, a los tipos de renta vitalicia indicados por el afiliado. En caso que éste no hubiese manifestado su preferencia, las ofertas deberán referirse, al menos, a una renta vitalicia inmediata simple, sin perjuicio de una solicitud posterior en que el afiliado indique otro u otros tipos de renta vitalicia.</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Las ofertas de rentas vitalicias deberán presentarse en unidades de fomento, con excepción de aquellas con componente variable, el cual podrá expresarse en otras unidades o monedas que para estos efectos autorice la Superintendencia de Valores y Seguros. La oferta que se efectúe en el Sistema se emitirá explicitando la pensión e indicando el porcentaje de comisión o retribución de referencia, que se utilizará sólo para los efectos de la cotización a través del Sistema. En el evento que la comisión o retribución que pague la Compañía sea inferior a la de referencia antes indicada o bien no exista comisión o retribución, la pensión será incrementada en la forma que establezca la norma de carácter general a que se refiere el inciso decimotercero de este artículo. Con todo, la pensión que efectivamente se pague no podrá ser inferior a la pensión ofertada en el Sistema, por la misma Compañía, en base a la comisión o retribución de referencia. Esta comisión o retribución de referencia será fijada por decreto supremo conjunto de los Ministerios de Hacienda y de Trabajo y Previsión Social, y regirá por veinticuatro meses a contar del día primero del mes siguiente a su publicación en el Diario Oficial. Expirado dicho plazo y mientras no lo establezca un nuevo decreto supremo, el guarismo que se encuentre en aplicación mantendrá su vigencia.</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Por su parte, bajo la modalidad de retiro programado y renta temporal se deberán informar al afiliado los montos de pensión, en unidades de fomento, y sus respectivas comisiones. En el caso del retiro programado, deberá informarse el monto de pensión y comisión mensual para el primer año, una estimación del monto de la pensión mensual, una estimación del monto de comisión mensual, para cada uno de los años siguientes, por el período equivalente a la esperanza de vida del afiliado más tres años, y el monto promedio de dichas pensiones y comisiones. La mencionada estimación se efectuará utilizando las tablas de mortalidad y tasa de interés vigentes para el cálculo del retiro programado; y</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c) Informar al afiliado que realiza la consulta, los montos mensuales de pensión ofrecidos, de acuerdo a lo señalado en la letra b) anterior.</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Podrán también participar del Sistema a que alude este artículo, en las mismas condiciones requeridas a las Administradoras de Fondos de Pensiones y a las Compañías de Seguros de Vida, las sociedades filiales bancarias a que se refiere la letra a) del artículo 70, del decreto con fuerza de ley N° 3, de 1997, del Ministerio de Hacienda, que efectúen asesorías previsionales y los asesores previsionales, previamente autorizados por </w:t>
            </w:r>
            <w:r w:rsidRPr="001C20E4">
              <w:rPr>
                <w:rFonts w:eastAsiaTheme="minorEastAsia" w:cs="Arial"/>
                <w:szCs w:val="22"/>
                <w:u w:val="single"/>
                <w:lang w:val="es-ES_tradnl" w:eastAsia="es-CL"/>
              </w:rPr>
              <w:t>las Superintendencias de Pensiones y de Valores y Seguros</w:t>
            </w:r>
            <w:r w:rsidRPr="001C20E4">
              <w:rPr>
                <w:rFonts w:eastAsiaTheme="minorEastAsia" w:cs="Arial"/>
                <w:szCs w:val="22"/>
                <w:lang w:val="es-ES_tradnl" w:eastAsia="es-CL"/>
              </w:rPr>
              <w:t>.</w:t>
            </w:r>
          </w:p>
          <w:p w:rsidR="00D46145" w:rsidRPr="001C20E4" w:rsidRDefault="00D46145"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Las Administradoras de Fondos de Pensiones, las Compañías </w:t>
            </w:r>
            <w:r w:rsidRPr="005715AE">
              <w:rPr>
                <w:rFonts w:eastAsiaTheme="minorEastAsia" w:cs="Arial"/>
                <w:szCs w:val="22"/>
                <w:lang w:val="es-ES_tradnl" w:eastAsia="es-CL"/>
              </w:rPr>
              <w:t>de Seguros de Vida</w:t>
            </w:r>
            <w:r w:rsidRPr="001C20E4">
              <w:rPr>
                <w:rFonts w:eastAsiaTheme="minorEastAsia" w:cs="Arial"/>
                <w:szCs w:val="22"/>
                <w:lang w:val="es-ES_tradnl" w:eastAsia="es-CL"/>
              </w:rPr>
              <w:t xml:space="preserve"> </w:t>
            </w:r>
            <w:r w:rsidRPr="005715AE">
              <w:rPr>
                <w:rFonts w:eastAsiaTheme="minorEastAsia" w:cs="Arial"/>
                <w:szCs w:val="22"/>
                <w:lang w:val="es-ES_tradnl" w:eastAsia="es-CL"/>
              </w:rPr>
              <w:t xml:space="preserve">y </w:t>
            </w:r>
            <w:r w:rsidRPr="001C20E4">
              <w:rPr>
                <w:rFonts w:eastAsiaTheme="minorEastAsia" w:cs="Arial"/>
                <w:szCs w:val="22"/>
                <w:lang w:val="es-ES_tradnl" w:eastAsia="es-CL"/>
              </w:rPr>
              <w:t>los asesores previsionales que participen en el Sistema de Consultas y Ofertas de Montos de Pensión, deberán garantizar la prestación ininterrumpida e integrada del servicio que presta dicho Sistema, de forma que permita a cada uno de ellos recibir y transmitir las consultas y ofertas señaladas en este artículo. Para la incorporación de los partícipes al Sistema, sólo se podrá exigir una  retribución eficiente, no discriminatoria y de acuerdo a la estructura de costos del servicio.</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Las Administradoras de Fondos de Pensiones, las Compañías de </w:t>
            </w:r>
            <w:r w:rsidRPr="00395117">
              <w:rPr>
                <w:rFonts w:eastAsiaTheme="minorEastAsia" w:cs="Arial"/>
                <w:szCs w:val="22"/>
                <w:lang w:val="es-ES_tradnl" w:eastAsia="es-CL"/>
              </w:rPr>
              <w:t>Seguros de Vida</w:t>
            </w:r>
            <w:r w:rsidRPr="001C20E4">
              <w:rPr>
                <w:rFonts w:eastAsiaTheme="minorEastAsia" w:cs="Arial"/>
                <w:szCs w:val="22"/>
                <w:lang w:val="es-ES_tradnl" w:eastAsia="es-CL"/>
              </w:rPr>
              <w:t xml:space="preserve"> </w:t>
            </w:r>
            <w:r w:rsidRPr="001C20E4">
              <w:rPr>
                <w:rFonts w:eastAsiaTheme="minorEastAsia" w:cs="Arial"/>
                <w:szCs w:val="22"/>
                <w:u w:val="single"/>
                <w:lang w:val="es-ES_tradnl" w:eastAsia="es-CL"/>
              </w:rPr>
              <w:t>y</w:t>
            </w:r>
            <w:r w:rsidRPr="001C20E4">
              <w:rPr>
                <w:rFonts w:eastAsiaTheme="minorEastAsia" w:cs="Arial"/>
                <w:szCs w:val="22"/>
                <w:lang w:val="es-ES_tradnl" w:eastAsia="es-CL"/>
              </w:rPr>
              <w:t xml:space="preserve"> los asesores previsionales que participen en el Sistema de Consultas y Ofertas de Montos de Pensión, serán responsables de la transmisión íntegra de la información de dicho Sistema. Asimismo, deberán resguardar la privacidad de la información que manejen de acuerdo a lo dispuesto en la ley Nº 19.628, sobre protección de datos de carácter personal, y quedarán sujetas a las responsabilidades que en dicha ley se establecen.</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El que obtenga beneficio patrimonial ilícito mediante fraude al afiliado o a sus beneficiarios o el que haga uso no autorizado de los datos de éstos, que en virtud de este artículo deban proporcionarse al Sistema o de aquellos contenidos en el listado a que se refiere el artículo 72 bis, será sancionado con las penas establecidas en el artículo 467 del Código Penal, sin perjuicio de las demás sanciones legales o administrativas que correspondan.</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Una norma de carácter general que dictarán conjuntamente las Superintendencias de Administradoras de Fondos de Pensiones y de Valores y Seguros, regulará las materias relacionadas con el Sistema de Consultas y Ofertas de Montos de Pensión. Dicha norma establecerá, a lo menos, la información que deberá transmitirse, los plazos a que deberá sujetarse aquella, los estándares que los partícipes deberán cumplir en la interconexión entre ellos, incluidos los niveles de seguridad concordantes con los principios de transferencia electrónica de datos y la información que deberá proporcionarse al afiliado.</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D46145" w:rsidRDefault="00D46145" w:rsidP="00155BBF">
            <w:pPr>
              <w:widowControl w:val="0"/>
              <w:tabs>
                <w:tab w:val="clear" w:pos="2835"/>
              </w:tabs>
              <w:autoSpaceDE w:val="0"/>
              <w:autoSpaceDN w:val="0"/>
              <w:adjustRightInd w:val="0"/>
              <w:rPr>
                <w:rFonts w:eastAsiaTheme="minorEastAsia" w:cs="Arial"/>
                <w:szCs w:val="22"/>
                <w:u w:val="single"/>
                <w:lang w:val="es-ES_tradnl" w:eastAsia="es-CL"/>
              </w:rPr>
            </w:pPr>
          </w:p>
          <w:p w:rsidR="00D46145" w:rsidRDefault="00D46145" w:rsidP="00155BBF">
            <w:pPr>
              <w:widowControl w:val="0"/>
              <w:tabs>
                <w:tab w:val="clear" w:pos="2835"/>
              </w:tabs>
              <w:autoSpaceDE w:val="0"/>
              <w:autoSpaceDN w:val="0"/>
              <w:adjustRightInd w:val="0"/>
              <w:rPr>
                <w:rFonts w:eastAsiaTheme="minorEastAsia" w:cs="Arial"/>
                <w:szCs w:val="22"/>
                <w:u w:val="single"/>
                <w:lang w:val="es-ES_tradnl" w:eastAsia="es-CL"/>
              </w:rPr>
            </w:pPr>
          </w:p>
          <w:p w:rsidR="00D46145" w:rsidRDefault="00D46145" w:rsidP="00155BBF">
            <w:pPr>
              <w:widowControl w:val="0"/>
              <w:tabs>
                <w:tab w:val="clear" w:pos="2835"/>
              </w:tabs>
              <w:autoSpaceDE w:val="0"/>
              <w:autoSpaceDN w:val="0"/>
              <w:adjustRightInd w:val="0"/>
              <w:rPr>
                <w:rFonts w:eastAsiaTheme="minorEastAsia" w:cs="Arial"/>
                <w:szCs w:val="22"/>
                <w:u w:val="single"/>
                <w:lang w:val="es-ES_tradnl" w:eastAsia="es-CL"/>
              </w:rPr>
            </w:pPr>
          </w:p>
          <w:p w:rsidR="0045036E" w:rsidRPr="005715AE" w:rsidRDefault="0045036E" w:rsidP="00155BBF">
            <w:pPr>
              <w:widowControl w:val="0"/>
              <w:tabs>
                <w:tab w:val="clear" w:pos="2835"/>
              </w:tabs>
              <w:autoSpaceDE w:val="0"/>
              <w:autoSpaceDN w:val="0"/>
              <w:adjustRightInd w:val="0"/>
              <w:rPr>
                <w:rFonts w:eastAsiaTheme="minorEastAsia" w:cs="Arial"/>
                <w:szCs w:val="22"/>
                <w:u w:val="single"/>
                <w:lang w:val="es-ES_tradnl" w:eastAsia="es-CL"/>
              </w:rPr>
            </w:pPr>
            <w:r w:rsidRPr="005715AE">
              <w:rPr>
                <w:rFonts w:eastAsiaTheme="minorEastAsia" w:cs="Arial"/>
                <w:szCs w:val="22"/>
                <w:u w:val="single"/>
                <w:lang w:val="es-ES_tradnl" w:eastAsia="es-CL"/>
              </w:rPr>
              <w:t>Respecto de los fondos efectivamente traspasados desde la cuenta de capitalización individual del afiliado, con exclusión de aquellos que eran susceptibles de ser retirados como excedente de libre disposición, las Compañías de Seguros de Vida sólo podrán pagar, directa o indirectamente, a los intermediarios o agentes de ventas que intervengan en la comercialización de rentas vitalicias, una comisión o retribución que no podrá ser superior a aquella tasa máxima fijada como un porcentaje de dichos fondos. Dicho guarismo tendrá una duración de veinticuatro meses a partir de la vigencia de esta ley. Expirado dicho plazo, este guarismo podrá ser fijado nuevamente mediante decreto supremo conjunto de los Ministerios de Hacienda y de Trabajo y Previsión Social, previo requerimiento contenido en resolución fundada de las Superintendencias de Administradoras de Fondos de Pensiones y de Valores y Seguros. Dicha resolución considerará antecedentes técnicos relevantes solicitados, entre otras, a las entidades fiscalizadas. En todo caso, con al menos quince días de anterioridad a la emisión de la referida resolución, el nuevo guarismo propuesto y sus fundamentos serán de conocimiento público. Cada vez que se efectúe una modificación a la mencionada comisión, el nuevo guarismo tendrá una vigencia de veinticuatro meses.</w:t>
            </w:r>
          </w:p>
          <w:p w:rsidR="0045036E" w:rsidRPr="001C20E4" w:rsidRDefault="0045036E" w:rsidP="00155BBF">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3E6E8A">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Las Compañías de Seguros de Vida no podrán pagar a sus dependientes, a los intermediarios y agentes de venta de renta vitalicia u otras personas que intervengan en la comercialización de éstas, ninguna otra remuneración variable, honorarios, bonos, premios o pagos por concepto de la intermediación o venta de rentas vitalicias, sean ellos en dinero o especies que excedan el monto de la comisión por intermediación o retribución por venta a que se refiere el inciso anterior, como tampoco financiar los gastos en que deban incurrir para su cometido. Se exceptúan de esta disposición las remuneraciones fijas y permanentes y otros beneficios laborales de carácter general, permanentes, uniformes y universales, que emanen de un contrato de trabajo como dependiente con la respectiva Compañía.</w:t>
            </w:r>
          </w:p>
          <w:p w:rsidR="0045036E" w:rsidRPr="001C20E4" w:rsidRDefault="0045036E" w:rsidP="003E6E8A">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9B54C0" w:rsidRDefault="009B54C0" w:rsidP="00590619">
            <w:pPr>
              <w:contextualSpacing/>
              <w:rPr>
                <w:rFonts w:cs="Arial"/>
                <w:szCs w:val="22"/>
              </w:rPr>
            </w:pPr>
          </w:p>
          <w:p w:rsidR="009B54C0" w:rsidRDefault="009B54C0" w:rsidP="00590619">
            <w:pPr>
              <w:contextualSpacing/>
              <w:rPr>
                <w:rFonts w:cs="Arial"/>
                <w:szCs w:val="22"/>
              </w:rPr>
            </w:pPr>
          </w:p>
          <w:p w:rsidR="00590619" w:rsidRPr="00590619" w:rsidRDefault="00590619" w:rsidP="00590619">
            <w:pPr>
              <w:contextualSpacing/>
              <w:rPr>
                <w:rFonts w:cs="Arial"/>
                <w:szCs w:val="22"/>
              </w:rPr>
            </w:pPr>
            <w:r w:rsidRPr="00590619">
              <w:rPr>
                <w:rFonts w:cs="Arial"/>
                <w:szCs w:val="22"/>
              </w:rPr>
              <w:t>2) Modifícase el artículo 61 bis, del modo que sigue:</w:t>
            </w:r>
          </w:p>
          <w:p w:rsidR="00590619" w:rsidRDefault="00590619"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D46145" w:rsidRDefault="00D46145" w:rsidP="00590619">
            <w:pPr>
              <w:contextualSpacing/>
              <w:rPr>
                <w:rFonts w:cs="Arial"/>
                <w:szCs w:val="22"/>
              </w:rPr>
            </w:pPr>
          </w:p>
          <w:p w:rsidR="00D46145" w:rsidRDefault="00D46145" w:rsidP="00590619">
            <w:pPr>
              <w:contextualSpacing/>
              <w:rPr>
                <w:rFonts w:cs="Arial"/>
                <w:szCs w:val="22"/>
              </w:rPr>
            </w:pPr>
          </w:p>
          <w:p w:rsidR="009B54C0" w:rsidRDefault="009B54C0" w:rsidP="00590619">
            <w:pPr>
              <w:contextualSpacing/>
              <w:rPr>
                <w:rFonts w:cs="Arial"/>
                <w:szCs w:val="22"/>
              </w:rPr>
            </w:pPr>
          </w:p>
          <w:p w:rsidR="005715AE" w:rsidRDefault="005715AE" w:rsidP="00590619">
            <w:pPr>
              <w:contextualSpacing/>
              <w:rPr>
                <w:rFonts w:cs="Arial"/>
                <w:szCs w:val="22"/>
              </w:rPr>
            </w:pPr>
          </w:p>
          <w:p w:rsidR="000E5BBF" w:rsidRDefault="000E5BBF" w:rsidP="00590619">
            <w:pPr>
              <w:contextualSpacing/>
              <w:rPr>
                <w:rFonts w:cs="Arial"/>
                <w:szCs w:val="22"/>
              </w:rPr>
            </w:pPr>
          </w:p>
          <w:p w:rsidR="000E5BBF" w:rsidRPr="00590619" w:rsidRDefault="000E5BBF" w:rsidP="00590619">
            <w:pPr>
              <w:contextualSpacing/>
              <w:rPr>
                <w:rFonts w:cs="Arial"/>
                <w:szCs w:val="22"/>
              </w:rPr>
            </w:pPr>
          </w:p>
          <w:p w:rsidR="00590619" w:rsidRPr="00590619" w:rsidRDefault="00590619" w:rsidP="00590619">
            <w:pPr>
              <w:contextualSpacing/>
              <w:rPr>
                <w:rFonts w:cs="Arial"/>
                <w:szCs w:val="22"/>
              </w:rPr>
            </w:pPr>
            <w:r w:rsidRPr="00590619">
              <w:rPr>
                <w:rFonts w:cs="Arial"/>
                <w:szCs w:val="22"/>
              </w:rPr>
              <w:t>a) Reemplázase, en su inciso noveno, la frase “las Superintendencias de Pensiones y de Valores y Seguros”, por la expresión “la Superintendencia de Pensiones”.</w:t>
            </w:r>
          </w:p>
          <w:p w:rsidR="00590619" w:rsidRDefault="00590619"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Default="005715AE" w:rsidP="00590619">
            <w:pPr>
              <w:contextualSpacing/>
              <w:rPr>
                <w:rFonts w:cs="Arial"/>
                <w:szCs w:val="22"/>
              </w:rPr>
            </w:pPr>
          </w:p>
          <w:p w:rsidR="005715AE" w:rsidRPr="00590619" w:rsidRDefault="005715AE" w:rsidP="00590619">
            <w:pPr>
              <w:contextualSpacing/>
              <w:rPr>
                <w:rFonts w:cs="Arial"/>
                <w:szCs w:val="22"/>
              </w:rPr>
            </w:pPr>
          </w:p>
          <w:p w:rsidR="00590619" w:rsidRPr="00590619" w:rsidRDefault="00590619" w:rsidP="00590619">
            <w:pPr>
              <w:contextualSpacing/>
              <w:rPr>
                <w:rFonts w:cs="Arial"/>
                <w:szCs w:val="22"/>
              </w:rPr>
            </w:pPr>
            <w:r w:rsidRPr="00590619">
              <w:rPr>
                <w:rFonts w:cs="Arial"/>
                <w:szCs w:val="22"/>
              </w:rPr>
              <w:t>b) Reemplázase su inciso decimocuarto, por el siguiente:</w:t>
            </w:r>
          </w:p>
          <w:p w:rsidR="00590619" w:rsidRPr="00590619" w:rsidRDefault="00590619" w:rsidP="00590619">
            <w:pPr>
              <w:contextualSpacing/>
              <w:rPr>
                <w:rFonts w:cs="Arial"/>
                <w:szCs w:val="22"/>
              </w:rPr>
            </w:pPr>
          </w:p>
          <w:p w:rsidR="00590619" w:rsidRPr="00590619" w:rsidRDefault="00590619" w:rsidP="00590619">
            <w:pPr>
              <w:contextualSpacing/>
              <w:rPr>
                <w:rFonts w:cs="Arial"/>
                <w:szCs w:val="22"/>
              </w:rPr>
            </w:pPr>
            <w:r w:rsidRPr="00590619">
              <w:rPr>
                <w:rFonts w:cs="Arial"/>
                <w:szCs w:val="22"/>
              </w:rPr>
              <w:t>“Respecto de los fondos efectivamente traspasados desde la cuenta de capitalización individual del afiliado, las Compañías de Seguros de Vida sólo podrán pagar, directa o indirectamente, a los intermediarios, agentes de ventas o a los Asesores Previsionales que intervengan en la comercialización de rentas vitalicias, una comisión o retribución que no podrá ser superior a aquella tasa máxima fijada como un porcentaje de dichos fondos. Las referidas comisiones máximas serán fijadas mediante decreto supremo emitido conjuntamente por el Ministerio de Hacienda y el Ministerio del Trabajo y Previsión Social, el cual podrá distinguir entre la comisión máxima a pagar a un agente de ventas de la Compañía de Seguros, o la que corresponda a un Asesor Previsional. Asimismo, el referido decreto supremo podrá establecer comisiones diferenciadas según el saldo destinado a pensión. Mientras no se modifiquen las referidas comisiones máximas vigentes mediante la dictación de un decreto supremo en los términos regulados en el presente inciso, los guarismos que se encuentren en aplicación mantendrán su vigencia.”.</w:t>
            </w:r>
          </w:p>
          <w:p w:rsidR="00590619" w:rsidRPr="00590619" w:rsidRDefault="00590619" w:rsidP="00590619">
            <w:pPr>
              <w:contextualSpacing/>
              <w:rPr>
                <w:rFonts w:cs="Arial"/>
                <w:szCs w:val="22"/>
              </w:rPr>
            </w:pPr>
          </w:p>
          <w:p w:rsidR="0045036E" w:rsidRPr="001C20E4" w:rsidRDefault="0045036E">
            <w:pPr>
              <w:contextualSpacing/>
              <w:rPr>
                <w:rFonts w:cs="Arial"/>
                <w:szCs w:val="22"/>
              </w:rPr>
            </w:pPr>
          </w:p>
        </w:tc>
        <w:tc>
          <w:tcPr>
            <w:tcW w:w="1674" w:type="pct"/>
          </w:tcPr>
          <w:p w:rsidR="0045036E" w:rsidRPr="001C20E4" w:rsidRDefault="0045036E" w:rsidP="003E6E8A">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TITULO X</w:t>
            </w:r>
          </w:p>
          <w:p w:rsidR="0045036E" w:rsidRPr="001C20E4" w:rsidRDefault="0045036E" w:rsidP="00764AF6">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Del control</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94.- Corresponderá a la Superintendencia, además de las atribuciones y obligaciones que esta ley establece, las siguientes funciones generales: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 Autorizar la constitución de las Sociedades Administradoras de Fondos de Pensiones, de las sociedades filiales a que se refiere el inciso duodécimo del artículo 23, la adquisición de acciones de una Administradora de acuerdo a lo establecido en la Constitución Política de la República, de las sociedades administradoras de cartera de recursos previsionales, y llevar un Registro de estas entidades.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2.- Fiscalizar el funcionamiento de las Administradoras y el otorgamiento de las prestaciones que éstas otorguen a sus afiliados, y el funcionamiento de las sociedades administradoras de cartera de recursos previsionales.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3.- Fijar la interpretación de la legislación y reglamentación del Sistema, con carácter obligatorio para las Administradoras, las sociedades filiales a que se refiere el inciso duodécimo del artículo 23 y las sociedades administradoras de cartera de recursos previsionales, y dictar normas generales para su aplicación.</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4.- Fiscalizar la constitución, mantenimiento, operación y aplicación del "Encaje".</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5.- Fiscalizar la inversión de los recursos de los Fondos de Pensiones y la composición de la cartera de inversiones.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6.- Establecer las normas que regulen los contratos de seguro destinados a constituir las prestaciones que establece esta ley, sin perjuicio de las atribuciones de la Superintendencia de Valores y Seguros, y fiscalizar la observancia de dichas normas y el cumplimiento de las obligaciones que emanen de los contratos.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7.- Efectuar la liquidación de las Administradoras, la de las sociedades administradoras de cartera de recursos previsionales, y la de los Fondos de Pensiones.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8.- Aplicar sanciones y disponer la revocación de la autorización de existencia de conformidad a la ley, de las Administradoras de Fondos de Pensiones, de sus sociedades filiales y de las sociedades administradoras de cartera de recursos previsionales. Asimismo, podrá disponer la enajenación de las inversiones efectuadas en o a través de las sociedades filiales establecidas en el artículo 23, cuando no cumplan con lo establecido en el inciso duodécimo de dicho artículo. Para estos efectos y en forma previa, la Superintendencia oficiará a las sociedades administradoras antes mencionadas con el objeto de poner en su conocimiento los hechos que se le imputan como constitutivos de infracción, a fin de que éstas, dentro del plazo de diez días hábiles contados desde la recepción del respectivo oficio, procedan a formular sus descargos y acompañen las probanzas en que fundamentan sus alegaciones. El ejercicio de estas atribuciones y funciones deberá efectuarse mediante resoluciones fundadas, las que se notificarán por un ministro de fe.</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En contra de dichas resoluciones la Administradora afectada o sus sociedades filiales y las sociedades administradoras de carteras de recursos previsionales podrán reclamar, dentro de los quince días siguientes a su notificación, ante la Corte de Apelaciones que corresponda, la que deberá pronunciarse en cuenta si el reclamo es admisible y si ha sido interpuesto dentro del término legal. Admitido el reclamo, la Corte dará traslado por quince días a la Superintendencia. Evacuado el traslado o acusada la rebeldía, la Corte ordenará traer los autos en relación, agregándose la causa en forma extraordinaria a la tabla del siguiente día, previo sorteo de Sala cuando corresponda. El tribunal dictará sentencia dentro del plazo de treinta días.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Para reclamar de una multa impuesta por la Superintendencia, el reclamante deberá efectuar una consignación equivalente al 25% de su monto, en dicho organismo.</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consignación será devuelta si se acogiere el reclamo.</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Las resoluciones constituirán títulos ejecutivos y producirán sus efectos transcurridos quince días desde su notificación, si no se hubiere reclamado de ella, o una vez firme la sentencia que resuelva sobre el reclamo.</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Los funcionarios de la Superintendencia prestarán declaraciones ante los Tribunales, en las reclamaciones a que se refiere este número, mediante informes escritos, los que constituirán presunciones legales acerca de los hechos por ellos personalmente constatados, sin perjuicio de la facultad del Tribunal de citarlos a declarar verbalmente como medida para mejor resolver.</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Superintendencia estará exenta de la obligación de efectuar consignaciones judiciales.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Los directores y apoderados de una Administradora, de sus filiales o de una sociedad administradora de cartera de recursos previsionales, serán solidariamente responsables de las multas que se les impongan, respectivamente si se hubieren originado en hechos o contravenciones producidas por su culpa o negligencia. La resolución respectiva deberá así declararlo y los afectados podrán reclamar de ella en la misma forma y plazo que puede hacerlo la Administradora.</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9.- Velar por el cumplimiento de las normas que establecen los requisitos necesarios para que opere la garantía estatal a que se refiere el Título VII.</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10.- Efectuar los estudios técnicos necesarios para el desarrollo y fortalecimiento del Sistema de Pensiones y para evaluar la calidad de las pensiones que obtienen los afiliados y beneficiarios del Sistema. Para efectuar los mencionados estudios, la Superintendencia de Valores y Seguros deberá proporcionar a la Superintendencia de Pensiones la información sobre los pensionados por la modalidad de renta vitalicia y sus beneficiarios, que ésta le solicite.</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11.- Fiscalizar los mercados primarios y secundarios en lo que se refiere a la participación de los Fondos de Pensiones, las Administradoras y las personas que, en razón de su cargo o posición, tengan acceso a información de las inversiones del Fondo, sin perjuicio de las atribuciones de la Superintendencia de Valores y Seguros.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12.- Informar a los afiliados respecto de sus derechos y obligaciones en relación con el sistema de pensiones, utilizando medios propios o a través de otras entidades, con el objeto de dar cobertura nacional a</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este servicio.</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13.- Requerir que las personas naturales o jurídicas que, personalmente o en conjunto, sean controladoras de una Administradora conforme al artículo 97 de la ley N° 18.045, o posean individualmente más del diez por ciento de sus acciones, envíen a la Superintendencia información fidedigna acerca de su situación financiera. La Superintendencia, mediante normas generales, determinará la periodicidad y contenido de esta información, que no podrá exceder de la que exige la Superintendencia de Valores y Seguros a las sociedades anónimas abiertas.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14.- Instruir, por resolución fundada, a una Administradora, que se abstenga de efectuar con recursos de los Fondos de Pensiones, las transacciones que específicamente determine con o a través de personas relacionadas a ella, hasta por un plazo de tres meses renovable por igual período, cuando la situación financiera, ya sea de la Administradora o de sus personas relacionadas, ponga en riesgo la seguridad de los Fondos de Pensiones.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15.- Instruir, por resolución fundada, a una Administradora, que se abstenga de efectuar con recursos de los Fondos de Pensiones, las transacciones que específicamente determine con sus personas relacionadas o a través de ellas, hasta por un plazo de tres meses renovable por igual período, cuando las personas relacionadas a la Administradora hubieran sido sancionadas por incumplimiento, en forma reiterada o grave, de las disposiciones legales, reglamentarias y administrativas que les sean aplicables conforme a su objeto social, siempre que tal situación ponga en riesgo la seguridad de los Fondos de Pensiones.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16.- Fiscalizar, con el objeto de resguardar la seguridad de los Fondos de Pensiones, el funcionamiento de los servicios que una Administradora hubiere subcontratado, cuando éstos sean relacionados con su giro. Para efectos de lo anterior, la Superintendencia podrá requerir el envío de información y documentación sustentatoria o bien tener acceso directamente a las dependencias y archivos del prestador de servicios.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17.- Supervisar administrativamente las Comisiones Médicas Regionales y Central e impartir las normas operativas que se requieran para calificar la invalidez. Asimismo, controlar que las Comisiones Médicas den debido cumplimiento a las funciones que les correspondan, pudiendo siempre determinar el número de Comisiones que debe funcionar en cada Región, impartir instrucciones acerca de su equipamiento y requerir a dichas Comisiones la información necesaria para su adecuada fiscalización.</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18.- Designar mediante resolución fundada a uno de sus funcionarios como inspector delegado en una Administradora, con el objeto de resguardar la seguridad de los Fondos de Pensiones.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designación del inspector delegado no podrá tener una duración superior a seis meses, renovable por una sola vez por un período máximo de seis meses, y deberá fundarse en los siguientes hechos graves que pongan en peligro inminente la seguridad de los Fondos de Pensiones y hagan necesaria la adopción de medidas urgentes: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 Infracciones o multas graves y reiteradas.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b) Rebeldía para cumplir las normas y órdenes legalmente impartidas por la Superintendencia.</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c) Vacancia de la mayoría de los cargos titulares y suplentes en el directorio.</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d) Deficiencias graves en los controles internos relativos a la gestión de los Fondos de Pensiones.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 Presunciones fundadas de que se han violado las normas sobre conflictos de interés, operaciones con personas relacionadas o el giro exclusivo de la Administradora o de las entidades de su grupo empresarial.</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f) Solicitud de inicio de procedimiento concursal de liquidación o cesación de pagos de cualquiera de sus obligaciones significativas.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g) Dictación de la resolución de liquidación o liquidación forzosa de cualquier entidad del grupo empresarial al que pertenezca la Administradora.</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h) Existencia de antecedentes fundados de que los Estados Financieros de la Administradora o del Fondo de Pensiones no representan su real situación financiera.</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i) Déficit de patrimonio mínimo o de Encaje requeridos de acuerdo a lo dispuesto en esta ley.</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El inspector visará todas las operaciones de la Administradora y tendrá facultades para suspender cualquier acuerdo del directorio o decisión de los apoderados de la Administradora que hagan temer por la seguridad de los Fondos de Pensiones o por la estabilidad económica de aquélla. En el ejercicio de sus funciones, el inspector podrá hacerse acompañar por otros funcionarios de la Superintendencia, así como contratar consultorías privadas externas con cargo a la Administradora. Tanto el inspector delegado como dichos funcionarios deberán guardar absoluta reserva y secreto de la información de las cuales tomen conocimiento en el cumplimiento de sus labores y deberán abstenerse de usar dicha información en beneficio propio o de terceros. Para efectos de lo dispuesto en el inciso segundo del artículo 125 del decreto con fuerza de ley Nº 29, de 2005, del Ministerio de Hacienda, se estimará que los hechos que configuren infracciones a lo dispuesto en esta norma vulneran gravemente el principio de probidad administrativa, lo que no obstará a las demás responsabilidades y sanciones que fueren procedentes.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Administradora afectada podrá reclamar contra la designación del inspector a que se refiere este número, conforme al procedimiento establecido en el Nº 8 de este artículo. La interposición de dicho recurso no suspenderá los efectos de dicha designación.</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19.- Supervisar administrativamente a las Comisiones Ergonómica y de Apelaciones de la ley N° 19.404 e impartir las normas operativas que se requieran para calificar labores como trabajos pesados. Asimismo, controlar que dichas Comisiones den debido cumplimiento a las funciones que les correspondan.</w:t>
            </w:r>
          </w:p>
          <w:p w:rsidR="0045036E" w:rsidRPr="001C20E4" w:rsidRDefault="0045036E" w:rsidP="00764AF6">
            <w:pPr>
              <w:widowControl w:val="0"/>
              <w:tabs>
                <w:tab w:val="clear" w:pos="2835"/>
              </w:tabs>
              <w:autoSpaceDE w:val="0"/>
              <w:autoSpaceDN w:val="0"/>
              <w:adjustRightInd w:val="0"/>
              <w:rPr>
                <w:rFonts w:eastAsiaTheme="minorEastAsia" w:cs="Arial"/>
                <w:szCs w:val="10"/>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20.- Efectuar análisis de riesgos, supervisar la apropiada gestión de los mismos respecto de las Administradoras de Fondos de Pensiones y de la Sociedad Administradora de Fondos de Cesantía </w:t>
            </w:r>
            <w:r w:rsidRPr="004C3D9F">
              <w:rPr>
                <w:rFonts w:eastAsiaTheme="minorEastAsia" w:cs="Arial"/>
                <w:szCs w:val="22"/>
                <w:lang w:val="es-ES_tradnl" w:eastAsia="es-CL"/>
              </w:rPr>
              <w:t>e impartir las instrucciones tendientes a que éstos corrijan las deficiencias que ella observare. Para</w:t>
            </w:r>
            <w:r w:rsidRPr="001C20E4">
              <w:rPr>
                <w:rFonts w:eastAsiaTheme="minorEastAsia" w:cs="Arial"/>
                <w:szCs w:val="22"/>
                <w:lang w:val="es-ES_tradnl" w:eastAsia="es-CL"/>
              </w:rPr>
              <w:t xml:space="preserve"> efectos de lo anterior, la Superintendencia podrá requerir todos los datos y antecedentes que le permitan tomar debido conocimiento de la gestión de riesgos de las entidades antes señaladas.</w:t>
            </w:r>
          </w:p>
          <w:p w:rsidR="0045036E" w:rsidRPr="001C20E4" w:rsidRDefault="0045036E" w:rsidP="00155BBF">
            <w:pPr>
              <w:widowControl w:val="0"/>
              <w:tabs>
                <w:tab w:val="clear" w:pos="2835"/>
              </w:tabs>
              <w:autoSpaceDE w:val="0"/>
              <w:autoSpaceDN w:val="0"/>
              <w:adjustRightInd w:val="0"/>
              <w:rPr>
                <w:rFonts w:ascii="Courier New" w:eastAsiaTheme="minorEastAsia" w:hAnsi="Courier New" w:cs="Courier New"/>
                <w:sz w:val="20"/>
                <w:lang w:val="es-ES_tradnl" w:eastAsia="es-CL"/>
              </w:rPr>
            </w:pPr>
          </w:p>
        </w:tc>
        <w:tc>
          <w:tcPr>
            <w:tcW w:w="1665" w:type="pct"/>
          </w:tcPr>
          <w:p w:rsidR="0045036E" w:rsidRPr="001C20E4" w:rsidRDefault="0045036E">
            <w:pPr>
              <w:contextualSpacing/>
              <w:rPr>
                <w:rFonts w:cs="Arial"/>
                <w:szCs w:val="22"/>
              </w:rPr>
            </w:pPr>
          </w:p>
        </w:tc>
        <w:tc>
          <w:tcPr>
            <w:tcW w:w="1674" w:type="pct"/>
          </w:tcPr>
          <w:p w:rsidR="0045036E" w:rsidRPr="001C20E4" w:rsidRDefault="0045036E" w:rsidP="00764AF6">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Artículo 94 bis.- La Superintendencia de Pensiones efectuará un análisis de riesgos y evaluará la gestión de los mismos, respecto de las entidades señaladas en el número 20 del artículo 94. La calidad de la gestión de riesgos se evaluará considerando aspectos tales como la fortaleza de sus sistemas de control de riesgos y su gobierno corporativo, el conocimiento y experiencia de su administración </w:t>
            </w:r>
            <w:r w:rsidRPr="004C3D9F">
              <w:rPr>
                <w:rFonts w:eastAsiaTheme="minorEastAsia" w:cs="Arial"/>
                <w:szCs w:val="22"/>
                <w:lang w:val="es-ES_tradnl" w:eastAsia="es-CL"/>
              </w:rPr>
              <w:t>y la eficacia de las funciones de control interno y cumplimiento.</w:t>
            </w:r>
            <w:r w:rsidRPr="001C20E4">
              <w:rPr>
                <w:rFonts w:eastAsiaTheme="minorEastAsia" w:cs="Arial"/>
                <w:szCs w:val="22"/>
                <w:lang w:val="es-ES_tradnl" w:eastAsia="es-CL"/>
              </w:rPr>
              <w:t xml:space="preserve"> El resultado de la evaluación se notificará a la respectiva entidad, será fundado y tendrá el carácter de reservado, de manera tal que ni la Superintendencia ni las entidades fiscalizadas podrán difundirlo públicamente. También serán reservados aquellos antecedentes en los que se base la evaluación y que no sean públicos.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Superintendencia, mediante norma de carácter general, establecerá la metodología y los procedimientos específicos para la evaluación de los riesgos de las entidades fiscalizadas.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45036E" w:rsidRPr="001C20E4" w:rsidRDefault="0045036E">
            <w:pPr>
              <w:contextualSpacing/>
              <w:rPr>
                <w:rFonts w:cs="Arial"/>
                <w:szCs w:val="22"/>
              </w:rPr>
            </w:pPr>
          </w:p>
        </w:tc>
        <w:tc>
          <w:tcPr>
            <w:tcW w:w="1674" w:type="pct"/>
          </w:tcPr>
          <w:p w:rsidR="0045036E" w:rsidRPr="001C20E4" w:rsidRDefault="0045036E" w:rsidP="00764AF6">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Artículo 98 bis.- </w:t>
            </w:r>
            <w:r w:rsidRPr="00D46145">
              <w:rPr>
                <w:rFonts w:eastAsiaTheme="minorEastAsia" w:cs="Arial"/>
                <w:szCs w:val="22"/>
                <w:lang w:val="es-ES_tradnl" w:eastAsia="es-CL"/>
              </w:rPr>
              <w:t>Las Superintendencias de Pensiones y de Valores y Seguros</w:t>
            </w:r>
            <w:r w:rsidRPr="001C20E4">
              <w:rPr>
                <w:rFonts w:eastAsiaTheme="minorEastAsia" w:cs="Arial"/>
                <w:szCs w:val="22"/>
                <w:lang w:val="es-ES_tradnl" w:eastAsia="es-CL"/>
              </w:rPr>
              <w:t xml:space="preserve"> establecerán, mediante Resolución conjunta, los procedimientos de fiscalización respecto del sistema de consultas y ofertas de montos de pensión a que se refiere el artículo </w:t>
            </w:r>
            <w:r w:rsidRPr="00830B61">
              <w:rPr>
                <w:rFonts w:eastAsiaTheme="minorEastAsia" w:cs="Arial"/>
                <w:szCs w:val="22"/>
                <w:lang w:val="es-ES_tradnl" w:eastAsia="es-CL"/>
              </w:rPr>
              <w:t>61 bis,</w:t>
            </w:r>
            <w:r w:rsidRPr="001C20E4">
              <w:rPr>
                <w:rFonts w:eastAsiaTheme="minorEastAsia" w:cs="Arial"/>
                <w:szCs w:val="22"/>
                <w:lang w:val="es-ES_tradnl" w:eastAsia="es-CL"/>
              </w:rPr>
              <w:t xml:space="preserve"> de los pagos de beneficios y pensiones reguladas por esta ley que efectúen las Compañías de Seguros de Vida, </w:t>
            </w:r>
            <w:r w:rsidRPr="001C20E4">
              <w:rPr>
                <w:rFonts w:eastAsiaTheme="minorEastAsia" w:cs="Arial"/>
                <w:szCs w:val="22"/>
                <w:u w:val="single"/>
                <w:lang w:val="es-ES_tradnl" w:eastAsia="es-CL"/>
              </w:rPr>
              <w:t>de los Asesores Previsionales a que se refiere el Título XVII de la presente ley,</w:t>
            </w:r>
            <w:r w:rsidRPr="001C20E4">
              <w:rPr>
                <w:rFonts w:eastAsiaTheme="minorEastAsia" w:cs="Arial"/>
                <w:szCs w:val="22"/>
                <w:lang w:val="es-ES_tradnl" w:eastAsia="es-CL"/>
              </w:rPr>
              <w:t xml:space="preserve"> como asimismo del pago de las contingencias del Seguro de Invalidez y Sobrevivencia a que se refiere el artículo 59.</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4C3D9F" w:rsidRDefault="004C3D9F" w:rsidP="004C3D9F">
            <w:pPr>
              <w:contextualSpacing/>
              <w:rPr>
                <w:rFonts w:cs="Arial"/>
                <w:szCs w:val="22"/>
              </w:rPr>
            </w:pPr>
          </w:p>
          <w:p w:rsidR="004C3D9F" w:rsidRDefault="004C3D9F" w:rsidP="004C3D9F">
            <w:pPr>
              <w:contextualSpacing/>
              <w:rPr>
                <w:rFonts w:cs="Arial"/>
                <w:szCs w:val="22"/>
              </w:rPr>
            </w:pPr>
          </w:p>
          <w:p w:rsidR="004C3D9F" w:rsidRDefault="004C3D9F" w:rsidP="004C3D9F">
            <w:pPr>
              <w:contextualSpacing/>
              <w:rPr>
                <w:rFonts w:cs="Arial"/>
                <w:szCs w:val="22"/>
              </w:rPr>
            </w:pPr>
          </w:p>
          <w:p w:rsidR="004C3D9F" w:rsidRDefault="004C3D9F" w:rsidP="004C3D9F">
            <w:pPr>
              <w:contextualSpacing/>
              <w:rPr>
                <w:rFonts w:cs="Arial"/>
                <w:szCs w:val="22"/>
              </w:rPr>
            </w:pPr>
          </w:p>
          <w:p w:rsidR="004C3D9F" w:rsidRDefault="004C3D9F" w:rsidP="004C3D9F">
            <w:pPr>
              <w:contextualSpacing/>
              <w:rPr>
                <w:rFonts w:cs="Arial"/>
                <w:szCs w:val="22"/>
              </w:rPr>
            </w:pPr>
          </w:p>
          <w:p w:rsidR="004C3D9F" w:rsidRDefault="004C3D9F" w:rsidP="004C3D9F">
            <w:pPr>
              <w:contextualSpacing/>
              <w:rPr>
                <w:rFonts w:cs="Arial"/>
                <w:szCs w:val="22"/>
              </w:rPr>
            </w:pPr>
          </w:p>
          <w:p w:rsidR="004C3D9F" w:rsidRDefault="004C3D9F" w:rsidP="004C3D9F">
            <w:pPr>
              <w:contextualSpacing/>
              <w:rPr>
                <w:rFonts w:cs="Arial"/>
                <w:szCs w:val="22"/>
              </w:rPr>
            </w:pPr>
          </w:p>
          <w:p w:rsidR="004C3D9F" w:rsidRPr="004C3D9F" w:rsidRDefault="004C3D9F" w:rsidP="004C3D9F">
            <w:pPr>
              <w:contextualSpacing/>
              <w:rPr>
                <w:rFonts w:cs="Arial"/>
                <w:szCs w:val="22"/>
              </w:rPr>
            </w:pPr>
            <w:r w:rsidRPr="004C3D9F">
              <w:rPr>
                <w:rFonts w:cs="Arial"/>
                <w:szCs w:val="22"/>
              </w:rPr>
              <w:t>3) Elimínase, en su artículo 98 bis, la frase “de los Asesores Previsionales a que se refiere el Título XVII de la presente ley,”.</w:t>
            </w:r>
          </w:p>
          <w:p w:rsidR="0045036E" w:rsidRPr="001C20E4" w:rsidRDefault="0045036E">
            <w:pPr>
              <w:contextualSpacing/>
              <w:rPr>
                <w:rFonts w:cs="Arial"/>
                <w:szCs w:val="22"/>
              </w:rPr>
            </w:pPr>
          </w:p>
        </w:tc>
        <w:tc>
          <w:tcPr>
            <w:tcW w:w="1674" w:type="pct"/>
          </w:tcPr>
          <w:p w:rsidR="0045036E" w:rsidRPr="001C20E4" w:rsidRDefault="0045036E" w:rsidP="00764AF6">
            <w:pPr>
              <w:tabs>
                <w:tab w:val="clear" w:pos="2835"/>
              </w:tabs>
              <w:rPr>
                <w:rFonts w:cs="Arial"/>
                <w:szCs w:val="22"/>
                <w:lang w:val="es-ES_tradnl"/>
              </w:rPr>
            </w:pPr>
          </w:p>
        </w:tc>
      </w:tr>
      <w:tr w:rsidR="00096CE0" w:rsidRPr="001C20E4" w:rsidTr="00096CE0">
        <w:trPr>
          <w:trHeight w:val="315"/>
          <w:jc w:val="center"/>
        </w:trPr>
        <w:tc>
          <w:tcPr>
            <w:tcW w:w="1661" w:type="pct"/>
          </w:tcPr>
          <w:p w:rsidR="0045036E" w:rsidRPr="001C20E4" w:rsidRDefault="0045036E" w:rsidP="004E5FF4">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TITULO XVII</w:t>
            </w:r>
          </w:p>
          <w:p w:rsidR="0045036E" w:rsidRPr="001C20E4" w:rsidRDefault="0045036E" w:rsidP="004E5FF4">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De la Asesoría Previsional</w:t>
            </w:r>
          </w:p>
          <w:p w:rsidR="0045036E" w:rsidRPr="001C20E4" w:rsidRDefault="0045036E" w:rsidP="004E5FF4">
            <w:pPr>
              <w:widowControl w:val="0"/>
              <w:tabs>
                <w:tab w:val="clear" w:pos="2835"/>
              </w:tabs>
              <w:autoSpaceDE w:val="0"/>
              <w:autoSpaceDN w:val="0"/>
              <w:adjustRightInd w:val="0"/>
              <w:jc w:val="center"/>
              <w:rPr>
                <w:rFonts w:eastAsiaTheme="minorEastAsia" w:cs="Arial"/>
                <w:szCs w:val="22"/>
                <w:lang w:val="es-ES_tradnl" w:eastAsia="es-CL"/>
              </w:rPr>
            </w:pPr>
          </w:p>
          <w:p w:rsidR="0045036E" w:rsidRDefault="0045036E" w:rsidP="004E5FF4">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1. Del Objeto de la Asesoría Previsional.</w:t>
            </w:r>
          </w:p>
          <w:p w:rsidR="00830B61" w:rsidRDefault="00830B61" w:rsidP="004E5FF4">
            <w:pPr>
              <w:widowControl w:val="0"/>
              <w:tabs>
                <w:tab w:val="clear" w:pos="2835"/>
              </w:tabs>
              <w:autoSpaceDE w:val="0"/>
              <w:autoSpaceDN w:val="0"/>
              <w:adjustRightInd w:val="0"/>
              <w:jc w:val="center"/>
              <w:rPr>
                <w:rFonts w:eastAsiaTheme="minorEastAsia" w:cs="Arial"/>
                <w:szCs w:val="22"/>
                <w:lang w:val="es-ES_tradnl" w:eastAsia="es-CL"/>
              </w:rPr>
            </w:pPr>
          </w:p>
          <w:p w:rsidR="00830B61" w:rsidRPr="001C20E4" w:rsidRDefault="00830B61" w:rsidP="004E5FF4">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Artículo 171.- La asesoría previsional tendrá por objeto otorgar información a los afiliados y beneficiarios del Sistema, considerando de manera integral todos los aspectos que dicen relación con su situación particular y que fueren necesarios para adoptar decisiones informadas de acuerdo a sus necesidades e intereses, en relación con las prestaciones y beneficios que contempla esta ley. </w:t>
            </w:r>
            <w:r w:rsidRPr="001C20E4">
              <w:rPr>
                <w:rFonts w:eastAsiaTheme="minorEastAsia" w:cs="Arial"/>
                <w:szCs w:val="22"/>
                <w:u w:val="single"/>
                <w:lang w:val="es-ES_tradnl" w:eastAsia="es-CL"/>
              </w:rPr>
              <w:t>Dicha asesoría comprenderá además la intermediación de seguros previsionales</w:t>
            </w:r>
            <w:r w:rsidRPr="001C20E4">
              <w:rPr>
                <w:rFonts w:eastAsiaTheme="minorEastAsia" w:cs="Arial"/>
                <w:szCs w:val="22"/>
                <w:lang w:val="es-ES_tradnl" w:eastAsia="es-CL"/>
              </w:rPr>
              <w:t>. Esta asesoría deberá prestarse con total independencia de la entidad que otorgue el beneficio.</w:t>
            </w: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176AE1" w:rsidRDefault="00176AE1" w:rsidP="004E5FF4">
            <w:pPr>
              <w:widowControl w:val="0"/>
              <w:tabs>
                <w:tab w:val="clear" w:pos="2835"/>
              </w:tabs>
              <w:autoSpaceDE w:val="0"/>
              <w:autoSpaceDN w:val="0"/>
              <w:adjustRightInd w:val="0"/>
              <w:rPr>
                <w:rFonts w:eastAsiaTheme="minorEastAsia" w:cs="Arial"/>
                <w:szCs w:val="22"/>
                <w:lang w:val="es-ES_tradnl" w:eastAsia="es-CL"/>
              </w:rPr>
            </w:pPr>
          </w:p>
          <w:p w:rsidR="00176AE1" w:rsidRDefault="00176AE1" w:rsidP="004E5FF4">
            <w:pPr>
              <w:widowControl w:val="0"/>
              <w:tabs>
                <w:tab w:val="clear" w:pos="2835"/>
              </w:tabs>
              <w:autoSpaceDE w:val="0"/>
              <w:autoSpaceDN w:val="0"/>
              <w:adjustRightInd w:val="0"/>
              <w:rPr>
                <w:rFonts w:eastAsiaTheme="minorEastAsia" w:cs="Arial"/>
                <w:szCs w:val="22"/>
                <w:lang w:val="es-ES_tradnl" w:eastAsia="es-CL"/>
              </w:rPr>
            </w:pPr>
          </w:p>
          <w:p w:rsidR="00151E88" w:rsidRDefault="00151E88" w:rsidP="004E5FF4">
            <w:pPr>
              <w:widowControl w:val="0"/>
              <w:tabs>
                <w:tab w:val="clear" w:pos="2835"/>
              </w:tabs>
              <w:autoSpaceDE w:val="0"/>
              <w:autoSpaceDN w:val="0"/>
              <w:adjustRightInd w:val="0"/>
              <w:rPr>
                <w:rFonts w:eastAsiaTheme="minorEastAsia" w:cs="Arial"/>
                <w:szCs w:val="22"/>
                <w:lang w:val="es-ES_tradnl" w:eastAsia="es-CL"/>
              </w:rPr>
            </w:pPr>
          </w:p>
          <w:p w:rsidR="00151E88" w:rsidRDefault="00151E88" w:rsidP="004E5FF4">
            <w:pPr>
              <w:widowControl w:val="0"/>
              <w:tabs>
                <w:tab w:val="clear" w:pos="2835"/>
              </w:tabs>
              <w:autoSpaceDE w:val="0"/>
              <w:autoSpaceDN w:val="0"/>
              <w:adjustRightInd w:val="0"/>
              <w:rPr>
                <w:rFonts w:eastAsiaTheme="minorEastAsia" w:cs="Arial"/>
                <w:szCs w:val="22"/>
                <w:lang w:val="es-ES_tradnl" w:eastAsia="es-CL"/>
              </w:rPr>
            </w:pPr>
          </w:p>
          <w:p w:rsidR="00151E88" w:rsidRPr="001C20E4" w:rsidRDefault="00151E88"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4E5F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CB0E5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Respecto de los afiliados y beneficiarios que cumplan los requisitos para pensionarse y de los pensionados bajo la modalidad de retiro programado, la asesoría deberá informar en especial sobre la forma de hacer efectiva su pensión según las modalidades previstas en el artículo 61 de esta ley, sus características y demás beneficios a que pudieren acceder según el caso, con una estimación de sus montos.</w:t>
            </w:r>
          </w:p>
        </w:tc>
        <w:tc>
          <w:tcPr>
            <w:tcW w:w="1665" w:type="pct"/>
          </w:tcPr>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Pr="00830B61" w:rsidRDefault="00830B61" w:rsidP="00830B61">
            <w:pPr>
              <w:contextualSpacing/>
              <w:rPr>
                <w:rFonts w:cs="Arial"/>
                <w:szCs w:val="22"/>
              </w:rPr>
            </w:pPr>
            <w:r w:rsidRPr="00830B61">
              <w:rPr>
                <w:rFonts w:cs="Arial"/>
                <w:szCs w:val="22"/>
              </w:rPr>
              <w:t>4) Modifícase el artículo 171, de la siguiente manera:</w:t>
            </w: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Default="00830B61" w:rsidP="00830B61">
            <w:pPr>
              <w:contextualSpacing/>
              <w:rPr>
                <w:rFonts w:cs="Arial"/>
                <w:szCs w:val="22"/>
              </w:rPr>
            </w:pPr>
          </w:p>
          <w:p w:rsidR="00830B61" w:rsidRPr="00830B61" w:rsidRDefault="00830B61" w:rsidP="00830B61">
            <w:pPr>
              <w:contextualSpacing/>
              <w:rPr>
                <w:rFonts w:cs="Arial"/>
                <w:szCs w:val="22"/>
              </w:rPr>
            </w:pPr>
          </w:p>
          <w:p w:rsidR="00830B61" w:rsidRPr="006D7C47" w:rsidRDefault="00830B61" w:rsidP="00830B61">
            <w:pPr>
              <w:contextualSpacing/>
              <w:rPr>
                <w:rFonts w:cs="Arial"/>
                <w:b/>
                <w:szCs w:val="22"/>
              </w:rPr>
            </w:pPr>
            <w:r w:rsidRPr="006D7C47">
              <w:rPr>
                <w:rFonts w:cs="Arial"/>
                <w:b/>
                <w:szCs w:val="22"/>
              </w:rPr>
              <w:t>a) Reemplázase, en su inciso primero, la oración “Dicha asesoría comprenderá además la intermediación de seguros previsionales.”, por la siguiente: “Dicha asesoría comprenderá, además, las recomendaciones no personalizadas o realizadas al público o a sectores específicos de él, respecto de las citadas materias.”.</w:t>
            </w:r>
          </w:p>
          <w:p w:rsidR="00830B61" w:rsidRDefault="00830B61" w:rsidP="00830B61">
            <w:pPr>
              <w:contextualSpacing/>
              <w:rPr>
                <w:rFonts w:cs="Arial"/>
                <w:szCs w:val="22"/>
              </w:rPr>
            </w:pPr>
          </w:p>
          <w:p w:rsidR="00176AE1" w:rsidRDefault="00176AE1" w:rsidP="00830B61">
            <w:pPr>
              <w:contextualSpacing/>
              <w:rPr>
                <w:rFonts w:cs="Arial"/>
                <w:szCs w:val="22"/>
              </w:rPr>
            </w:pPr>
          </w:p>
          <w:p w:rsidR="00F308E9" w:rsidRDefault="00F308E9" w:rsidP="00830B61">
            <w:pPr>
              <w:contextualSpacing/>
              <w:rPr>
                <w:rFonts w:cs="Arial"/>
                <w:szCs w:val="22"/>
              </w:rPr>
            </w:pPr>
          </w:p>
          <w:p w:rsidR="00F308E9" w:rsidRDefault="00F308E9" w:rsidP="00830B61">
            <w:pPr>
              <w:contextualSpacing/>
              <w:rPr>
                <w:rFonts w:cs="Arial"/>
                <w:szCs w:val="22"/>
              </w:rPr>
            </w:pPr>
          </w:p>
          <w:p w:rsidR="00176AE1" w:rsidRDefault="00176AE1" w:rsidP="00830B61">
            <w:pPr>
              <w:contextualSpacing/>
              <w:rPr>
                <w:rFonts w:cs="Arial"/>
                <w:szCs w:val="22"/>
              </w:rPr>
            </w:pPr>
          </w:p>
          <w:p w:rsidR="00151E88" w:rsidRDefault="00151E88" w:rsidP="00830B61">
            <w:pPr>
              <w:contextualSpacing/>
              <w:rPr>
                <w:rFonts w:cs="Arial"/>
                <w:szCs w:val="22"/>
              </w:rPr>
            </w:pPr>
          </w:p>
          <w:p w:rsidR="00176AE1" w:rsidRPr="00830B61" w:rsidRDefault="00176AE1" w:rsidP="00830B61">
            <w:pPr>
              <w:contextualSpacing/>
              <w:rPr>
                <w:rFonts w:cs="Arial"/>
                <w:szCs w:val="22"/>
              </w:rPr>
            </w:pPr>
          </w:p>
          <w:p w:rsidR="00830B61" w:rsidRPr="00830B61" w:rsidRDefault="00830B61" w:rsidP="00830B61">
            <w:pPr>
              <w:contextualSpacing/>
              <w:rPr>
                <w:rFonts w:cs="Arial"/>
                <w:szCs w:val="22"/>
              </w:rPr>
            </w:pPr>
            <w:r w:rsidRPr="00830B61">
              <w:rPr>
                <w:rFonts w:cs="Arial"/>
                <w:szCs w:val="22"/>
              </w:rPr>
              <w:t>b) Intercálase el siguiente inciso segundo, nuevo, pasando el actual inciso segundo a ser tercero:</w:t>
            </w:r>
          </w:p>
          <w:p w:rsidR="00830B61" w:rsidRPr="00830B61" w:rsidRDefault="00830B61" w:rsidP="00830B61">
            <w:pPr>
              <w:contextualSpacing/>
              <w:rPr>
                <w:rFonts w:cs="Arial"/>
                <w:szCs w:val="22"/>
              </w:rPr>
            </w:pPr>
          </w:p>
          <w:p w:rsidR="00830B61" w:rsidRPr="00830B61" w:rsidRDefault="00830B61" w:rsidP="00830B61">
            <w:pPr>
              <w:contextualSpacing/>
              <w:rPr>
                <w:rFonts w:cs="Arial"/>
                <w:szCs w:val="22"/>
              </w:rPr>
            </w:pPr>
            <w:r w:rsidRPr="00830B61">
              <w:rPr>
                <w:rFonts w:cs="Arial"/>
                <w:szCs w:val="22"/>
              </w:rPr>
              <w:t>“Para efectos de lo dispuesto en este artículo, se considerará como asesoría previsional toda aquella que se preste en forma remunerada.”.</w:t>
            </w:r>
          </w:p>
          <w:p w:rsidR="00830B61" w:rsidRPr="00830B61" w:rsidRDefault="00830B61" w:rsidP="00830B61">
            <w:pPr>
              <w:contextualSpacing/>
              <w:rPr>
                <w:rFonts w:cs="Arial"/>
                <w:szCs w:val="22"/>
              </w:rPr>
            </w:pPr>
          </w:p>
          <w:p w:rsidR="0045036E" w:rsidRPr="001C20E4" w:rsidRDefault="0045036E">
            <w:pPr>
              <w:contextualSpacing/>
              <w:rPr>
                <w:rFonts w:cs="Arial"/>
                <w:szCs w:val="22"/>
              </w:rPr>
            </w:pPr>
          </w:p>
        </w:tc>
        <w:tc>
          <w:tcPr>
            <w:tcW w:w="1674" w:type="pct"/>
          </w:tcPr>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6D7C47" w:rsidRPr="006D7C47" w:rsidRDefault="006D7C47" w:rsidP="006D7C47">
            <w:pPr>
              <w:tabs>
                <w:tab w:val="clear" w:pos="2835"/>
              </w:tabs>
              <w:jc w:val="center"/>
              <w:rPr>
                <w:rFonts w:cs="Arial"/>
                <w:b/>
                <w:szCs w:val="22"/>
                <w:u w:val="single"/>
                <w:lang w:val="es-ES_tradnl"/>
              </w:rPr>
            </w:pPr>
            <w:r w:rsidRPr="006D7C47">
              <w:rPr>
                <w:rFonts w:cs="Arial"/>
                <w:b/>
                <w:szCs w:val="22"/>
                <w:u w:val="single"/>
                <w:lang w:val="es-ES_tradnl"/>
              </w:rPr>
              <w:t>Numeral 4</w:t>
            </w:r>
          </w:p>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p>
          <w:p w:rsidR="00151E88" w:rsidRDefault="00151E88" w:rsidP="006D7C47">
            <w:pPr>
              <w:tabs>
                <w:tab w:val="clear" w:pos="2835"/>
              </w:tabs>
              <w:jc w:val="center"/>
              <w:rPr>
                <w:rFonts w:cs="Arial"/>
                <w:b/>
                <w:szCs w:val="22"/>
                <w:u w:val="single"/>
                <w:lang w:val="es-ES_tradnl"/>
              </w:rPr>
            </w:pPr>
          </w:p>
          <w:p w:rsidR="00151E88" w:rsidRPr="006D7C47" w:rsidRDefault="00151E88" w:rsidP="006D7C47">
            <w:pPr>
              <w:tabs>
                <w:tab w:val="clear" w:pos="2835"/>
              </w:tabs>
              <w:jc w:val="center"/>
              <w:rPr>
                <w:rFonts w:cs="Arial"/>
                <w:b/>
                <w:szCs w:val="22"/>
                <w:u w:val="single"/>
                <w:lang w:val="es-ES_tradnl"/>
              </w:rPr>
            </w:pPr>
          </w:p>
          <w:p w:rsidR="006D7C47" w:rsidRDefault="006D7C47" w:rsidP="006D7C47">
            <w:pPr>
              <w:tabs>
                <w:tab w:val="clear" w:pos="2835"/>
              </w:tabs>
              <w:jc w:val="center"/>
              <w:rPr>
                <w:rFonts w:cs="Arial"/>
                <w:b/>
                <w:szCs w:val="22"/>
                <w:u w:val="single"/>
                <w:lang w:val="es-ES_tradnl"/>
              </w:rPr>
            </w:pPr>
            <w:r w:rsidRPr="006D7C47">
              <w:rPr>
                <w:rFonts w:cs="Arial"/>
                <w:b/>
                <w:szCs w:val="22"/>
                <w:u w:val="single"/>
                <w:lang w:val="es-ES_tradnl"/>
              </w:rPr>
              <w:t>Literal a)</w:t>
            </w:r>
          </w:p>
          <w:p w:rsidR="006D7C47" w:rsidRPr="006D7C47" w:rsidRDefault="006D7C47" w:rsidP="006D7C47">
            <w:pPr>
              <w:tabs>
                <w:tab w:val="clear" w:pos="2835"/>
              </w:tabs>
              <w:jc w:val="center"/>
              <w:rPr>
                <w:rFonts w:cs="Arial"/>
                <w:b/>
                <w:szCs w:val="22"/>
                <w:u w:val="single"/>
                <w:lang w:val="es-ES_tradnl"/>
              </w:rPr>
            </w:pPr>
          </w:p>
          <w:p w:rsidR="006D7C47" w:rsidRDefault="006D7C47" w:rsidP="006D7C47">
            <w:pPr>
              <w:tabs>
                <w:tab w:val="clear" w:pos="2835"/>
              </w:tabs>
              <w:rPr>
                <w:rFonts w:cs="Arial"/>
                <w:szCs w:val="22"/>
                <w:lang w:val="es-ES_tradnl"/>
              </w:rPr>
            </w:pPr>
            <w:r w:rsidRPr="006D7C47">
              <w:rPr>
                <w:rFonts w:cs="Arial"/>
                <w:szCs w:val="22"/>
                <w:lang w:val="es-ES_tradnl"/>
              </w:rPr>
              <w:t>Lo ha reemplazado por el siguiente:</w:t>
            </w:r>
          </w:p>
          <w:p w:rsidR="006D7C47" w:rsidRDefault="006D7C47" w:rsidP="006D7C47">
            <w:pPr>
              <w:tabs>
                <w:tab w:val="clear" w:pos="2835"/>
              </w:tabs>
              <w:rPr>
                <w:rFonts w:cs="Arial"/>
                <w:szCs w:val="22"/>
                <w:lang w:val="es-ES_tradnl"/>
              </w:rPr>
            </w:pPr>
          </w:p>
          <w:p w:rsidR="00176AE1" w:rsidRDefault="00176AE1" w:rsidP="006D7C47">
            <w:pPr>
              <w:tabs>
                <w:tab w:val="clear" w:pos="2835"/>
              </w:tabs>
              <w:rPr>
                <w:rFonts w:cs="Arial"/>
                <w:szCs w:val="22"/>
                <w:lang w:val="es-ES_tradnl"/>
              </w:rPr>
            </w:pPr>
          </w:p>
          <w:p w:rsidR="00176AE1" w:rsidRDefault="00176AE1" w:rsidP="006D7C47">
            <w:pPr>
              <w:tabs>
                <w:tab w:val="clear" w:pos="2835"/>
              </w:tabs>
              <w:rPr>
                <w:rFonts w:cs="Arial"/>
                <w:szCs w:val="22"/>
                <w:lang w:val="es-ES_tradnl"/>
              </w:rPr>
            </w:pPr>
          </w:p>
          <w:p w:rsidR="00176AE1" w:rsidRPr="006D7C47" w:rsidRDefault="00176AE1" w:rsidP="006D7C47">
            <w:pPr>
              <w:tabs>
                <w:tab w:val="clear" w:pos="2835"/>
              </w:tabs>
              <w:rPr>
                <w:rFonts w:cs="Arial"/>
                <w:szCs w:val="22"/>
                <w:lang w:val="es-ES_tradnl"/>
              </w:rPr>
            </w:pPr>
          </w:p>
          <w:p w:rsidR="006D7C47" w:rsidRPr="006D7C47" w:rsidRDefault="006D7C47" w:rsidP="006D7C47">
            <w:pPr>
              <w:tabs>
                <w:tab w:val="clear" w:pos="2835"/>
              </w:tabs>
              <w:rPr>
                <w:rFonts w:cs="Arial"/>
                <w:szCs w:val="22"/>
                <w:lang w:val="es-ES_tradnl"/>
              </w:rPr>
            </w:pPr>
            <w:r w:rsidRPr="006D7C47">
              <w:rPr>
                <w:rFonts w:cs="Arial"/>
                <w:szCs w:val="22"/>
                <w:lang w:val="es-ES_tradnl"/>
              </w:rPr>
              <w:t>“a) Agrégase en su inciso primero la siguiente oración final: “Se entenderá también por asesoría previsional, las recomendaciones no personalizadas dirigidas, por cualquier medio, a afiliados, beneficiarios o pensionados del Sistema o a grupos específicos de aquellos, respecto de las citadas materias, incluidas las transferencias entre tipos de Fondos de Pensiones.”.</w:t>
            </w:r>
          </w:p>
          <w:p w:rsidR="006D7C47" w:rsidRPr="006D7C47" w:rsidRDefault="006D7C47" w:rsidP="006D7C47">
            <w:pPr>
              <w:tabs>
                <w:tab w:val="clear" w:pos="2835"/>
              </w:tabs>
              <w:rPr>
                <w:rFonts w:cs="Arial"/>
                <w:szCs w:val="22"/>
                <w:lang w:val="es-ES_tradnl"/>
              </w:rPr>
            </w:pPr>
          </w:p>
          <w:p w:rsidR="0045036E" w:rsidRPr="001C20E4" w:rsidRDefault="0045036E" w:rsidP="00764AF6">
            <w:pPr>
              <w:tabs>
                <w:tab w:val="clear" w:pos="2835"/>
              </w:tabs>
              <w:rPr>
                <w:rFonts w:cs="Arial"/>
                <w:szCs w:val="22"/>
                <w:lang w:val="es-ES_tradnl"/>
              </w:rPr>
            </w:pPr>
          </w:p>
        </w:tc>
      </w:tr>
      <w:tr w:rsidR="00096CE0" w:rsidRPr="001C20E4" w:rsidTr="00096CE0">
        <w:trPr>
          <w:trHeight w:val="315"/>
          <w:jc w:val="center"/>
        </w:trPr>
        <w:tc>
          <w:tcPr>
            <w:tcW w:w="1661" w:type="pct"/>
          </w:tcPr>
          <w:p w:rsidR="0045036E" w:rsidRDefault="0045036E" w:rsidP="00D323BC">
            <w:pPr>
              <w:widowControl w:val="0"/>
              <w:tabs>
                <w:tab w:val="clear" w:pos="2835"/>
              </w:tabs>
              <w:autoSpaceDE w:val="0"/>
              <w:autoSpaceDN w:val="0"/>
              <w:adjustRightInd w:val="0"/>
              <w:rPr>
                <w:rFonts w:eastAsiaTheme="minorEastAsia" w:cs="Arial"/>
                <w:szCs w:val="22"/>
                <w:lang w:val="es-ES_tradnl" w:eastAsia="es-CL"/>
              </w:rPr>
            </w:pPr>
          </w:p>
          <w:p w:rsidR="00755D9A" w:rsidRPr="001C20E4" w:rsidRDefault="00755D9A" w:rsidP="00D323BC">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D323BC">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Artículo 172.- Créase el Registro de Asesores Previsionales, que </w:t>
            </w:r>
            <w:r w:rsidRPr="001C20E4">
              <w:rPr>
                <w:rFonts w:eastAsiaTheme="minorEastAsia" w:cs="Arial"/>
                <w:szCs w:val="22"/>
                <w:u w:val="single"/>
                <w:lang w:val="es-ES_tradnl" w:eastAsia="es-CL"/>
              </w:rPr>
              <w:t>mantendrán en forma conjunta las Superintendencias de Pensiones y de Valores y Seguros</w:t>
            </w:r>
            <w:r w:rsidRPr="001C20E4">
              <w:rPr>
                <w:rFonts w:eastAsiaTheme="minorEastAsia" w:cs="Arial"/>
                <w:szCs w:val="22"/>
                <w:lang w:val="es-ES_tradnl" w:eastAsia="es-CL"/>
              </w:rPr>
              <w:t xml:space="preserve">, en el cual deberán inscribirse las personas o entidades que desarrollen la actividad de asesoría previsional a que alude el artículo anterior. Para tal efecto, deberán dar cumplimiento a las exigencias que se establecen en el presente Título y en lo que se refiere al procedimiento de inscripción en el registro a las normas de carácter general que al respecto </w:t>
            </w:r>
            <w:r w:rsidRPr="001C20E4">
              <w:rPr>
                <w:rFonts w:eastAsiaTheme="minorEastAsia" w:cs="Arial"/>
                <w:szCs w:val="22"/>
                <w:u w:val="single"/>
                <w:lang w:val="es-ES_tradnl" w:eastAsia="es-CL"/>
              </w:rPr>
              <w:t>dicten conjuntamente las mencionadas Superintendencias</w:t>
            </w:r>
            <w:r w:rsidRPr="001C20E4">
              <w:rPr>
                <w:rFonts w:eastAsiaTheme="minorEastAsia" w:cs="Arial"/>
                <w:szCs w:val="22"/>
                <w:lang w:val="es-ES_tradnl" w:eastAsia="es-CL"/>
              </w:rPr>
              <w:t>.</w:t>
            </w:r>
          </w:p>
          <w:p w:rsidR="0045036E" w:rsidRPr="001C20E4" w:rsidRDefault="0045036E" w:rsidP="00D323BC">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755D9A" w:rsidRPr="00755D9A" w:rsidRDefault="00755D9A" w:rsidP="00755D9A">
            <w:pPr>
              <w:contextualSpacing/>
              <w:rPr>
                <w:rFonts w:cs="Arial"/>
                <w:szCs w:val="22"/>
              </w:rPr>
            </w:pPr>
            <w:r w:rsidRPr="00755D9A">
              <w:rPr>
                <w:rFonts w:cs="Arial"/>
                <w:szCs w:val="22"/>
              </w:rPr>
              <w:t>5) Modifícase su artículo 172, como se indica:</w:t>
            </w:r>
          </w:p>
          <w:p w:rsidR="00755D9A" w:rsidRDefault="00755D9A" w:rsidP="00755D9A">
            <w:pPr>
              <w:contextualSpacing/>
              <w:rPr>
                <w:rFonts w:cs="Arial"/>
                <w:szCs w:val="22"/>
              </w:rPr>
            </w:pPr>
          </w:p>
          <w:p w:rsidR="00CB0E52" w:rsidRPr="00755D9A" w:rsidRDefault="00CB0E52" w:rsidP="00755D9A">
            <w:pPr>
              <w:contextualSpacing/>
              <w:rPr>
                <w:rFonts w:cs="Arial"/>
                <w:szCs w:val="22"/>
              </w:rPr>
            </w:pPr>
          </w:p>
          <w:p w:rsidR="00755D9A" w:rsidRPr="00755D9A" w:rsidRDefault="00755D9A" w:rsidP="00755D9A">
            <w:pPr>
              <w:contextualSpacing/>
              <w:rPr>
                <w:rFonts w:cs="Arial"/>
                <w:szCs w:val="22"/>
              </w:rPr>
            </w:pPr>
            <w:r w:rsidRPr="00755D9A">
              <w:rPr>
                <w:rFonts w:cs="Arial"/>
                <w:szCs w:val="22"/>
              </w:rPr>
              <w:t>a) Reemplázase la frase “mantendrán en forma conjunta las Superintendencias de Pensiones y de Valores y Seguros”, por la siguiente: “mantendrá la Superintendencia de Pensiones”.</w:t>
            </w:r>
          </w:p>
          <w:p w:rsidR="00755D9A" w:rsidRDefault="00755D9A" w:rsidP="00755D9A">
            <w:pPr>
              <w:contextualSpacing/>
              <w:rPr>
                <w:rFonts w:cs="Arial"/>
                <w:szCs w:val="22"/>
              </w:rPr>
            </w:pPr>
          </w:p>
          <w:p w:rsidR="00755D9A" w:rsidRDefault="00755D9A" w:rsidP="00755D9A">
            <w:pPr>
              <w:contextualSpacing/>
              <w:rPr>
                <w:rFonts w:cs="Arial"/>
                <w:szCs w:val="22"/>
              </w:rPr>
            </w:pPr>
          </w:p>
          <w:p w:rsidR="00755D9A" w:rsidRDefault="00755D9A" w:rsidP="00755D9A">
            <w:pPr>
              <w:contextualSpacing/>
              <w:rPr>
                <w:rFonts w:cs="Arial"/>
                <w:szCs w:val="22"/>
              </w:rPr>
            </w:pPr>
          </w:p>
          <w:p w:rsidR="00755D9A" w:rsidRDefault="00755D9A" w:rsidP="00755D9A">
            <w:pPr>
              <w:contextualSpacing/>
              <w:rPr>
                <w:rFonts w:cs="Arial"/>
                <w:szCs w:val="22"/>
              </w:rPr>
            </w:pPr>
          </w:p>
          <w:p w:rsidR="00755D9A" w:rsidRPr="00755D9A" w:rsidRDefault="00755D9A" w:rsidP="00755D9A">
            <w:pPr>
              <w:contextualSpacing/>
              <w:rPr>
                <w:rFonts w:cs="Arial"/>
                <w:szCs w:val="22"/>
              </w:rPr>
            </w:pPr>
            <w:r w:rsidRPr="00755D9A">
              <w:rPr>
                <w:rFonts w:cs="Arial"/>
                <w:szCs w:val="22"/>
              </w:rPr>
              <w:t>b) Sustitúyese la frase “dicten conjuntamente las mencionadas Superintendencias”, por la que sigue: “dicte la mencionada Superintendencia”.</w:t>
            </w:r>
          </w:p>
          <w:p w:rsidR="00755D9A" w:rsidRDefault="00755D9A" w:rsidP="00755D9A">
            <w:pPr>
              <w:contextualSpacing/>
              <w:rPr>
                <w:rFonts w:cs="Arial"/>
                <w:szCs w:val="22"/>
              </w:rPr>
            </w:pPr>
          </w:p>
          <w:p w:rsidR="00755D9A" w:rsidRDefault="00755D9A" w:rsidP="00755D9A">
            <w:pPr>
              <w:contextualSpacing/>
              <w:rPr>
                <w:rFonts w:cs="Arial"/>
                <w:szCs w:val="22"/>
              </w:rPr>
            </w:pPr>
          </w:p>
          <w:p w:rsidR="00755D9A" w:rsidRDefault="00755D9A" w:rsidP="00755D9A">
            <w:pPr>
              <w:contextualSpacing/>
              <w:rPr>
                <w:rFonts w:cs="Arial"/>
                <w:szCs w:val="22"/>
              </w:rPr>
            </w:pPr>
          </w:p>
          <w:p w:rsidR="00A01782" w:rsidRPr="00755D9A" w:rsidRDefault="00A01782" w:rsidP="00755D9A">
            <w:pPr>
              <w:contextualSpacing/>
              <w:rPr>
                <w:rFonts w:cs="Arial"/>
                <w:szCs w:val="22"/>
              </w:rPr>
            </w:pPr>
          </w:p>
          <w:p w:rsidR="00755D9A" w:rsidRPr="00755D9A" w:rsidRDefault="00755D9A" w:rsidP="00755D9A">
            <w:pPr>
              <w:contextualSpacing/>
              <w:rPr>
                <w:rFonts w:cs="Arial"/>
                <w:szCs w:val="22"/>
              </w:rPr>
            </w:pPr>
            <w:r w:rsidRPr="00755D9A">
              <w:rPr>
                <w:rFonts w:cs="Arial"/>
                <w:szCs w:val="22"/>
              </w:rPr>
              <w:t>c) Agrégase el siguiente inciso segundo:</w:t>
            </w:r>
          </w:p>
          <w:p w:rsidR="00755D9A" w:rsidRPr="00A01782" w:rsidRDefault="00755D9A" w:rsidP="00755D9A">
            <w:pPr>
              <w:contextualSpacing/>
              <w:rPr>
                <w:rFonts w:cs="Arial"/>
                <w:b/>
                <w:szCs w:val="22"/>
              </w:rPr>
            </w:pPr>
          </w:p>
          <w:p w:rsidR="00755D9A" w:rsidRPr="00A01782" w:rsidRDefault="00755D9A" w:rsidP="00755D9A">
            <w:pPr>
              <w:contextualSpacing/>
              <w:rPr>
                <w:rFonts w:cs="Arial"/>
                <w:b/>
                <w:szCs w:val="22"/>
              </w:rPr>
            </w:pPr>
            <w:r w:rsidRPr="00A01782">
              <w:rPr>
                <w:rFonts w:cs="Arial"/>
                <w:b/>
                <w:szCs w:val="22"/>
              </w:rPr>
              <w:t>“Dicha Superintendencia podrá establecer requisitos diferenciados para los asesores previsionales o entidades de asesoría previsional en función del tipo de asesoría previsional que presten.”.</w:t>
            </w:r>
          </w:p>
          <w:p w:rsidR="0045036E" w:rsidRPr="001C20E4" w:rsidRDefault="0045036E">
            <w:pPr>
              <w:contextualSpacing/>
              <w:rPr>
                <w:rFonts w:cs="Arial"/>
                <w:szCs w:val="22"/>
              </w:rPr>
            </w:pPr>
          </w:p>
        </w:tc>
        <w:tc>
          <w:tcPr>
            <w:tcW w:w="1674" w:type="pct"/>
          </w:tcPr>
          <w:p w:rsidR="00A01782" w:rsidRPr="00A01782" w:rsidRDefault="00A01782" w:rsidP="00A01782">
            <w:pPr>
              <w:jc w:val="center"/>
              <w:rPr>
                <w:rFonts w:cs="Arial"/>
                <w:b/>
                <w:szCs w:val="22"/>
                <w:u w:val="single"/>
                <w:lang w:val="es-ES_tradnl"/>
              </w:rPr>
            </w:pPr>
            <w:r w:rsidRPr="00A01782">
              <w:rPr>
                <w:rFonts w:cs="Arial"/>
                <w:b/>
                <w:szCs w:val="22"/>
                <w:u w:val="single"/>
                <w:lang w:val="es-ES_tradnl"/>
              </w:rPr>
              <w:t>Numeral 5</w:t>
            </w: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p>
          <w:p w:rsidR="00A01782" w:rsidRPr="00A01782" w:rsidRDefault="00A01782" w:rsidP="00A01782">
            <w:pPr>
              <w:jc w:val="center"/>
              <w:rPr>
                <w:rFonts w:cs="Arial"/>
                <w:b/>
                <w:szCs w:val="22"/>
                <w:u w:val="single"/>
                <w:lang w:val="es-ES_tradnl"/>
              </w:rPr>
            </w:pPr>
          </w:p>
          <w:p w:rsidR="00A01782" w:rsidRDefault="00A01782" w:rsidP="00A01782">
            <w:pPr>
              <w:jc w:val="center"/>
              <w:rPr>
                <w:rFonts w:cs="Arial"/>
                <w:b/>
                <w:szCs w:val="22"/>
                <w:u w:val="single"/>
                <w:lang w:val="es-ES_tradnl"/>
              </w:rPr>
            </w:pPr>
            <w:r w:rsidRPr="00A01782">
              <w:rPr>
                <w:rFonts w:cs="Arial"/>
                <w:b/>
                <w:szCs w:val="22"/>
                <w:u w:val="single"/>
                <w:lang w:val="es-ES_tradnl"/>
              </w:rPr>
              <w:t>Literal c)</w:t>
            </w:r>
          </w:p>
          <w:p w:rsidR="00A01782" w:rsidRPr="00A01782" w:rsidRDefault="00A01782" w:rsidP="00A01782">
            <w:pPr>
              <w:jc w:val="center"/>
              <w:rPr>
                <w:rFonts w:cs="Arial"/>
                <w:b/>
                <w:szCs w:val="22"/>
                <w:u w:val="single"/>
                <w:lang w:val="es-ES_tradnl"/>
              </w:rPr>
            </w:pPr>
          </w:p>
          <w:p w:rsidR="00A01782" w:rsidRDefault="00A01782" w:rsidP="00A01782">
            <w:pPr>
              <w:rPr>
                <w:rFonts w:cs="Arial"/>
                <w:szCs w:val="22"/>
                <w:lang w:val="es-ES_tradnl"/>
              </w:rPr>
            </w:pPr>
            <w:r w:rsidRPr="00A01782">
              <w:rPr>
                <w:rFonts w:cs="Arial"/>
                <w:szCs w:val="22"/>
                <w:lang w:val="es-ES_tradnl"/>
              </w:rPr>
              <w:t>Ha sustituido el inciso segundo que propone agregar por el siguiente:</w:t>
            </w:r>
          </w:p>
          <w:p w:rsidR="00A01782" w:rsidRPr="00A01782" w:rsidRDefault="00A01782" w:rsidP="00A01782">
            <w:pPr>
              <w:rPr>
                <w:rFonts w:cs="Arial"/>
                <w:szCs w:val="22"/>
                <w:lang w:val="es-ES_tradnl"/>
              </w:rPr>
            </w:pPr>
          </w:p>
          <w:p w:rsidR="00A01782" w:rsidRPr="00A01782" w:rsidRDefault="00A01782" w:rsidP="00A01782">
            <w:pPr>
              <w:rPr>
                <w:rFonts w:cs="Arial"/>
                <w:szCs w:val="22"/>
                <w:lang w:val="es-ES_tradnl"/>
              </w:rPr>
            </w:pPr>
            <w:r w:rsidRPr="00A01782">
              <w:rPr>
                <w:rFonts w:cs="Arial"/>
                <w:szCs w:val="22"/>
                <w:lang w:val="es-ES_tradnl"/>
              </w:rPr>
              <w:t>“Dicha Superintendencia podrá establecer, mediante norma de carácter general, requisitos diferenciados para los asesores previsionales o entidades de asesoría previsional en función del tipo de asesoría previsional que presten, así como la clase de destinatarios que ella contemple.”.</w:t>
            </w:r>
          </w:p>
          <w:p w:rsidR="0045036E" w:rsidRDefault="0045036E" w:rsidP="00596D12">
            <w:pPr>
              <w:rPr>
                <w:rFonts w:cs="Arial"/>
                <w:szCs w:val="22"/>
                <w:lang w:val="es-ES_tradnl"/>
              </w:rPr>
            </w:pPr>
          </w:p>
          <w:p w:rsidR="00D46145" w:rsidRPr="001C20E4" w:rsidRDefault="00D46145" w:rsidP="00596D12">
            <w:pPr>
              <w:rPr>
                <w:rFonts w:cs="Arial"/>
                <w:szCs w:val="22"/>
                <w:lang w:val="es-ES_tradnl"/>
              </w:rPr>
            </w:pPr>
          </w:p>
        </w:tc>
      </w:tr>
      <w:tr w:rsidR="00096CE0" w:rsidRPr="001C20E4" w:rsidTr="00096CE0">
        <w:trPr>
          <w:trHeight w:val="315"/>
          <w:jc w:val="center"/>
        </w:trPr>
        <w:tc>
          <w:tcPr>
            <w:tcW w:w="1661" w:type="pct"/>
          </w:tcPr>
          <w:p w:rsidR="0045036E" w:rsidRPr="001C20E4" w:rsidRDefault="0045036E" w:rsidP="00D323BC">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D323BC">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2. De las Entidades de Asesoría Previsional y de</w:t>
            </w:r>
          </w:p>
          <w:p w:rsidR="0045036E" w:rsidRPr="001C20E4" w:rsidRDefault="0045036E" w:rsidP="00D323BC">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los Asesores Previsionales.</w:t>
            </w:r>
          </w:p>
          <w:p w:rsidR="0045036E" w:rsidRDefault="0045036E" w:rsidP="00D323BC">
            <w:pPr>
              <w:widowControl w:val="0"/>
              <w:tabs>
                <w:tab w:val="clear" w:pos="2835"/>
              </w:tabs>
              <w:autoSpaceDE w:val="0"/>
              <w:autoSpaceDN w:val="0"/>
              <w:adjustRightInd w:val="0"/>
              <w:rPr>
                <w:rFonts w:eastAsiaTheme="minorEastAsia" w:cs="Arial"/>
                <w:szCs w:val="22"/>
                <w:lang w:val="es-ES_tradnl" w:eastAsia="es-CL"/>
              </w:rPr>
            </w:pPr>
          </w:p>
          <w:p w:rsidR="009F7DA6" w:rsidRDefault="009F7DA6" w:rsidP="00D323BC">
            <w:pPr>
              <w:widowControl w:val="0"/>
              <w:tabs>
                <w:tab w:val="clear" w:pos="2835"/>
              </w:tabs>
              <w:autoSpaceDE w:val="0"/>
              <w:autoSpaceDN w:val="0"/>
              <w:adjustRightInd w:val="0"/>
              <w:rPr>
                <w:rFonts w:eastAsiaTheme="minorEastAsia" w:cs="Arial"/>
                <w:szCs w:val="22"/>
                <w:lang w:val="es-ES_tradnl" w:eastAsia="es-CL"/>
              </w:rPr>
            </w:pPr>
          </w:p>
          <w:p w:rsidR="009F7DA6" w:rsidRPr="001C20E4" w:rsidRDefault="009F7DA6" w:rsidP="00D323BC">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D323BC">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D323BC">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173.- Las Entidades de Asesoría Previsional serán sociedades constituidas en Chile con el objeto específico de otorgar servicios de asesoría previsional a los afiliados y beneficiarios del Sistema.</w:t>
            </w:r>
          </w:p>
          <w:p w:rsidR="0045036E" w:rsidRPr="001C20E4" w:rsidRDefault="0045036E" w:rsidP="00D323BC">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D323BC">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Sus socios, administradores, representantes legales y las personas que tengan a su cargo realizar las funciones de asesoría previsional, deberán reunir los requisitos y estarán sujetas a las obligaciones que se establecen en este Título.</w:t>
            </w:r>
          </w:p>
          <w:p w:rsidR="0045036E" w:rsidRPr="001C20E4" w:rsidRDefault="0045036E" w:rsidP="00D323BC">
            <w:pPr>
              <w:widowControl w:val="0"/>
              <w:tabs>
                <w:tab w:val="clear" w:pos="2835"/>
              </w:tabs>
              <w:autoSpaceDE w:val="0"/>
              <w:autoSpaceDN w:val="0"/>
              <w:adjustRightInd w:val="0"/>
              <w:rPr>
                <w:rFonts w:eastAsiaTheme="minorEastAsia" w:cs="Arial"/>
                <w:szCs w:val="22"/>
                <w:lang w:val="es-ES_tradnl" w:eastAsia="es-CL"/>
              </w:rPr>
            </w:pPr>
          </w:p>
          <w:p w:rsidR="0045036E" w:rsidRPr="009F7DA6" w:rsidRDefault="0045036E" w:rsidP="00D323BC">
            <w:pPr>
              <w:widowControl w:val="0"/>
              <w:tabs>
                <w:tab w:val="clear" w:pos="2835"/>
              </w:tabs>
              <w:autoSpaceDE w:val="0"/>
              <w:autoSpaceDN w:val="0"/>
              <w:adjustRightInd w:val="0"/>
              <w:rPr>
                <w:rFonts w:eastAsiaTheme="minorEastAsia" w:cs="Arial"/>
                <w:szCs w:val="22"/>
                <w:u w:val="single"/>
                <w:lang w:val="es-ES_tradnl" w:eastAsia="es-CL"/>
              </w:rPr>
            </w:pPr>
            <w:r w:rsidRPr="009F7DA6">
              <w:rPr>
                <w:rFonts w:eastAsiaTheme="minorEastAsia" w:cs="Arial"/>
                <w:szCs w:val="22"/>
                <w:u w:val="single"/>
                <w:lang w:val="es-ES_tradnl" w:eastAsia="es-CL"/>
              </w:rPr>
              <w:t>Las Entidades de Asesoría Previsional y los Asesores Previsionales deberán acreditar ante las Superintendencias de Pensiones y de Valores y Seguros la contratación de una póliza de seguros para responder del correcto y cabal cumplimiento de todas las obligaciones emanadas de su actividad y, especialmente, de los perjuicios que puedan ocasionar a los afiliados o beneficiarios que contraten sus servicios de asesoría previsional.</w:t>
            </w:r>
          </w:p>
          <w:p w:rsidR="0045036E" w:rsidRPr="009F7DA6" w:rsidRDefault="0045036E" w:rsidP="00D323BC">
            <w:pPr>
              <w:widowControl w:val="0"/>
              <w:tabs>
                <w:tab w:val="clear" w:pos="2835"/>
              </w:tabs>
              <w:autoSpaceDE w:val="0"/>
              <w:autoSpaceDN w:val="0"/>
              <w:adjustRightInd w:val="0"/>
              <w:rPr>
                <w:rFonts w:eastAsiaTheme="minorEastAsia" w:cs="Arial"/>
                <w:szCs w:val="22"/>
                <w:u w:val="single"/>
                <w:lang w:val="es-ES_tradnl" w:eastAsia="es-CL"/>
              </w:rPr>
            </w:pPr>
          </w:p>
          <w:p w:rsidR="009F7DA6" w:rsidRPr="009F7DA6" w:rsidRDefault="009F7DA6" w:rsidP="00455AA4">
            <w:pPr>
              <w:widowControl w:val="0"/>
              <w:tabs>
                <w:tab w:val="clear" w:pos="2835"/>
              </w:tabs>
              <w:autoSpaceDE w:val="0"/>
              <w:autoSpaceDN w:val="0"/>
              <w:adjustRightInd w:val="0"/>
              <w:rPr>
                <w:rFonts w:eastAsiaTheme="minorEastAsia" w:cs="Arial"/>
                <w:szCs w:val="22"/>
                <w:u w:val="single"/>
                <w:lang w:val="es-ES_tradnl" w:eastAsia="es-CL"/>
              </w:rPr>
            </w:pPr>
          </w:p>
          <w:p w:rsidR="009F7DA6" w:rsidRPr="009F7DA6" w:rsidRDefault="009F7DA6" w:rsidP="00455AA4">
            <w:pPr>
              <w:widowControl w:val="0"/>
              <w:tabs>
                <w:tab w:val="clear" w:pos="2835"/>
              </w:tabs>
              <w:autoSpaceDE w:val="0"/>
              <w:autoSpaceDN w:val="0"/>
              <w:adjustRightInd w:val="0"/>
              <w:rPr>
                <w:rFonts w:eastAsiaTheme="minorEastAsia" w:cs="Arial"/>
                <w:szCs w:val="22"/>
                <w:u w:val="single"/>
                <w:lang w:val="es-ES_tradnl" w:eastAsia="es-CL"/>
              </w:rPr>
            </w:pPr>
          </w:p>
          <w:p w:rsidR="009F7DA6" w:rsidRPr="009F7DA6" w:rsidRDefault="009F7DA6" w:rsidP="00455AA4">
            <w:pPr>
              <w:widowControl w:val="0"/>
              <w:tabs>
                <w:tab w:val="clear" w:pos="2835"/>
              </w:tabs>
              <w:autoSpaceDE w:val="0"/>
              <w:autoSpaceDN w:val="0"/>
              <w:adjustRightInd w:val="0"/>
              <w:rPr>
                <w:rFonts w:eastAsiaTheme="minorEastAsia" w:cs="Arial"/>
                <w:szCs w:val="22"/>
                <w:u w:val="single"/>
                <w:lang w:val="es-ES_tradnl" w:eastAsia="es-CL"/>
              </w:rPr>
            </w:pPr>
          </w:p>
          <w:p w:rsidR="0045036E" w:rsidRPr="009F7DA6" w:rsidRDefault="0045036E" w:rsidP="00455AA4">
            <w:pPr>
              <w:widowControl w:val="0"/>
              <w:tabs>
                <w:tab w:val="clear" w:pos="2835"/>
              </w:tabs>
              <w:autoSpaceDE w:val="0"/>
              <w:autoSpaceDN w:val="0"/>
              <w:adjustRightInd w:val="0"/>
              <w:rPr>
                <w:rFonts w:eastAsiaTheme="minorEastAsia" w:cs="Arial"/>
                <w:szCs w:val="22"/>
                <w:u w:val="single"/>
                <w:lang w:val="es-ES_tradnl" w:eastAsia="es-CL"/>
              </w:rPr>
            </w:pPr>
            <w:r w:rsidRPr="009F7DA6">
              <w:rPr>
                <w:rFonts w:eastAsiaTheme="minorEastAsia" w:cs="Arial"/>
                <w:szCs w:val="22"/>
                <w:u w:val="single"/>
                <w:lang w:val="es-ES_tradnl" w:eastAsia="es-CL"/>
              </w:rPr>
              <w:t>La póliza de seguros a que se refiere el inciso anterior deberá constituirse por un monto no inferior a la cantidad más alta entre 500 unidades de fomento y el 30% de la suma del saldo destinado a pensión de la cuenta de capitalización individual de los afiliados que asesoró en el año inmediatamente anterior, por las primeras 15.000 Unidades de Fomento, y de un 10% por el exceso sobre esta cifra, con un máximo de 60.000 unidades de fomento.</w:t>
            </w:r>
          </w:p>
          <w:p w:rsidR="0045036E" w:rsidRPr="001C20E4" w:rsidRDefault="0045036E" w:rsidP="00455AA4">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r w:rsidRPr="003538BD">
              <w:rPr>
                <w:rFonts w:cs="Arial"/>
                <w:b/>
                <w:szCs w:val="22"/>
              </w:rPr>
              <w:t>6) Reemplázanse los incisos tercero y cuarto del artículo 173, por los siguientes:</w:t>
            </w: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r w:rsidRPr="003538BD">
              <w:rPr>
                <w:rFonts w:cs="Arial"/>
                <w:b/>
                <w:szCs w:val="22"/>
              </w:rPr>
              <w:t>“Las Entidades de Asesoría Previsional y los Asesores Previsionales deberán acreditar ante la Superintendencia de Pensiones la constitución de una garantía, mediante boleta de garantía bancaria o la contratación de una póliza de seguros que al efecto autorice la Comisión para el Mercado Financiero, para responder del correcto y cabal cumplimiento de todas las obligaciones emanadas de su actividad y, especialmente, de los perjuicios que puedan ocasionar a los afiliados o beneficiarios que contraten sus servicios de asesoría previsional.</w:t>
            </w:r>
          </w:p>
          <w:p w:rsidR="009F7DA6" w:rsidRPr="003538BD" w:rsidRDefault="009F7DA6" w:rsidP="009F7DA6">
            <w:pPr>
              <w:contextualSpacing/>
              <w:rPr>
                <w:rFonts w:cs="Arial"/>
                <w:b/>
                <w:szCs w:val="22"/>
              </w:rPr>
            </w:pPr>
          </w:p>
          <w:p w:rsidR="009F7DA6" w:rsidRPr="003538BD" w:rsidRDefault="009F7DA6" w:rsidP="009F7DA6">
            <w:pPr>
              <w:contextualSpacing/>
              <w:rPr>
                <w:rFonts w:cs="Arial"/>
                <w:b/>
                <w:szCs w:val="22"/>
              </w:rPr>
            </w:pPr>
            <w:r w:rsidRPr="003538BD">
              <w:rPr>
                <w:rFonts w:cs="Arial"/>
                <w:b/>
                <w:szCs w:val="22"/>
              </w:rPr>
              <w:t>La garantía a que se refiere el inciso precedente deberá constituirse por el monto que determine la Superintendencia de Pensiones, según los parámetros establecidos en una norma de carácter general que dicte para tal efecto. Sin perjuicio de lo anterior, el referido monto no podrá ser menor a 500 unidades de fomento, ni mayor a 60.000 unidades de fomento.”.</w:t>
            </w:r>
          </w:p>
          <w:p w:rsidR="0045036E" w:rsidRDefault="0045036E">
            <w:pPr>
              <w:contextualSpacing/>
              <w:rPr>
                <w:rFonts w:cs="Arial"/>
                <w:b/>
                <w:szCs w:val="22"/>
              </w:rPr>
            </w:pPr>
          </w:p>
          <w:p w:rsidR="00151E88" w:rsidRDefault="00151E88">
            <w:pPr>
              <w:contextualSpacing/>
              <w:rPr>
                <w:rFonts w:cs="Arial"/>
                <w:b/>
                <w:szCs w:val="22"/>
              </w:rPr>
            </w:pPr>
          </w:p>
          <w:p w:rsidR="00151E88" w:rsidRPr="003538BD" w:rsidRDefault="00151E88">
            <w:pPr>
              <w:contextualSpacing/>
              <w:rPr>
                <w:rFonts w:cs="Arial"/>
                <w:b/>
                <w:szCs w:val="22"/>
              </w:rPr>
            </w:pPr>
          </w:p>
        </w:tc>
        <w:tc>
          <w:tcPr>
            <w:tcW w:w="1674" w:type="pct"/>
          </w:tcPr>
          <w:p w:rsidR="00174D9B" w:rsidRDefault="00174D9B" w:rsidP="003538BD">
            <w:pPr>
              <w:jc w:val="center"/>
              <w:rPr>
                <w:rFonts w:cs="Arial"/>
                <w:b/>
                <w:szCs w:val="22"/>
                <w:u w:val="single"/>
                <w:lang w:val="es-ES_tradnl"/>
              </w:rPr>
            </w:pPr>
          </w:p>
          <w:p w:rsidR="003538BD" w:rsidRPr="003538BD" w:rsidRDefault="003538BD" w:rsidP="003538BD">
            <w:pPr>
              <w:jc w:val="center"/>
              <w:rPr>
                <w:rFonts w:cs="Arial"/>
                <w:b/>
                <w:szCs w:val="22"/>
                <w:u w:val="single"/>
                <w:lang w:val="es-ES_tradnl"/>
              </w:rPr>
            </w:pPr>
            <w:r w:rsidRPr="003538BD">
              <w:rPr>
                <w:rFonts w:cs="Arial"/>
                <w:b/>
                <w:szCs w:val="22"/>
                <w:u w:val="single"/>
                <w:lang w:val="es-ES_tradnl"/>
              </w:rPr>
              <w:t>Numeral 6</w:t>
            </w:r>
          </w:p>
          <w:p w:rsidR="003538BD" w:rsidRPr="003538BD" w:rsidRDefault="003538BD" w:rsidP="003538BD">
            <w:pPr>
              <w:rPr>
                <w:rFonts w:cs="Arial"/>
                <w:b/>
                <w:szCs w:val="22"/>
                <w:u w:val="single"/>
                <w:lang w:val="es-ES_tradnl"/>
              </w:rPr>
            </w:pPr>
          </w:p>
          <w:p w:rsidR="003538BD" w:rsidRPr="003538BD" w:rsidRDefault="003538BD" w:rsidP="003538BD">
            <w:pPr>
              <w:rPr>
                <w:rFonts w:cs="Arial"/>
                <w:szCs w:val="22"/>
                <w:lang w:val="es-ES_tradnl"/>
              </w:rPr>
            </w:pPr>
            <w:r w:rsidRPr="003538BD">
              <w:rPr>
                <w:rFonts w:cs="Arial"/>
                <w:szCs w:val="22"/>
                <w:lang w:val="es-ES_tradnl"/>
              </w:rPr>
              <w:t>Lo ha suprimido</w:t>
            </w:r>
          </w:p>
          <w:p w:rsidR="0045036E" w:rsidRPr="001C20E4" w:rsidRDefault="0045036E" w:rsidP="00596D12">
            <w:pPr>
              <w:rPr>
                <w:rFonts w:cs="Arial"/>
                <w:szCs w:val="22"/>
              </w:rPr>
            </w:pPr>
          </w:p>
        </w:tc>
      </w:tr>
      <w:tr w:rsidR="00096CE0" w:rsidRPr="001C20E4" w:rsidTr="00096CE0">
        <w:trPr>
          <w:trHeight w:val="315"/>
          <w:jc w:val="center"/>
        </w:trPr>
        <w:tc>
          <w:tcPr>
            <w:tcW w:w="1661" w:type="pct"/>
          </w:tcPr>
          <w:p w:rsidR="0045036E"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6465B3" w:rsidRDefault="006465B3" w:rsidP="00BB45A2">
            <w:pPr>
              <w:widowControl w:val="0"/>
              <w:tabs>
                <w:tab w:val="clear" w:pos="2835"/>
              </w:tabs>
              <w:autoSpaceDE w:val="0"/>
              <w:autoSpaceDN w:val="0"/>
              <w:adjustRightInd w:val="0"/>
              <w:rPr>
                <w:rFonts w:eastAsiaTheme="minorEastAsia" w:cs="Arial"/>
                <w:szCs w:val="22"/>
                <w:lang w:val="es-ES_tradnl" w:eastAsia="es-CL"/>
              </w:rPr>
            </w:pPr>
          </w:p>
          <w:p w:rsidR="006465B3" w:rsidRDefault="006465B3" w:rsidP="00BB45A2">
            <w:pPr>
              <w:widowControl w:val="0"/>
              <w:tabs>
                <w:tab w:val="clear" w:pos="2835"/>
              </w:tabs>
              <w:autoSpaceDE w:val="0"/>
              <w:autoSpaceDN w:val="0"/>
              <w:adjustRightInd w:val="0"/>
              <w:rPr>
                <w:rFonts w:eastAsiaTheme="minorEastAsia" w:cs="Arial"/>
                <w:szCs w:val="22"/>
                <w:lang w:val="es-ES_tradnl" w:eastAsia="es-CL"/>
              </w:rPr>
            </w:pPr>
          </w:p>
          <w:p w:rsidR="006465B3" w:rsidRPr="001C20E4" w:rsidRDefault="006465B3" w:rsidP="00BB45A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174.- Los socios, los administradores, los representantes legales de las Entidades de Asesoría Previsional y sus dependientes que desempeñen la función de asesoría previsional, así como los Asesores Previsionales, deberán cumplir con los siguientes requisitos:</w:t>
            </w:r>
          </w:p>
          <w:p w:rsidR="00543BC8" w:rsidRPr="001C20E4" w:rsidRDefault="00543BC8"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543BC8" w:rsidRDefault="0045036E" w:rsidP="00BB45A2">
            <w:pPr>
              <w:widowControl w:val="0"/>
              <w:tabs>
                <w:tab w:val="clear" w:pos="2835"/>
              </w:tabs>
              <w:autoSpaceDE w:val="0"/>
              <w:autoSpaceDN w:val="0"/>
              <w:adjustRightInd w:val="0"/>
              <w:rPr>
                <w:rFonts w:eastAsiaTheme="minorEastAsia" w:cs="Arial"/>
                <w:szCs w:val="22"/>
                <w:u w:val="single"/>
                <w:lang w:val="es-ES_tradnl" w:eastAsia="es-CL"/>
              </w:rPr>
            </w:pPr>
            <w:r w:rsidRPr="00543BC8">
              <w:rPr>
                <w:rFonts w:eastAsiaTheme="minorEastAsia" w:cs="Arial"/>
                <w:szCs w:val="22"/>
                <w:u w:val="single"/>
                <w:lang w:val="es-ES_tradnl" w:eastAsia="es-CL"/>
              </w:rPr>
              <w:t>a) Ser mayor de edad, chileno o extranjero con residencia en Chile y cédula de identidad de extranjería al día;</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b) Los que  tengan actualmente la calidad de deudor en un procedimiento concursal de liquidación, y quienes tengan prohibición de comerciar, y</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c) Estar en posesión, a lo menos, de licencia de educación media o estudios equivalentes;</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d) Acreditar los conocimientos suficientes sobre materias previsionales y de seguros.</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E24E5F" w:rsidRDefault="00E24E5F" w:rsidP="00BB45A2">
            <w:pPr>
              <w:widowControl w:val="0"/>
              <w:tabs>
                <w:tab w:val="clear" w:pos="2835"/>
              </w:tabs>
              <w:autoSpaceDE w:val="0"/>
              <w:autoSpaceDN w:val="0"/>
              <w:adjustRightInd w:val="0"/>
              <w:rPr>
                <w:rFonts w:eastAsiaTheme="minorEastAsia" w:cs="Arial"/>
                <w:szCs w:val="22"/>
                <w:u w:val="single"/>
                <w:lang w:val="es-ES_tradnl" w:eastAsia="es-CL"/>
              </w:rPr>
            </w:pPr>
          </w:p>
          <w:p w:rsidR="00E24E5F" w:rsidRDefault="00E24E5F" w:rsidP="00BB45A2">
            <w:pPr>
              <w:widowControl w:val="0"/>
              <w:tabs>
                <w:tab w:val="clear" w:pos="2835"/>
              </w:tabs>
              <w:autoSpaceDE w:val="0"/>
              <w:autoSpaceDN w:val="0"/>
              <w:adjustRightInd w:val="0"/>
              <w:rPr>
                <w:rFonts w:eastAsiaTheme="minorEastAsia" w:cs="Arial"/>
                <w:szCs w:val="22"/>
                <w:u w:val="single"/>
                <w:lang w:val="es-ES_tradnl" w:eastAsia="es-CL"/>
              </w:rPr>
            </w:pPr>
          </w:p>
          <w:p w:rsidR="00E24E5F" w:rsidRDefault="00E24E5F" w:rsidP="00BB45A2">
            <w:pPr>
              <w:widowControl w:val="0"/>
              <w:tabs>
                <w:tab w:val="clear" w:pos="2835"/>
              </w:tabs>
              <w:autoSpaceDE w:val="0"/>
              <w:autoSpaceDN w:val="0"/>
              <w:adjustRightInd w:val="0"/>
              <w:rPr>
                <w:rFonts w:eastAsiaTheme="minorEastAsia" w:cs="Arial"/>
                <w:szCs w:val="22"/>
                <w:u w:val="single"/>
                <w:lang w:val="es-ES_tradnl" w:eastAsia="es-CL"/>
              </w:rPr>
            </w:pPr>
          </w:p>
          <w:p w:rsidR="0045036E" w:rsidRPr="00272CF9" w:rsidRDefault="0045036E" w:rsidP="00BB45A2">
            <w:pPr>
              <w:widowControl w:val="0"/>
              <w:tabs>
                <w:tab w:val="clear" w:pos="2835"/>
              </w:tabs>
              <w:autoSpaceDE w:val="0"/>
              <w:autoSpaceDN w:val="0"/>
              <w:adjustRightInd w:val="0"/>
              <w:rPr>
                <w:rFonts w:eastAsiaTheme="minorEastAsia" w:cs="Arial"/>
                <w:szCs w:val="22"/>
                <w:u w:val="single"/>
                <w:lang w:val="es-ES_tradnl" w:eastAsia="es-CL"/>
              </w:rPr>
            </w:pPr>
            <w:r w:rsidRPr="00272CF9">
              <w:rPr>
                <w:rFonts w:eastAsiaTheme="minorEastAsia" w:cs="Arial"/>
                <w:szCs w:val="22"/>
                <w:u w:val="single"/>
                <w:lang w:val="es-ES_tradnl" w:eastAsia="es-CL"/>
              </w:rPr>
              <w:t>El cumplimiento de los requisitos a que se refiere el inciso anterior será acreditado en la forma y periocidad que establezcan las Superintendencias de Pensiones y de Valores y Seguros mediante norma de carácter general conjunta.</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151E88" w:rsidRDefault="00151E88" w:rsidP="00BB45A2">
            <w:pPr>
              <w:widowControl w:val="0"/>
              <w:tabs>
                <w:tab w:val="clear" w:pos="2835"/>
              </w:tabs>
              <w:autoSpaceDE w:val="0"/>
              <w:autoSpaceDN w:val="0"/>
              <w:adjustRightInd w:val="0"/>
              <w:rPr>
                <w:rFonts w:eastAsiaTheme="minorEastAsia" w:cs="Arial"/>
                <w:szCs w:val="22"/>
                <w:lang w:val="es-ES_tradnl" w:eastAsia="es-CL"/>
              </w:rPr>
            </w:pPr>
          </w:p>
          <w:p w:rsidR="00CE5839" w:rsidRPr="001C20E4" w:rsidRDefault="00CE5839"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No podrán ser socios, administradores, dependientes que desempeñen la función de asesoría previsional, representantes legales de una Entidad de Asesoría Previsional o Asesores Previsionales, las personas que se encuentren en cualquiera de las situaciones siguientes:</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 Los procesados o condenados por delito que merezca pena aflictiva;</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b) Los fallidos no rehabilitados y quienes tengan prohibición de comerciar, y</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c) Las personas sancionadas con la revocación de su inscripción en alguno de los registros que lleven o regulen las Superintendencias de Pensiones, Valores y Seguros y Bancos e Instituciones Financieras, o los que hayan sido administradores, directores o representantes legales de una persona jurídica sancionada de igual manera, a no ser que hayan salvado su responsabilidad en la forma que prescribe la ley.</w:t>
            </w:r>
          </w:p>
          <w:p w:rsidR="0045036E" w:rsidRPr="001C20E4" w:rsidRDefault="0045036E" w:rsidP="00BB45A2">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No podrán ser Asesores Previsionales ni </w:t>
            </w:r>
            <w:r w:rsidRPr="005D763F">
              <w:rPr>
                <w:rFonts w:eastAsiaTheme="minorEastAsia" w:cs="Arial"/>
                <w:szCs w:val="22"/>
                <w:u w:val="single"/>
                <w:lang w:val="es-ES_tradnl" w:eastAsia="es-CL"/>
              </w:rPr>
              <w:t>directores</w:t>
            </w:r>
            <w:r w:rsidRPr="001C20E4">
              <w:rPr>
                <w:rFonts w:eastAsiaTheme="minorEastAsia" w:cs="Arial"/>
                <w:szCs w:val="22"/>
                <w:lang w:val="es-ES_tradnl" w:eastAsia="es-CL"/>
              </w:rPr>
              <w:t xml:space="preserve">, gerentes, apoderados o dependientes de una sociedad de Asesoría Previsional, quienes sean </w:t>
            </w:r>
            <w:r w:rsidRPr="005D763F">
              <w:rPr>
                <w:rFonts w:eastAsiaTheme="minorEastAsia" w:cs="Arial"/>
                <w:szCs w:val="22"/>
                <w:u w:val="single"/>
                <w:lang w:val="es-ES_tradnl" w:eastAsia="es-CL"/>
              </w:rPr>
              <w:t>directores</w:t>
            </w:r>
            <w:r w:rsidRPr="001C20E4">
              <w:rPr>
                <w:rFonts w:eastAsiaTheme="minorEastAsia" w:cs="Arial"/>
                <w:szCs w:val="22"/>
                <w:lang w:val="es-ES_tradnl" w:eastAsia="es-CL"/>
              </w:rPr>
              <w:t>, gerentes, apoderados o dependientes de una Administradora de Fondos de Pensiones, aseguradora, reaseguradora, liquidadora de siniestros o entidades que conformen el grupo empresarial de estas sociedades.</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6465B3" w:rsidRDefault="006465B3" w:rsidP="00272CF9">
            <w:pPr>
              <w:contextualSpacing/>
              <w:rPr>
                <w:rFonts w:cs="Arial"/>
                <w:szCs w:val="22"/>
              </w:rPr>
            </w:pPr>
          </w:p>
          <w:p w:rsidR="006465B3" w:rsidRDefault="006465B3" w:rsidP="00272CF9">
            <w:pPr>
              <w:contextualSpacing/>
              <w:rPr>
                <w:rFonts w:cs="Arial"/>
                <w:szCs w:val="22"/>
              </w:rPr>
            </w:pPr>
          </w:p>
          <w:p w:rsidR="006465B3" w:rsidRDefault="006465B3"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272CF9" w:rsidRDefault="00272CF9" w:rsidP="00272CF9">
            <w:pPr>
              <w:contextualSpacing/>
              <w:rPr>
                <w:rFonts w:cs="Arial"/>
                <w:szCs w:val="22"/>
              </w:rPr>
            </w:pPr>
          </w:p>
          <w:p w:rsidR="006465B3" w:rsidRDefault="006465B3" w:rsidP="00272CF9">
            <w:pPr>
              <w:contextualSpacing/>
              <w:rPr>
                <w:rFonts w:cs="Arial"/>
                <w:szCs w:val="22"/>
              </w:rPr>
            </w:pPr>
          </w:p>
          <w:p w:rsidR="006465B3" w:rsidRDefault="006465B3" w:rsidP="00272CF9">
            <w:pPr>
              <w:contextualSpacing/>
              <w:rPr>
                <w:rFonts w:cs="Arial"/>
                <w:szCs w:val="22"/>
              </w:rPr>
            </w:pPr>
          </w:p>
          <w:p w:rsidR="006465B3" w:rsidRDefault="006465B3" w:rsidP="00272CF9">
            <w:pPr>
              <w:contextualSpacing/>
              <w:rPr>
                <w:rFonts w:cs="Arial"/>
                <w:szCs w:val="22"/>
              </w:rPr>
            </w:pPr>
          </w:p>
          <w:p w:rsidR="006465B3" w:rsidRDefault="006465B3" w:rsidP="00272CF9">
            <w:pPr>
              <w:contextualSpacing/>
              <w:rPr>
                <w:rFonts w:cs="Arial"/>
                <w:szCs w:val="22"/>
              </w:rPr>
            </w:pPr>
          </w:p>
          <w:p w:rsidR="00272CF9" w:rsidRDefault="00272CF9" w:rsidP="00272CF9">
            <w:pPr>
              <w:contextualSpacing/>
              <w:rPr>
                <w:rFonts w:cs="Arial"/>
                <w:szCs w:val="22"/>
              </w:rPr>
            </w:pPr>
          </w:p>
          <w:p w:rsidR="00272CF9" w:rsidRPr="00543BC8" w:rsidRDefault="00272CF9" w:rsidP="00272CF9">
            <w:pPr>
              <w:contextualSpacing/>
              <w:rPr>
                <w:rFonts w:cs="Arial"/>
                <w:b/>
                <w:szCs w:val="22"/>
              </w:rPr>
            </w:pPr>
            <w:r w:rsidRPr="00A750CE">
              <w:rPr>
                <w:rFonts w:cs="Arial"/>
                <w:b/>
                <w:szCs w:val="22"/>
              </w:rPr>
              <w:t>7)</w:t>
            </w:r>
            <w:r w:rsidRPr="00272CF9">
              <w:rPr>
                <w:rFonts w:cs="Arial"/>
                <w:szCs w:val="22"/>
              </w:rPr>
              <w:t xml:space="preserve"> </w:t>
            </w:r>
            <w:r w:rsidRPr="00543BC8">
              <w:rPr>
                <w:rFonts w:cs="Arial"/>
                <w:b/>
                <w:szCs w:val="22"/>
              </w:rPr>
              <w:t>Reemplázase el inciso segundo del artículo 174, por el siguiente:</w:t>
            </w:r>
          </w:p>
          <w:p w:rsidR="00272CF9" w:rsidRPr="00543BC8" w:rsidRDefault="00272CF9" w:rsidP="00272CF9">
            <w:pPr>
              <w:contextualSpacing/>
              <w:rPr>
                <w:rFonts w:cs="Arial"/>
                <w:b/>
                <w:szCs w:val="22"/>
              </w:rPr>
            </w:pPr>
          </w:p>
          <w:p w:rsidR="00272CF9" w:rsidRPr="00543BC8" w:rsidRDefault="00272CF9" w:rsidP="00272CF9">
            <w:pPr>
              <w:contextualSpacing/>
              <w:rPr>
                <w:rFonts w:cs="Arial"/>
                <w:b/>
                <w:szCs w:val="22"/>
              </w:rPr>
            </w:pPr>
            <w:r w:rsidRPr="00543BC8">
              <w:rPr>
                <w:rFonts w:cs="Arial"/>
                <w:b/>
                <w:szCs w:val="22"/>
              </w:rPr>
              <w:t>“El cumplimiento de los requisitos a que se refiere el inciso anterior será acreditado en la forma y periodicidad que establezca la Superintendencia de Pensiones, mediante norma de carácter general. La Superintendencia podrá diferenciar la acreditación a que se refiere la letra d), en función del tipo de actividad de asesoría previsional que desempeñe el Asesor Previsional o Entidad de Asesoría Previsional. Con todo, la precitada Superintendencia, en conjunto con la Comisión para el Mercado Financiero, coordinarán las materias necesarias para la acreditación de conocimientos en materia de asesoría para pensionarse, de modo que dichas exigencias sean homogéneas para Asesores Previsionales y agentes de ventas de rentas vitalicias.”.</w:t>
            </w:r>
          </w:p>
          <w:p w:rsidR="00272CF9" w:rsidRPr="00272CF9" w:rsidRDefault="00272CF9" w:rsidP="00272CF9">
            <w:pPr>
              <w:contextualSpacing/>
              <w:rPr>
                <w:rFonts w:cs="Arial"/>
                <w:szCs w:val="22"/>
              </w:rPr>
            </w:pPr>
          </w:p>
          <w:p w:rsidR="0045036E" w:rsidRPr="001C20E4" w:rsidRDefault="0045036E">
            <w:pPr>
              <w:contextualSpacing/>
              <w:rPr>
                <w:rFonts w:cs="Arial"/>
                <w:szCs w:val="22"/>
              </w:rPr>
            </w:pPr>
          </w:p>
        </w:tc>
        <w:tc>
          <w:tcPr>
            <w:tcW w:w="1674" w:type="pct"/>
          </w:tcPr>
          <w:p w:rsidR="00A750CE" w:rsidRDefault="00A750CE" w:rsidP="00A750CE">
            <w:pPr>
              <w:jc w:val="center"/>
              <w:rPr>
                <w:rFonts w:cs="Arial"/>
                <w:b/>
                <w:szCs w:val="22"/>
                <w:u w:val="single"/>
                <w:lang w:val="es-ES_tradnl"/>
              </w:rPr>
            </w:pPr>
            <w:r w:rsidRPr="00A750CE">
              <w:rPr>
                <w:rFonts w:cs="Arial"/>
                <w:b/>
                <w:szCs w:val="22"/>
                <w:u w:val="single"/>
                <w:lang w:val="es-ES_tradnl"/>
              </w:rPr>
              <w:t>Numeral 7</w:t>
            </w:r>
          </w:p>
          <w:p w:rsidR="00A750CE" w:rsidRPr="00A750CE" w:rsidRDefault="00A750CE" w:rsidP="00A750CE">
            <w:pPr>
              <w:jc w:val="center"/>
              <w:rPr>
                <w:rFonts w:cs="Arial"/>
                <w:b/>
                <w:szCs w:val="22"/>
                <w:u w:val="single"/>
                <w:lang w:val="es-ES_tradnl"/>
              </w:rPr>
            </w:pPr>
          </w:p>
          <w:p w:rsidR="00A750CE" w:rsidRPr="00A750CE" w:rsidRDefault="00A750CE" w:rsidP="00A750CE">
            <w:pPr>
              <w:rPr>
                <w:rFonts w:cs="Arial"/>
                <w:szCs w:val="22"/>
                <w:lang w:val="es-ES_tradnl"/>
              </w:rPr>
            </w:pPr>
            <w:r w:rsidRPr="00A750CE">
              <w:rPr>
                <w:rFonts w:cs="Arial"/>
                <w:szCs w:val="22"/>
                <w:lang w:val="es-ES_tradnl"/>
              </w:rPr>
              <w:t>Ha pasado a ser 6, reemplazándolo por el siguiente:</w:t>
            </w:r>
          </w:p>
          <w:p w:rsidR="00A750CE" w:rsidRDefault="00A750CE" w:rsidP="00A750CE">
            <w:pPr>
              <w:rPr>
                <w:rFonts w:cs="Arial"/>
                <w:szCs w:val="22"/>
                <w:lang w:val="es-ES_tradnl"/>
              </w:rPr>
            </w:pPr>
          </w:p>
          <w:p w:rsidR="00A750CE" w:rsidRPr="00A750CE" w:rsidRDefault="00A750CE" w:rsidP="00A750CE">
            <w:pPr>
              <w:rPr>
                <w:rFonts w:cs="Arial"/>
                <w:szCs w:val="22"/>
                <w:lang w:val="es-ES_tradnl"/>
              </w:rPr>
            </w:pPr>
            <w:r w:rsidRPr="00A750CE">
              <w:rPr>
                <w:rFonts w:cs="Arial"/>
                <w:szCs w:val="22"/>
                <w:lang w:val="es-ES_tradnl"/>
              </w:rPr>
              <w:t>“6) Modifícase el artículo 174 de la siguiente forma:</w:t>
            </w:r>
          </w:p>
          <w:p w:rsidR="00A750CE" w:rsidRDefault="00A750CE" w:rsidP="00A750CE">
            <w:pPr>
              <w:rPr>
                <w:rFonts w:cs="Arial"/>
                <w:szCs w:val="22"/>
                <w:lang w:val="es-ES_tradnl"/>
              </w:rPr>
            </w:pPr>
          </w:p>
          <w:p w:rsidR="006465B3" w:rsidRDefault="006465B3" w:rsidP="00A750CE">
            <w:pPr>
              <w:rPr>
                <w:rFonts w:cs="Arial"/>
                <w:szCs w:val="22"/>
                <w:lang w:val="es-ES_tradnl"/>
              </w:rPr>
            </w:pPr>
          </w:p>
          <w:p w:rsidR="006465B3" w:rsidRDefault="006465B3" w:rsidP="00A750CE">
            <w:pPr>
              <w:rPr>
                <w:rFonts w:cs="Arial"/>
                <w:szCs w:val="22"/>
                <w:lang w:val="es-ES_tradnl"/>
              </w:rPr>
            </w:pPr>
          </w:p>
          <w:p w:rsidR="006465B3" w:rsidRPr="00A750CE" w:rsidRDefault="006465B3" w:rsidP="00A750CE">
            <w:pPr>
              <w:rPr>
                <w:rFonts w:cs="Arial"/>
                <w:szCs w:val="22"/>
                <w:lang w:val="es-ES_tradnl"/>
              </w:rPr>
            </w:pPr>
          </w:p>
          <w:p w:rsidR="00A750CE" w:rsidRPr="00A750CE" w:rsidRDefault="00A750CE" w:rsidP="00A750CE">
            <w:pPr>
              <w:rPr>
                <w:rFonts w:cs="Arial"/>
                <w:szCs w:val="22"/>
                <w:lang w:val="es-ES_tradnl"/>
              </w:rPr>
            </w:pPr>
            <w:r w:rsidRPr="00A750CE">
              <w:rPr>
                <w:rFonts w:cs="Arial"/>
                <w:szCs w:val="22"/>
                <w:lang w:val="es-ES_tradnl"/>
              </w:rPr>
              <w:t>a) Reemplázase la letra a) de su inciso primero, por la siguiente:</w:t>
            </w:r>
          </w:p>
          <w:p w:rsidR="00A750CE" w:rsidRPr="00A750CE" w:rsidRDefault="00A750CE" w:rsidP="00A750CE">
            <w:pPr>
              <w:rPr>
                <w:rFonts w:cs="Arial"/>
                <w:szCs w:val="22"/>
                <w:lang w:val="es-ES_tradnl"/>
              </w:rPr>
            </w:pPr>
          </w:p>
          <w:p w:rsidR="00A750CE" w:rsidRPr="00A750CE" w:rsidRDefault="00A750CE" w:rsidP="00A750CE">
            <w:pPr>
              <w:rPr>
                <w:rFonts w:cs="Arial"/>
                <w:szCs w:val="22"/>
                <w:lang w:val="es-ES_tradnl"/>
              </w:rPr>
            </w:pPr>
            <w:r w:rsidRPr="00A750CE">
              <w:rPr>
                <w:rFonts w:cs="Arial"/>
                <w:szCs w:val="22"/>
                <w:lang w:val="es-ES_tradnl"/>
              </w:rPr>
              <w:t>“a) Ser mayor de edad, chileno o extranjero, ambos con residencia en Chile y tener cédula de identidad al día;”.</w:t>
            </w:r>
          </w:p>
          <w:p w:rsidR="00A750CE" w:rsidRDefault="00A750CE" w:rsidP="00A750CE">
            <w:pPr>
              <w:rPr>
                <w:rFonts w:cs="Arial"/>
                <w:szCs w:val="22"/>
                <w:lang w:val="es-ES_tradnl"/>
              </w:rPr>
            </w:pPr>
          </w:p>
          <w:p w:rsidR="00543BC8" w:rsidRDefault="00543BC8" w:rsidP="00A750CE">
            <w:pPr>
              <w:rPr>
                <w:rFonts w:cs="Arial"/>
                <w:szCs w:val="22"/>
                <w:lang w:val="es-ES_tradnl"/>
              </w:rPr>
            </w:pPr>
          </w:p>
          <w:p w:rsidR="00543BC8" w:rsidRDefault="00543BC8" w:rsidP="00A750CE">
            <w:pPr>
              <w:rPr>
                <w:rFonts w:cs="Arial"/>
                <w:szCs w:val="22"/>
                <w:lang w:val="es-ES_tradnl"/>
              </w:rPr>
            </w:pPr>
          </w:p>
          <w:p w:rsidR="00543BC8" w:rsidRDefault="00543BC8" w:rsidP="00A750CE">
            <w:pPr>
              <w:rPr>
                <w:rFonts w:cs="Arial"/>
                <w:szCs w:val="22"/>
                <w:lang w:val="es-ES_tradnl"/>
              </w:rPr>
            </w:pPr>
          </w:p>
          <w:p w:rsidR="00543BC8" w:rsidRDefault="00543BC8" w:rsidP="00A750CE">
            <w:pPr>
              <w:rPr>
                <w:rFonts w:cs="Arial"/>
                <w:szCs w:val="22"/>
                <w:lang w:val="es-ES_tradnl"/>
              </w:rPr>
            </w:pPr>
          </w:p>
          <w:p w:rsidR="00543BC8" w:rsidRDefault="00543BC8" w:rsidP="00A750CE">
            <w:pPr>
              <w:rPr>
                <w:rFonts w:cs="Arial"/>
                <w:szCs w:val="22"/>
                <w:lang w:val="es-ES_tradnl"/>
              </w:rPr>
            </w:pPr>
          </w:p>
          <w:p w:rsidR="00543BC8" w:rsidRDefault="00543BC8" w:rsidP="00A750CE">
            <w:pPr>
              <w:rPr>
                <w:rFonts w:cs="Arial"/>
                <w:szCs w:val="22"/>
                <w:lang w:val="es-ES_tradnl"/>
              </w:rPr>
            </w:pPr>
          </w:p>
          <w:p w:rsidR="006465B3" w:rsidRDefault="006465B3" w:rsidP="00A750CE">
            <w:pPr>
              <w:rPr>
                <w:rFonts w:cs="Arial"/>
                <w:szCs w:val="22"/>
                <w:lang w:val="es-ES_tradnl"/>
              </w:rPr>
            </w:pPr>
          </w:p>
          <w:p w:rsidR="006465B3" w:rsidRDefault="006465B3" w:rsidP="00A750CE">
            <w:pPr>
              <w:rPr>
                <w:rFonts w:cs="Arial"/>
                <w:szCs w:val="22"/>
                <w:lang w:val="es-ES_tradnl"/>
              </w:rPr>
            </w:pPr>
          </w:p>
          <w:p w:rsidR="006465B3" w:rsidRDefault="006465B3" w:rsidP="00A750CE">
            <w:pPr>
              <w:rPr>
                <w:rFonts w:cs="Arial"/>
                <w:szCs w:val="22"/>
                <w:lang w:val="es-ES_tradnl"/>
              </w:rPr>
            </w:pPr>
          </w:p>
          <w:p w:rsidR="006465B3" w:rsidRDefault="006465B3" w:rsidP="00A750CE">
            <w:pPr>
              <w:rPr>
                <w:rFonts w:cs="Arial"/>
                <w:szCs w:val="22"/>
                <w:lang w:val="es-ES_tradnl"/>
              </w:rPr>
            </w:pPr>
          </w:p>
          <w:p w:rsidR="00543BC8" w:rsidRDefault="00543BC8" w:rsidP="00A750CE">
            <w:pPr>
              <w:rPr>
                <w:rFonts w:cs="Arial"/>
                <w:szCs w:val="22"/>
                <w:lang w:val="es-ES_tradnl"/>
              </w:rPr>
            </w:pPr>
          </w:p>
          <w:p w:rsidR="00543BC8" w:rsidRDefault="00543BC8" w:rsidP="00A750CE">
            <w:pPr>
              <w:rPr>
                <w:rFonts w:cs="Arial"/>
                <w:szCs w:val="22"/>
                <w:lang w:val="es-ES_tradnl"/>
              </w:rPr>
            </w:pPr>
          </w:p>
          <w:p w:rsidR="00A750CE" w:rsidRPr="00A750CE" w:rsidRDefault="00A750CE" w:rsidP="00A750CE">
            <w:pPr>
              <w:rPr>
                <w:rFonts w:cs="Arial"/>
                <w:szCs w:val="22"/>
                <w:lang w:val="es-ES_tradnl"/>
              </w:rPr>
            </w:pPr>
            <w:r w:rsidRPr="00A750CE">
              <w:rPr>
                <w:rFonts w:cs="Arial"/>
                <w:szCs w:val="22"/>
                <w:lang w:val="es-ES_tradnl"/>
              </w:rPr>
              <w:t>b) Reemplázase el inciso segundo por el siguiente:</w:t>
            </w:r>
          </w:p>
          <w:p w:rsidR="00A750CE" w:rsidRDefault="00A750CE" w:rsidP="00A750CE">
            <w:pPr>
              <w:rPr>
                <w:rFonts w:cs="Arial"/>
                <w:szCs w:val="22"/>
                <w:lang w:val="es-ES_tradnl"/>
              </w:rPr>
            </w:pPr>
          </w:p>
          <w:p w:rsidR="00543BC8" w:rsidRPr="00A750CE" w:rsidRDefault="00543BC8" w:rsidP="00A750CE">
            <w:pPr>
              <w:rPr>
                <w:rFonts w:cs="Arial"/>
                <w:szCs w:val="22"/>
                <w:lang w:val="es-ES_tradnl"/>
              </w:rPr>
            </w:pPr>
          </w:p>
          <w:p w:rsidR="00A750CE" w:rsidRPr="00A750CE" w:rsidRDefault="00A750CE" w:rsidP="00A750CE">
            <w:pPr>
              <w:rPr>
                <w:rFonts w:cs="Arial"/>
                <w:szCs w:val="22"/>
                <w:lang w:val="es-ES_tradnl"/>
              </w:rPr>
            </w:pPr>
            <w:r w:rsidRPr="00A750CE">
              <w:rPr>
                <w:rFonts w:cs="Arial"/>
                <w:szCs w:val="22"/>
                <w:lang w:val="es-ES_tradnl"/>
              </w:rPr>
              <w:t>“El cumplimiento de los requisitos a que se refiere el inciso anterior será acreditado en la forma y periodicidad que establezca la Superintendencia de Pensiones, mediante norma de carácter general. La Superintendencia podrá diferenciar la acreditación a que se refiere la letra d), en función del tipo de actividad de asesoría previsional que desempeñe el Asesor Previsional o Entidad de Asesoría Previsional. Con todo, la Superintendencia, en conjunto con la Comisión para el Mercado Financiero, determinarán las materias necesarias para la acreditación de conocimientos en materia de asesoría para pensionarse, de modo que dichas exigencias sean homogéneas para Asesores Previsionales y agentes de ventas de rentas vitalicias.”.</w:t>
            </w:r>
          </w:p>
          <w:p w:rsidR="00A750CE" w:rsidRDefault="00A750CE"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A750CE" w:rsidRPr="00A750CE" w:rsidRDefault="00A750CE" w:rsidP="00A750CE">
            <w:pPr>
              <w:rPr>
                <w:rFonts w:cs="Arial"/>
                <w:szCs w:val="22"/>
                <w:lang w:val="es-ES_tradnl"/>
              </w:rPr>
            </w:pPr>
            <w:r w:rsidRPr="00A750CE">
              <w:rPr>
                <w:rFonts w:cs="Arial"/>
                <w:szCs w:val="22"/>
                <w:lang w:val="es-ES_tradnl"/>
              </w:rPr>
              <w:t>c) Intercálase en el actual inciso final, a continuación de la expresión “directores,”, las dos veces que aparece en el texto, la frase “socios, accionistas, ejecutivos principales,”.</w:t>
            </w:r>
          </w:p>
          <w:p w:rsidR="00A750CE" w:rsidRDefault="00A750CE"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Default="005D763F" w:rsidP="00A750CE">
            <w:pPr>
              <w:rPr>
                <w:rFonts w:cs="Arial"/>
                <w:szCs w:val="22"/>
                <w:lang w:val="es-ES_tradnl"/>
              </w:rPr>
            </w:pPr>
          </w:p>
          <w:p w:rsidR="005D763F" w:rsidRPr="00A750CE" w:rsidRDefault="005D763F" w:rsidP="00A750CE">
            <w:pPr>
              <w:rPr>
                <w:rFonts w:cs="Arial"/>
                <w:szCs w:val="22"/>
                <w:lang w:val="es-ES_tradnl"/>
              </w:rPr>
            </w:pPr>
          </w:p>
          <w:p w:rsidR="00A750CE" w:rsidRPr="00A750CE" w:rsidRDefault="00A750CE" w:rsidP="00A750CE">
            <w:pPr>
              <w:rPr>
                <w:rFonts w:cs="Arial"/>
                <w:szCs w:val="22"/>
                <w:lang w:val="es-ES_tradnl"/>
              </w:rPr>
            </w:pPr>
            <w:r w:rsidRPr="00A750CE">
              <w:rPr>
                <w:rFonts w:cs="Arial"/>
                <w:szCs w:val="22"/>
                <w:lang w:val="es-ES_tradnl"/>
              </w:rPr>
              <w:t>d) Agréganse los siguientes incisos quinto, sexto, séptimo y final, nuevos:</w:t>
            </w:r>
          </w:p>
          <w:p w:rsidR="00A750CE" w:rsidRPr="00A750CE" w:rsidRDefault="00A750CE" w:rsidP="00A750CE">
            <w:pPr>
              <w:rPr>
                <w:rFonts w:cs="Arial"/>
                <w:szCs w:val="22"/>
                <w:lang w:val="es-ES_tradnl"/>
              </w:rPr>
            </w:pPr>
          </w:p>
          <w:p w:rsidR="00A750CE" w:rsidRDefault="00A750CE" w:rsidP="00A750CE">
            <w:pPr>
              <w:rPr>
                <w:rFonts w:cs="Arial"/>
                <w:szCs w:val="22"/>
                <w:lang w:val="es-ES_tradnl"/>
              </w:rPr>
            </w:pPr>
            <w:r w:rsidRPr="00A750CE">
              <w:rPr>
                <w:rFonts w:cs="Arial"/>
                <w:szCs w:val="22"/>
                <w:lang w:val="es-ES_tradnl"/>
              </w:rPr>
              <w:t>“No podrán ser Asesores Previsionales que efectúen recomendaciones no personalizadas, ni socios, accionistas, directores, gerentes, ejecutivos principales, apoderados o dependientes de Entidades de Asesoría Previsional de este tipo, quienes sean socios, accionistas, directores, gerentes, ejecutivos principales, apoderados o dependientes de agencias de valores, corredoras de bolsa, todo tipo de administradoras de la ley N° 20.712, o entidades que conformen el grupo empresarial de estas.</w:t>
            </w:r>
          </w:p>
          <w:p w:rsidR="005D763F" w:rsidRPr="00A750CE" w:rsidRDefault="005D763F" w:rsidP="00A750CE">
            <w:pPr>
              <w:rPr>
                <w:rFonts w:cs="Arial"/>
                <w:szCs w:val="22"/>
                <w:lang w:val="es-ES_tradnl"/>
              </w:rPr>
            </w:pPr>
          </w:p>
          <w:p w:rsidR="00A750CE" w:rsidRDefault="00A750CE" w:rsidP="00A750CE">
            <w:pPr>
              <w:rPr>
                <w:rFonts w:cs="Arial"/>
                <w:szCs w:val="22"/>
                <w:lang w:val="es-ES_tradnl"/>
              </w:rPr>
            </w:pPr>
            <w:r w:rsidRPr="00A750CE">
              <w:rPr>
                <w:rFonts w:cs="Arial"/>
                <w:szCs w:val="22"/>
                <w:lang w:val="es-ES_tradnl"/>
              </w:rPr>
              <w:t xml:space="preserve">Los socios, accionistas, directores, gerentes, ejecutivos principales, apoderados o dependientes de Entidades de Asesoría Previsional que efectúen recomendaciones no personalizadas y sus parientes por consanguinidad o afinidad, ambos en primer grado, no podrán ejercer la función de administración de cartera en los términos definidos en el inciso segundo del artículo 153. Igualmente, les estará prohibido valerse, directa o indirectamente, en beneficio propio o de terceros relacionados, de las variaciones en los precios de mercado que se deriven de las recomendaciones que hayan efectuado a sus clientes. </w:t>
            </w:r>
          </w:p>
          <w:p w:rsidR="005D763F" w:rsidRPr="00A750CE" w:rsidRDefault="005D763F" w:rsidP="00A750CE">
            <w:pPr>
              <w:rPr>
                <w:rFonts w:cs="Arial"/>
                <w:szCs w:val="22"/>
                <w:lang w:val="es-ES_tradnl"/>
              </w:rPr>
            </w:pPr>
          </w:p>
          <w:p w:rsidR="00A750CE" w:rsidRDefault="00A750CE" w:rsidP="00A750CE">
            <w:pPr>
              <w:rPr>
                <w:rFonts w:cs="Arial"/>
                <w:szCs w:val="22"/>
                <w:lang w:val="es-ES_tradnl"/>
              </w:rPr>
            </w:pPr>
            <w:r w:rsidRPr="00A750CE">
              <w:rPr>
                <w:rFonts w:cs="Arial"/>
                <w:szCs w:val="22"/>
                <w:lang w:val="es-ES_tradnl"/>
              </w:rPr>
              <w:t xml:space="preserve">Con el objeto de velar por el cumplimiento de las disposiciones de este artículo, la Superintendencia, mediante norma de carácter general, determinará la información que deberán mantener las Entidades de Asesoría Previsional y los Asesores Previsionales, el archivo de registros que llevarán y aquella información que deberán remitir a la Superintendencia. </w:t>
            </w:r>
          </w:p>
          <w:p w:rsidR="005D763F" w:rsidRPr="00A750CE" w:rsidRDefault="005D763F" w:rsidP="00A750CE">
            <w:pPr>
              <w:rPr>
                <w:rFonts w:cs="Arial"/>
                <w:szCs w:val="22"/>
                <w:lang w:val="es-ES_tradnl"/>
              </w:rPr>
            </w:pPr>
          </w:p>
          <w:p w:rsidR="0045036E" w:rsidRDefault="00A750CE" w:rsidP="00DA48AC">
            <w:pPr>
              <w:rPr>
                <w:rFonts w:cs="Arial"/>
                <w:szCs w:val="22"/>
              </w:rPr>
            </w:pPr>
            <w:r w:rsidRPr="00A750CE">
              <w:rPr>
                <w:rFonts w:cs="Arial"/>
                <w:szCs w:val="22"/>
                <w:lang w:val="es-ES_tradnl"/>
              </w:rPr>
              <w:t>El que contravenga lo dispuesto en los incisos anteriores será sancionado de conformidad con lo establecido en la presente ley y en el decreto con fuerza de ley N°101, de 1980, del Ministerio de Trabajo y Previsión Social.”.”.</w:t>
            </w:r>
          </w:p>
          <w:p w:rsidR="006D35E0" w:rsidRPr="001C20E4" w:rsidRDefault="006D35E0" w:rsidP="00DA48AC">
            <w:pPr>
              <w:rPr>
                <w:rFonts w:cs="Arial"/>
                <w:szCs w:val="22"/>
              </w:rPr>
            </w:pPr>
          </w:p>
        </w:tc>
      </w:tr>
      <w:tr w:rsidR="00096CE0" w:rsidRPr="001C20E4" w:rsidTr="00096CE0">
        <w:trPr>
          <w:trHeight w:val="315"/>
          <w:jc w:val="center"/>
        </w:trPr>
        <w:tc>
          <w:tcPr>
            <w:tcW w:w="1661" w:type="pct"/>
          </w:tcPr>
          <w:p w:rsidR="0045036E" w:rsidRDefault="0045036E" w:rsidP="00956843">
            <w:pPr>
              <w:widowControl w:val="0"/>
              <w:tabs>
                <w:tab w:val="clear" w:pos="2835"/>
              </w:tabs>
              <w:autoSpaceDE w:val="0"/>
              <w:autoSpaceDN w:val="0"/>
              <w:adjustRightInd w:val="0"/>
              <w:rPr>
                <w:rFonts w:eastAsiaTheme="minorEastAsia" w:cs="Arial"/>
                <w:szCs w:val="22"/>
                <w:lang w:val="es-ES_tradnl" w:eastAsia="es-CL"/>
              </w:rPr>
            </w:pPr>
          </w:p>
          <w:p w:rsidR="002C3E8E" w:rsidRDefault="002C3E8E" w:rsidP="00956843">
            <w:pPr>
              <w:widowControl w:val="0"/>
              <w:tabs>
                <w:tab w:val="clear" w:pos="2835"/>
              </w:tabs>
              <w:autoSpaceDE w:val="0"/>
              <w:autoSpaceDN w:val="0"/>
              <w:adjustRightInd w:val="0"/>
              <w:rPr>
                <w:rFonts w:eastAsiaTheme="minorEastAsia" w:cs="Arial"/>
                <w:szCs w:val="22"/>
                <w:lang w:val="es-ES_tradnl" w:eastAsia="es-CL"/>
              </w:rPr>
            </w:pPr>
          </w:p>
          <w:p w:rsidR="00CE5839" w:rsidRDefault="00CE5839" w:rsidP="00956843">
            <w:pPr>
              <w:widowControl w:val="0"/>
              <w:tabs>
                <w:tab w:val="clear" w:pos="2835"/>
              </w:tabs>
              <w:autoSpaceDE w:val="0"/>
              <w:autoSpaceDN w:val="0"/>
              <w:adjustRightInd w:val="0"/>
              <w:rPr>
                <w:rFonts w:eastAsiaTheme="minorEastAsia" w:cs="Arial"/>
                <w:szCs w:val="22"/>
                <w:lang w:val="es-ES_tradnl" w:eastAsia="es-CL"/>
              </w:rPr>
            </w:pPr>
          </w:p>
          <w:p w:rsidR="00CE5839" w:rsidRPr="001C20E4" w:rsidRDefault="00CE5839" w:rsidP="00956843">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956843">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Artículo 175.- Respecto de las personas o entidades que hayan acreditado el cumplimiento de los requisitos para ejercer la actividad de asesoría previsional referidos en los artículos precedentes, </w:t>
            </w:r>
            <w:r w:rsidRPr="001C20E4">
              <w:rPr>
                <w:rFonts w:eastAsiaTheme="minorEastAsia" w:cs="Arial"/>
                <w:szCs w:val="22"/>
                <w:u w:val="single"/>
                <w:lang w:val="es-ES_tradnl" w:eastAsia="es-CL"/>
              </w:rPr>
              <w:t>las Superintendencias de Pensiones y de Valores y Seguros dictarán una Resolución conjunta</w:t>
            </w:r>
            <w:r w:rsidRPr="001C20E4">
              <w:rPr>
                <w:rFonts w:eastAsiaTheme="minorEastAsia" w:cs="Arial"/>
                <w:szCs w:val="22"/>
                <w:lang w:val="es-ES_tradnl" w:eastAsia="es-CL"/>
              </w:rPr>
              <w:t xml:space="preserve"> que ordene su inscripción en el registro respectivo, conceda la autorización para funcionar y fije un plazo para iniciar sus actividades.</w:t>
            </w:r>
          </w:p>
          <w:p w:rsidR="0045036E" w:rsidRDefault="0045036E" w:rsidP="00956843">
            <w:pPr>
              <w:widowControl w:val="0"/>
              <w:tabs>
                <w:tab w:val="clear" w:pos="2835"/>
              </w:tabs>
              <w:autoSpaceDE w:val="0"/>
              <w:autoSpaceDN w:val="0"/>
              <w:adjustRightInd w:val="0"/>
              <w:rPr>
                <w:rFonts w:eastAsiaTheme="minorEastAsia" w:cs="Arial"/>
                <w:szCs w:val="22"/>
                <w:lang w:val="es-ES_tradnl" w:eastAsia="es-CL"/>
              </w:rPr>
            </w:pPr>
          </w:p>
          <w:p w:rsidR="004E7A3D" w:rsidRPr="001C20E4" w:rsidRDefault="004E7A3D" w:rsidP="00956843">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956843">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Será responsabilidad de las Entidades de Asesoría Previsional llevar un registro de los dependientes que desempeñen la función de asesoría, debiendo instruirlos y capacitarlos para el desarrollo de dichas funciones. Asimismo, estarán obligadas a otorgar todas las facilidades que se requieran para efectuar el control que respecto de estas materias </w:t>
            </w:r>
            <w:r w:rsidRPr="001C20E4">
              <w:rPr>
                <w:rFonts w:eastAsiaTheme="minorEastAsia" w:cs="Arial"/>
                <w:szCs w:val="22"/>
                <w:u w:val="single"/>
                <w:lang w:val="es-ES_tradnl" w:eastAsia="es-CL"/>
              </w:rPr>
              <w:t>determinen las Superintendencias antes mencionadas</w:t>
            </w:r>
            <w:r w:rsidRPr="001C20E4">
              <w:rPr>
                <w:rFonts w:eastAsiaTheme="minorEastAsia" w:cs="Arial"/>
                <w:szCs w:val="22"/>
                <w:lang w:val="es-ES_tradnl" w:eastAsia="es-CL"/>
              </w:rPr>
              <w:t>.</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CE5839" w:rsidRDefault="00CE5839" w:rsidP="002C3E8E">
            <w:pPr>
              <w:contextualSpacing/>
              <w:rPr>
                <w:rFonts w:cs="Arial"/>
                <w:b/>
                <w:szCs w:val="22"/>
              </w:rPr>
            </w:pPr>
          </w:p>
          <w:p w:rsidR="00CE5839" w:rsidRDefault="00CE5839" w:rsidP="002C3E8E">
            <w:pPr>
              <w:contextualSpacing/>
              <w:rPr>
                <w:rFonts w:cs="Arial"/>
                <w:b/>
                <w:szCs w:val="22"/>
              </w:rPr>
            </w:pPr>
          </w:p>
          <w:p w:rsidR="002C3E8E" w:rsidRPr="002C3E8E" w:rsidRDefault="002C3E8E" w:rsidP="002C3E8E">
            <w:pPr>
              <w:contextualSpacing/>
              <w:rPr>
                <w:rFonts w:cs="Arial"/>
                <w:szCs w:val="22"/>
              </w:rPr>
            </w:pPr>
            <w:r w:rsidRPr="006D35E0">
              <w:rPr>
                <w:rFonts w:cs="Arial"/>
                <w:b/>
                <w:szCs w:val="22"/>
              </w:rPr>
              <w:t>8)</w:t>
            </w:r>
            <w:r w:rsidRPr="002C3E8E">
              <w:rPr>
                <w:rFonts w:cs="Arial"/>
                <w:szCs w:val="22"/>
              </w:rPr>
              <w:t xml:space="preserve"> Modifícase el artículo 175, del modo que sigue:</w:t>
            </w:r>
          </w:p>
          <w:p w:rsidR="002C3E8E" w:rsidRDefault="002C3E8E" w:rsidP="002C3E8E">
            <w:pPr>
              <w:contextualSpacing/>
              <w:rPr>
                <w:rFonts w:cs="Arial"/>
                <w:szCs w:val="22"/>
              </w:rPr>
            </w:pPr>
          </w:p>
          <w:p w:rsidR="002C3E8E" w:rsidRDefault="002C3E8E" w:rsidP="002C3E8E">
            <w:pPr>
              <w:contextualSpacing/>
              <w:rPr>
                <w:rFonts w:cs="Arial"/>
                <w:szCs w:val="22"/>
              </w:rPr>
            </w:pPr>
          </w:p>
          <w:p w:rsidR="002C3E8E" w:rsidRDefault="002C3E8E" w:rsidP="002C3E8E">
            <w:pPr>
              <w:contextualSpacing/>
              <w:rPr>
                <w:rFonts w:cs="Arial"/>
                <w:szCs w:val="22"/>
              </w:rPr>
            </w:pPr>
          </w:p>
          <w:p w:rsidR="002C3E8E" w:rsidRPr="002C3E8E" w:rsidRDefault="002C3E8E" w:rsidP="002C3E8E">
            <w:pPr>
              <w:contextualSpacing/>
              <w:rPr>
                <w:rFonts w:cs="Arial"/>
                <w:szCs w:val="22"/>
              </w:rPr>
            </w:pPr>
          </w:p>
          <w:p w:rsidR="002C3E8E" w:rsidRPr="002C3E8E" w:rsidRDefault="002C3E8E" w:rsidP="002C3E8E">
            <w:pPr>
              <w:contextualSpacing/>
              <w:rPr>
                <w:rFonts w:cs="Arial"/>
                <w:szCs w:val="22"/>
              </w:rPr>
            </w:pPr>
            <w:r w:rsidRPr="002C3E8E">
              <w:rPr>
                <w:rFonts w:cs="Arial"/>
                <w:szCs w:val="22"/>
              </w:rPr>
              <w:t>a) Reemplázase, en su inciso primero, la frase “las Superintendencias de Pensiones y de Valores y Seguros dictarán una Resolución conjunta”, por la siguiente: “la Superintendencia de Pensiones dictará una resolución”.</w:t>
            </w:r>
          </w:p>
          <w:p w:rsidR="002C3E8E" w:rsidRPr="002C3E8E" w:rsidRDefault="002C3E8E" w:rsidP="002C3E8E">
            <w:pPr>
              <w:contextualSpacing/>
              <w:rPr>
                <w:rFonts w:cs="Arial"/>
                <w:szCs w:val="22"/>
              </w:rPr>
            </w:pPr>
          </w:p>
          <w:p w:rsidR="002C3E8E" w:rsidRDefault="002C3E8E" w:rsidP="002C3E8E">
            <w:pPr>
              <w:contextualSpacing/>
              <w:rPr>
                <w:rFonts w:cs="Arial"/>
                <w:szCs w:val="22"/>
              </w:rPr>
            </w:pPr>
          </w:p>
          <w:p w:rsidR="002C3E8E" w:rsidRDefault="002C3E8E" w:rsidP="002C3E8E">
            <w:pPr>
              <w:contextualSpacing/>
              <w:rPr>
                <w:rFonts w:cs="Arial"/>
                <w:szCs w:val="22"/>
              </w:rPr>
            </w:pPr>
          </w:p>
          <w:p w:rsidR="002C3E8E" w:rsidRDefault="002C3E8E" w:rsidP="002C3E8E">
            <w:pPr>
              <w:contextualSpacing/>
              <w:rPr>
                <w:rFonts w:cs="Arial"/>
                <w:szCs w:val="22"/>
              </w:rPr>
            </w:pPr>
          </w:p>
          <w:p w:rsidR="002C3E8E" w:rsidRDefault="002C3E8E" w:rsidP="002C3E8E">
            <w:pPr>
              <w:contextualSpacing/>
              <w:rPr>
                <w:rFonts w:cs="Arial"/>
                <w:szCs w:val="22"/>
              </w:rPr>
            </w:pPr>
          </w:p>
          <w:p w:rsidR="002C3E8E" w:rsidRDefault="002C3E8E" w:rsidP="002C3E8E">
            <w:pPr>
              <w:contextualSpacing/>
              <w:rPr>
                <w:rFonts w:cs="Arial"/>
                <w:szCs w:val="22"/>
              </w:rPr>
            </w:pPr>
          </w:p>
          <w:p w:rsidR="002C3E8E" w:rsidRDefault="002C3E8E" w:rsidP="002C3E8E">
            <w:pPr>
              <w:contextualSpacing/>
              <w:rPr>
                <w:rFonts w:cs="Arial"/>
                <w:szCs w:val="22"/>
              </w:rPr>
            </w:pPr>
            <w:r w:rsidRPr="002C3E8E">
              <w:rPr>
                <w:rFonts w:cs="Arial"/>
                <w:szCs w:val="22"/>
              </w:rPr>
              <w:tab/>
            </w:r>
          </w:p>
          <w:p w:rsidR="002C3E8E" w:rsidRPr="002C3E8E" w:rsidRDefault="002C3E8E" w:rsidP="002C3E8E">
            <w:pPr>
              <w:contextualSpacing/>
              <w:rPr>
                <w:rFonts w:cs="Arial"/>
                <w:szCs w:val="22"/>
              </w:rPr>
            </w:pPr>
            <w:r w:rsidRPr="002C3E8E">
              <w:rPr>
                <w:rFonts w:cs="Arial"/>
                <w:szCs w:val="22"/>
              </w:rPr>
              <w:t>b) Sustitúyese, en su inciso segundo, la frase “determinen las Superintendencias antes mencionadas”, por la que sigue: “determine la Superintendencia de Pensiones”.</w:t>
            </w:r>
          </w:p>
          <w:p w:rsidR="0045036E" w:rsidRPr="001C20E4" w:rsidRDefault="0045036E">
            <w:pPr>
              <w:contextualSpacing/>
              <w:rPr>
                <w:rFonts w:cs="Arial"/>
                <w:szCs w:val="22"/>
              </w:rPr>
            </w:pPr>
          </w:p>
        </w:tc>
        <w:tc>
          <w:tcPr>
            <w:tcW w:w="1674" w:type="pct"/>
          </w:tcPr>
          <w:p w:rsidR="006D35E0" w:rsidRDefault="006D35E0" w:rsidP="006D35E0">
            <w:pPr>
              <w:tabs>
                <w:tab w:val="clear" w:pos="2835"/>
              </w:tabs>
              <w:jc w:val="center"/>
              <w:rPr>
                <w:rFonts w:cs="Arial"/>
                <w:b/>
                <w:szCs w:val="22"/>
                <w:u w:val="single"/>
                <w:lang w:val="es-ES_tradnl"/>
              </w:rPr>
            </w:pPr>
            <w:r w:rsidRPr="006D35E0">
              <w:rPr>
                <w:rFonts w:cs="Arial"/>
                <w:b/>
                <w:szCs w:val="22"/>
                <w:u w:val="single"/>
                <w:lang w:val="es-ES_tradnl"/>
              </w:rPr>
              <w:t>Numerales 8 y 9</w:t>
            </w:r>
          </w:p>
          <w:p w:rsidR="006D35E0" w:rsidRPr="006D35E0" w:rsidRDefault="006D35E0" w:rsidP="006D35E0">
            <w:pPr>
              <w:tabs>
                <w:tab w:val="clear" w:pos="2835"/>
              </w:tabs>
              <w:rPr>
                <w:rFonts w:cs="Arial"/>
                <w:b/>
                <w:szCs w:val="22"/>
                <w:u w:val="single"/>
                <w:lang w:val="es-ES_tradnl"/>
              </w:rPr>
            </w:pPr>
          </w:p>
          <w:p w:rsidR="006D35E0" w:rsidRPr="006D35E0" w:rsidRDefault="006D35E0" w:rsidP="006D35E0">
            <w:pPr>
              <w:tabs>
                <w:tab w:val="clear" w:pos="2835"/>
              </w:tabs>
              <w:rPr>
                <w:rFonts w:cs="Arial"/>
                <w:szCs w:val="22"/>
                <w:lang w:val="es-ES_tradnl"/>
              </w:rPr>
            </w:pPr>
            <w:r w:rsidRPr="006D35E0">
              <w:rPr>
                <w:rFonts w:cs="Arial"/>
                <w:szCs w:val="22"/>
                <w:lang w:val="es-ES_tradnl"/>
              </w:rPr>
              <w:t>Han pasado a ser numerales 7 y 8, respectivamente, sin enmiendas.</w:t>
            </w:r>
          </w:p>
          <w:p w:rsidR="006D35E0" w:rsidRPr="006D35E0" w:rsidRDefault="006D35E0" w:rsidP="006D35E0">
            <w:pPr>
              <w:tabs>
                <w:tab w:val="clear" w:pos="2835"/>
              </w:tabs>
              <w:rPr>
                <w:rFonts w:cs="Arial"/>
                <w:szCs w:val="22"/>
                <w:lang w:val="es-ES_tradnl"/>
              </w:rPr>
            </w:pPr>
          </w:p>
          <w:p w:rsidR="0045036E" w:rsidRPr="001C20E4" w:rsidRDefault="0045036E" w:rsidP="00956843">
            <w:pPr>
              <w:tabs>
                <w:tab w:val="clear" w:pos="2835"/>
              </w:tabs>
              <w:rPr>
                <w:rFonts w:cs="Arial"/>
                <w:szCs w:val="22"/>
              </w:rPr>
            </w:pPr>
          </w:p>
        </w:tc>
      </w:tr>
      <w:tr w:rsidR="00096CE0" w:rsidRPr="001C20E4" w:rsidTr="00096CE0">
        <w:trPr>
          <w:trHeight w:val="315"/>
          <w:jc w:val="center"/>
        </w:trPr>
        <w:tc>
          <w:tcPr>
            <w:tcW w:w="1661" w:type="pct"/>
          </w:tcPr>
          <w:p w:rsidR="0045036E" w:rsidRDefault="0045036E" w:rsidP="00CF2316">
            <w:pPr>
              <w:widowControl w:val="0"/>
              <w:tabs>
                <w:tab w:val="clear" w:pos="2835"/>
              </w:tabs>
              <w:autoSpaceDE w:val="0"/>
              <w:autoSpaceDN w:val="0"/>
              <w:adjustRightInd w:val="0"/>
              <w:rPr>
                <w:rFonts w:eastAsiaTheme="minorEastAsia" w:cs="Arial"/>
                <w:szCs w:val="22"/>
                <w:lang w:val="es-ES_tradnl" w:eastAsia="es-CL"/>
              </w:rPr>
            </w:pPr>
          </w:p>
          <w:p w:rsidR="00756EA6" w:rsidRPr="001C20E4" w:rsidRDefault="00756EA6" w:rsidP="00CF2316">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CF231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176.- Las Entidades de Asesoría Previsional y los Asesores Previsionales responderán hasta de la culpa leve en el cumplimiento de las funciones derivadas de las asesorías previsionales que otorguen a los afiliados o sus beneficiarios y estarán obligadas a indemnizar los perjuicios por el daño que ocasionen. Lo anterior, no obsta a las sanciones administrativas que asimismo pudieren corresponderles.</w:t>
            </w:r>
          </w:p>
          <w:p w:rsidR="00756EA6" w:rsidRPr="001C20E4" w:rsidRDefault="00756EA6" w:rsidP="00CF231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p>
          <w:p w:rsidR="0045036E" w:rsidRDefault="0045036E" w:rsidP="00CF231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Por las Entidades de Asesoría Previsional responderán además, sus socios y administradores, civil, administrativa y penalmente, a menos que constare su falta de participación o su oposición al hecho constitutivo de infracción o incumplimiento.</w:t>
            </w:r>
          </w:p>
          <w:p w:rsidR="00756EA6" w:rsidRPr="001C20E4" w:rsidRDefault="00756EA6" w:rsidP="00CF231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Las Entidades de Asesoría Previsional y los Asesores Previsionales estarán sometidos a la supervigilancia, control y fiscalización </w:t>
            </w:r>
            <w:r w:rsidRPr="001C20E4">
              <w:rPr>
                <w:rFonts w:eastAsiaTheme="minorEastAsia" w:cs="Arial"/>
                <w:szCs w:val="22"/>
                <w:u w:val="single"/>
                <w:lang w:val="es-ES_tradnl" w:eastAsia="es-CL"/>
              </w:rPr>
              <w:t>de las Superintendencias de Pensiones y de Valores y Seguros, las que para ello estarán investidas de las facultades establecidas en esta ley, en el decreto con fuerza de ley N° 251, de 1931, del Ministerio de Hacienda, según corresponda, y en sus respectivas leyes orgánicas</w:t>
            </w:r>
            <w:r w:rsidRPr="001C20E4">
              <w:rPr>
                <w:rFonts w:eastAsiaTheme="minorEastAsia" w:cs="Arial"/>
                <w:szCs w:val="22"/>
                <w:lang w:val="es-ES_tradnl" w:eastAsia="es-CL"/>
              </w:rPr>
              <w:t>.</w:t>
            </w: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Asimismo, los dependientes de las Entidades de Asesoría Previsional encargados de la prestación del servicio, quedarán sujetos al control y fiscalización de </w:t>
            </w:r>
            <w:r w:rsidRPr="001C20E4">
              <w:rPr>
                <w:rFonts w:eastAsiaTheme="minorEastAsia" w:cs="Arial"/>
                <w:szCs w:val="22"/>
                <w:u w:val="single"/>
                <w:lang w:val="es-ES_tradnl" w:eastAsia="es-CL"/>
              </w:rPr>
              <w:t>las Superintendencias de Pensiones y de Valores y Seguros, las que tendrán</w:t>
            </w:r>
            <w:r w:rsidRPr="001C20E4">
              <w:rPr>
                <w:rFonts w:eastAsiaTheme="minorEastAsia" w:cs="Arial"/>
                <w:szCs w:val="22"/>
                <w:lang w:val="es-ES_tradnl" w:eastAsia="es-CL"/>
              </w:rPr>
              <w:t xml:space="preserve"> respecto de aquéllos las mismas facultades a que se refiere el inciso anterior.</w:t>
            </w:r>
          </w:p>
          <w:p w:rsidR="0045036E" w:rsidRPr="001C20E4" w:rsidRDefault="0045036E" w:rsidP="00CF231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756EA6" w:rsidRPr="00756EA6" w:rsidRDefault="00756EA6" w:rsidP="00756EA6">
            <w:pPr>
              <w:contextualSpacing/>
              <w:rPr>
                <w:rFonts w:cs="Arial"/>
                <w:szCs w:val="22"/>
              </w:rPr>
            </w:pPr>
            <w:r w:rsidRPr="006D35E0">
              <w:rPr>
                <w:rFonts w:cs="Arial"/>
                <w:b/>
                <w:szCs w:val="22"/>
              </w:rPr>
              <w:t>9)</w:t>
            </w:r>
            <w:r w:rsidRPr="00756EA6">
              <w:rPr>
                <w:rFonts w:cs="Arial"/>
                <w:szCs w:val="22"/>
              </w:rPr>
              <w:t xml:space="preserve"> Modifícase el artículo 176, de la siguiente manera:</w:t>
            </w: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56EA6" w:rsidRDefault="00756EA6" w:rsidP="00756EA6">
            <w:pPr>
              <w:contextualSpacing/>
              <w:rPr>
                <w:rFonts w:cs="Arial"/>
                <w:szCs w:val="22"/>
              </w:rPr>
            </w:pPr>
          </w:p>
          <w:p w:rsidR="0077262A" w:rsidRDefault="0077262A" w:rsidP="00756EA6">
            <w:pPr>
              <w:contextualSpacing/>
              <w:rPr>
                <w:rFonts w:cs="Arial"/>
                <w:szCs w:val="22"/>
              </w:rPr>
            </w:pPr>
          </w:p>
          <w:p w:rsidR="00756EA6" w:rsidRPr="00756EA6" w:rsidRDefault="00756EA6" w:rsidP="00756EA6">
            <w:pPr>
              <w:contextualSpacing/>
              <w:rPr>
                <w:rFonts w:cs="Arial"/>
                <w:szCs w:val="22"/>
              </w:rPr>
            </w:pPr>
          </w:p>
          <w:p w:rsidR="00756EA6" w:rsidRPr="00756EA6" w:rsidRDefault="00756EA6" w:rsidP="00756EA6">
            <w:pPr>
              <w:contextualSpacing/>
              <w:rPr>
                <w:rFonts w:cs="Arial"/>
                <w:szCs w:val="22"/>
              </w:rPr>
            </w:pPr>
            <w:r w:rsidRPr="00756EA6">
              <w:rPr>
                <w:rFonts w:cs="Arial"/>
                <w:szCs w:val="22"/>
              </w:rPr>
              <w:t>a) Reemplázase, en su inciso tercero, la frase “de las Superintendencias de Pensiones y de Valores y Seguros, las que para ello estarán investidas de las facultades establecidas en esta ley, en el decreto con fuerza de ley N° 251, de 1931, del Ministerio de Hacienda, según corresponda, y en sus respectivas leyes orgánicas”, por la siguiente: “de la Superintendencia de Pensiones, que para ello estará investida de las facultades establecidas en esta ley y en su ley orgánica”.</w:t>
            </w:r>
          </w:p>
          <w:p w:rsidR="00756EA6" w:rsidRDefault="00756EA6" w:rsidP="00756EA6">
            <w:pPr>
              <w:contextualSpacing/>
              <w:rPr>
                <w:rFonts w:cs="Arial"/>
                <w:szCs w:val="22"/>
              </w:rPr>
            </w:pPr>
          </w:p>
          <w:p w:rsidR="00AD0646" w:rsidRPr="00756EA6" w:rsidRDefault="00AD0646" w:rsidP="00756EA6">
            <w:pPr>
              <w:contextualSpacing/>
              <w:rPr>
                <w:rFonts w:cs="Arial"/>
                <w:szCs w:val="22"/>
              </w:rPr>
            </w:pPr>
          </w:p>
          <w:p w:rsidR="00756EA6" w:rsidRPr="00756EA6" w:rsidRDefault="00756EA6" w:rsidP="00756EA6">
            <w:pPr>
              <w:contextualSpacing/>
              <w:rPr>
                <w:rFonts w:cs="Arial"/>
                <w:szCs w:val="22"/>
              </w:rPr>
            </w:pPr>
            <w:r w:rsidRPr="00756EA6">
              <w:rPr>
                <w:rFonts w:cs="Arial"/>
                <w:szCs w:val="22"/>
              </w:rPr>
              <w:t>b) Sustitúyese, en su inciso cuarto, la frase “las Superintendencias de Pensiones y de Valores y Seguros, las que tendrán”, por la que sigue: “la Superintendencia de Pensiones, que tendrá”.</w:t>
            </w:r>
          </w:p>
          <w:p w:rsidR="0045036E" w:rsidRDefault="0045036E">
            <w:pPr>
              <w:contextualSpacing/>
              <w:rPr>
                <w:rFonts w:cs="Arial"/>
                <w:szCs w:val="22"/>
              </w:rPr>
            </w:pPr>
          </w:p>
          <w:p w:rsidR="003F2291" w:rsidRDefault="003F2291">
            <w:pPr>
              <w:contextualSpacing/>
              <w:rPr>
                <w:rFonts w:cs="Arial"/>
                <w:szCs w:val="22"/>
              </w:rPr>
            </w:pPr>
          </w:p>
          <w:p w:rsidR="003F2291" w:rsidRDefault="003F2291">
            <w:pPr>
              <w:contextualSpacing/>
              <w:rPr>
                <w:rFonts w:cs="Arial"/>
                <w:szCs w:val="22"/>
              </w:rPr>
            </w:pPr>
          </w:p>
          <w:p w:rsidR="003F2291" w:rsidRDefault="003F2291">
            <w:pPr>
              <w:contextualSpacing/>
              <w:rPr>
                <w:rFonts w:cs="Arial"/>
                <w:szCs w:val="22"/>
              </w:rPr>
            </w:pPr>
          </w:p>
          <w:p w:rsidR="003F2291" w:rsidRPr="001C20E4" w:rsidRDefault="003F2291">
            <w:pPr>
              <w:contextualSpacing/>
              <w:rPr>
                <w:rFonts w:cs="Arial"/>
                <w:szCs w:val="22"/>
              </w:rPr>
            </w:pPr>
          </w:p>
        </w:tc>
        <w:tc>
          <w:tcPr>
            <w:tcW w:w="1674" w:type="pct"/>
          </w:tcPr>
          <w:p w:rsidR="004E7A3D" w:rsidRPr="004E7A3D" w:rsidRDefault="004E7A3D" w:rsidP="004E7A3D">
            <w:pPr>
              <w:tabs>
                <w:tab w:val="clear" w:pos="2835"/>
              </w:tabs>
              <w:jc w:val="center"/>
              <w:rPr>
                <w:rFonts w:cs="Arial"/>
                <w:b/>
                <w:szCs w:val="22"/>
                <w:u w:val="single"/>
                <w:lang w:val="es-ES_tradnl"/>
              </w:rPr>
            </w:pPr>
            <w:r w:rsidRPr="004E7A3D">
              <w:rPr>
                <w:rFonts w:cs="Arial"/>
                <w:b/>
                <w:szCs w:val="22"/>
                <w:u w:val="single"/>
                <w:lang w:val="es-ES_tradnl"/>
              </w:rPr>
              <w:t>Numerales 8 y 9</w:t>
            </w:r>
          </w:p>
          <w:p w:rsidR="004E7A3D" w:rsidRPr="004E7A3D" w:rsidRDefault="004E7A3D" w:rsidP="004E7A3D">
            <w:pPr>
              <w:tabs>
                <w:tab w:val="clear" w:pos="2835"/>
              </w:tabs>
              <w:jc w:val="center"/>
              <w:rPr>
                <w:rFonts w:cs="Arial"/>
                <w:b/>
                <w:szCs w:val="22"/>
                <w:u w:val="single"/>
                <w:lang w:val="es-ES_tradnl"/>
              </w:rPr>
            </w:pPr>
          </w:p>
          <w:p w:rsidR="004E7A3D" w:rsidRPr="004E7A3D" w:rsidRDefault="004E7A3D" w:rsidP="004E7A3D">
            <w:pPr>
              <w:tabs>
                <w:tab w:val="clear" w:pos="2835"/>
              </w:tabs>
              <w:rPr>
                <w:rFonts w:cs="Arial"/>
                <w:szCs w:val="22"/>
                <w:lang w:val="es-ES_tradnl"/>
              </w:rPr>
            </w:pPr>
            <w:r w:rsidRPr="004E7A3D">
              <w:rPr>
                <w:rFonts w:cs="Arial"/>
                <w:szCs w:val="22"/>
                <w:lang w:val="es-ES_tradnl"/>
              </w:rPr>
              <w:t>Han pasado a ser numerales 7 y 8, respectivamente, sin enmiendas.</w:t>
            </w:r>
          </w:p>
          <w:p w:rsidR="0045036E" w:rsidRPr="001C20E4" w:rsidRDefault="0045036E" w:rsidP="00764AF6">
            <w:pPr>
              <w:tabs>
                <w:tab w:val="clear" w:pos="2835"/>
              </w:tabs>
              <w:rPr>
                <w:rFonts w:cs="Arial"/>
                <w:szCs w:val="22"/>
              </w:rPr>
            </w:pPr>
          </w:p>
        </w:tc>
      </w:tr>
      <w:tr w:rsidR="00096CE0" w:rsidRPr="001C20E4" w:rsidTr="00096CE0">
        <w:trPr>
          <w:trHeight w:val="315"/>
          <w:jc w:val="center"/>
        </w:trPr>
        <w:tc>
          <w:tcPr>
            <w:tcW w:w="1661" w:type="pct"/>
          </w:tcPr>
          <w:p w:rsidR="0045036E" w:rsidRDefault="0045036E" w:rsidP="007128F4">
            <w:pPr>
              <w:widowControl w:val="0"/>
              <w:tabs>
                <w:tab w:val="clear" w:pos="2835"/>
              </w:tabs>
              <w:autoSpaceDE w:val="0"/>
              <w:autoSpaceDN w:val="0"/>
              <w:adjustRightInd w:val="0"/>
              <w:rPr>
                <w:rFonts w:eastAsiaTheme="minorEastAsia" w:cs="Arial"/>
                <w:szCs w:val="22"/>
                <w:lang w:val="es-ES_tradnl" w:eastAsia="es-CL"/>
              </w:rPr>
            </w:pPr>
          </w:p>
          <w:p w:rsidR="00BD0E6D" w:rsidRPr="001C20E4" w:rsidRDefault="00BD0E6D" w:rsidP="007128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128F4">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Artículo 177.- La cancelación por revocación o eliminación en el Registro de Asesores Previsionales de una Entidad de Asesoría Previsional o de un Asesor Previsional, procederá respectivamente:</w:t>
            </w:r>
          </w:p>
          <w:p w:rsidR="0045036E" w:rsidRPr="001C20E4" w:rsidRDefault="0045036E" w:rsidP="007128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128F4">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a) Cuando alguno de aquéllos incurra en infracción grave de ley, y</w:t>
            </w:r>
          </w:p>
          <w:p w:rsidR="0045036E" w:rsidRDefault="0045036E" w:rsidP="007128F4">
            <w:pPr>
              <w:widowControl w:val="0"/>
              <w:tabs>
                <w:tab w:val="clear" w:pos="2835"/>
              </w:tabs>
              <w:autoSpaceDE w:val="0"/>
              <w:autoSpaceDN w:val="0"/>
              <w:adjustRightInd w:val="0"/>
              <w:rPr>
                <w:rFonts w:eastAsiaTheme="minorEastAsia" w:cs="Arial"/>
                <w:szCs w:val="22"/>
                <w:lang w:val="es-ES_tradnl" w:eastAsia="es-CL"/>
              </w:rPr>
            </w:pPr>
          </w:p>
          <w:p w:rsidR="00BD0E6D" w:rsidRDefault="00BD0E6D" w:rsidP="007128F4">
            <w:pPr>
              <w:widowControl w:val="0"/>
              <w:tabs>
                <w:tab w:val="clear" w:pos="2835"/>
              </w:tabs>
              <w:autoSpaceDE w:val="0"/>
              <w:autoSpaceDN w:val="0"/>
              <w:adjustRightInd w:val="0"/>
              <w:rPr>
                <w:rFonts w:eastAsiaTheme="minorEastAsia" w:cs="Arial"/>
                <w:szCs w:val="22"/>
                <w:lang w:val="es-ES_tradnl" w:eastAsia="es-CL"/>
              </w:rPr>
            </w:pPr>
          </w:p>
          <w:p w:rsidR="00BD0E6D" w:rsidRPr="001C20E4" w:rsidRDefault="00BD0E6D" w:rsidP="007128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128F4">
            <w:pPr>
              <w:widowControl w:val="0"/>
              <w:tabs>
                <w:tab w:val="clear" w:pos="2835"/>
              </w:tabs>
              <w:autoSpaceDE w:val="0"/>
              <w:autoSpaceDN w:val="0"/>
              <w:adjustRightInd w:val="0"/>
              <w:rPr>
                <w:rFonts w:eastAsiaTheme="minorEastAsia" w:cs="Arial"/>
                <w:szCs w:val="22"/>
                <w:lang w:val="es-ES_tradnl" w:eastAsia="es-CL"/>
              </w:rPr>
            </w:pPr>
          </w:p>
          <w:p w:rsidR="0045036E" w:rsidRPr="00BD0E6D" w:rsidRDefault="0045036E" w:rsidP="007128F4">
            <w:pPr>
              <w:widowControl w:val="0"/>
              <w:tabs>
                <w:tab w:val="clear" w:pos="2835"/>
              </w:tabs>
              <w:autoSpaceDE w:val="0"/>
              <w:autoSpaceDN w:val="0"/>
              <w:adjustRightInd w:val="0"/>
              <w:rPr>
                <w:rFonts w:eastAsiaTheme="minorEastAsia" w:cs="Arial"/>
                <w:szCs w:val="22"/>
                <w:u w:val="single"/>
                <w:lang w:val="es-ES_tradnl" w:eastAsia="es-CL"/>
              </w:rPr>
            </w:pPr>
            <w:r w:rsidRPr="00BD0E6D">
              <w:rPr>
                <w:rFonts w:eastAsiaTheme="minorEastAsia" w:cs="Arial"/>
                <w:szCs w:val="22"/>
                <w:u w:val="single"/>
                <w:lang w:val="es-ES_tradnl" w:eastAsia="es-CL"/>
              </w:rPr>
              <w:t>b) En el caso que no mantengan vigente el seguro referido en el artículo 173 de esta ley.</w:t>
            </w:r>
          </w:p>
          <w:p w:rsidR="0045036E" w:rsidRDefault="0045036E" w:rsidP="007128F4">
            <w:pPr>
              <w:widowControl w:val="0"/>
              <w:tabs>
                <w:tab w:val="clear" w:pos="2835"/>
              </w:tabs>
              <w:autoSpaceDE w:val="0"/>
              <w:autoSpaceDN w:val="0"/>
              <w:adjustRightInd w:val="0"/>
              <w:rPr>
                <w:rFonts w:eastAsiaTheme="minorEastAsia" w:cs="Arial"/>
                <w:szCs w:val="22"/>
                <w:lang w:val="es-ES_tradnl" w:eastAsia="es-CL"/>
              </w:rPr>
            </w:pPr>
          </w:p>
          <w:p w:rsidR="00BD0E6D" w:rsidRDefault="00BD0E6D" w:rsidP="007128F4">
            <w:pPr>
              <w:widowControl w:val="0"/>
              <w:tabs>
                <w:tab w:val="clear" w:pos="2835"/>
              </w:tabs>
              <w:autoSpaceDE w:val="0"/>
              <w:autoSpaceDN w:val="0"/>
              <w:adjustRightInd w:val="0"/>
              <w:rPr>
                <w:rFonts w:eastAsiaTheme="minorEastAsia" w:cs="Arial"/>
                <w:szCs w:val="22"/>
                <w:lang w:val="es-ES_tradnl" w:eastAsia="es-CL"/>
              </w:rPr>
            </w:pPr>
          </w:p>
          <w:p w:rsidR="00BD0E6D" w:rsidRDefault="00BD0E6D" w:rsidP="007128F4">
            <w:pPr>
              <w:widowControl w:val="0"/>
              <w:tabs>
                <w:tab w:val="clear" w:pos="2835"/>
              </w:tabs>
              <w:autoSpaceDE w:val="0"/>
              <w:autoSpaceDN w:val="0"/>
              <w:adjustRightInd w:val="0"/>
              <w:rPr>
                <w:rFonts w:eastAsiaTheme="minorEastAsia" w:cs="Arial"/>
                <w:szCs w:val="22"/>
                <w:lang w:val="es-ES_tradnl" w:eastAsia="es-CL"/>
              </w:rPr>
            </w:pPr>
          </w:p>
          <w:p w:rsidR="00793315" w:rsidRPr="001C20E4" w:rsidRDefault="00793315" w:rsidP="007128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128F4">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La declaración de infracción grave de ley corresponderá a </w:t>
            </w:r>
            <w:r w:rsidRPr="001C20E4">
              <w:rPr>
                <w:rFonts w:eastAsiaTheme="minorEastAsia" w:cs="Arial"/>
                <w:szCs w:val="22"/>
                <w:u w:val="single"/>
                <w:lang w:val="es-ES_tradnl" w:eastAsia="es-CL"/>
              </w:rPr>
              <w:t>las Superintendencias de Pensiones y de Valores y Seguros conjuntamente</w:t>
            </w:r>
            <w:r w:rsidRPr="001C20E4">
              <w:rPr>
                <w:rFonts w:eastAsiaTheme="minorEastAsia" w:cs="Arial"/>
                <w:szCs w:val="22"/>
                <w:lang w:val="es-ES_tradnl" w:eastAsia="es-CL"/>
              </w:rPr>
              <w:t xml:space="preserve"> y deberá estar fundada en alguna de las disposiciones establecidas en esta ley.</w:t>
            </w:r>
          </w:p>
          <w:p w:rsidR="0045036E" w:rsidRDefault="0045036E" w:rsidP="007128F4">
            <w:pPr>
              <w:widowControl w:val="0"/>
              <w:tabs>
                <w:tab w:val="clear" w:pos="2835"/>
              </w:tabs>
              <w:autoSpaceDE w:val="0"/>
              <w:autoSpaceDN w:val="0"/>
              <w:adjustRightInd w:val="0"/>
              <w:rPr>
                <w:rFonts w:eastAsiaTheme="minorEastAsia" w:cs="Arial"/>
                <w:szCs w:val="22"/>
                <w:lang w:val="es-ES_tradnl" w:eastAsia="es-CL"/>
              </w:rPr>
            </w:pPr>
          </w:p>
          <w:p w:rsidR="00BD0E6D" w:rsidRDefault="00BD0E6D" w:rsidP="007128F4">
            <w:pPr>
              <w:widowControl w:val="0"/>
              <w:tabs>
                <w:tab w:val="clear" w:pos="2835"/>
              </w:tabs>
              <w:autoSpaceDE w:val="0"/>
              <w:autoSpaceDN w:val="0"/>
              <w:adjustRightInd w:val="0"/>
              <w:rPr>
                <w:rFonts w:eastAsiaTheme="minorEastAsia" w:cs="Arial"/>
                <w:szCs w:val="22"/>
                <w:lang w:val="es-ES_tradnl" w:eastAsia="es-CL"/>
              </w:rPr>
            </w:pPr>
          </w:p>
          <w:p w:rsidR="00BD0E6D" w:rsidRDefault="00BD0E6D" w:rsidP="007128F4">
            <w:pPr>
              <w:widowControl w:val="0"/>
              <w:tabs>
                <w:tab w:val="clear" w:pos="2835"/>
              </w:tabs>
              <w:autoSpaceDE w:val="0"/>
              <w:autoSpaceDN w:val="0"/>
              <w:adjustRightInd w:val="0"/>
              <w:rPr>
                <w:rFonts w:eastAsiaTheme="minorEastAsia" w:cs="Arial"/>
                <w:szCs w:val="22"/>
                <w:lang w:val="es-ES_tradnl" w:eastAsia="es-CL"/>
              </w:rPr>
            </w:pPr>
          </w:p>
          <w:p w:rsidR="00CB0E52" w:rsidRPr="001C20E4" w:rsidRDefault="00CB0E52" w:rsidP="007128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128F4">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Declarada la infracción grave o constatado el incumplimiento señalado en la letra b) del inciso primero, </w:t>
            </w:r>
            <w:r w:rsidRPr="001C20E4">
              <w:rPr>
                <w:rFonts w:eastAsiaTheme="minorEastAsia" w:cs="Arial"/>
                <w:szCs w:val="22"/>
                <w:u w:val="single"/>
                <w:lang w:val="es-ES_tradnl" w:eastAsia="es-CL"/>
              </w:rPr>
              <w:t>las Superintendencias de Pensiones y de Valores y Seguros dictarán conjuntamente</w:t>
            </w:r>
            <w:r w:rsidRPr="001C20E4">
              <w:rPr>
                <w:rFonts w:eastAsiaTheme="minorEastAsia" w:cs="Arial"/>
                <w:szCs w:val="22"/>
                <w:lang w:val="es-ES_tradnl" w:eastAsia="es-CL"/>
              </w:rPr>
              <w:t xml:space="preserve"> una resolución fundada que ordene cancelar la inscripción de la Entidad de Asesoría Previsional o del Asesor Previsional del Registro de Asesores Previsionales y revoque la autorización para funcionar.</w:t>
            </w:r>
          </w:p>
          <w:p w:rsidR="0045036E" w:rsidRPr="001C20E4" w:rsidRDefault="0045036E" w:rsidP="007128F4">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6106CF" w:rsidRPr="006106CF" w:rsidRDefault="006106CF" w:rsidP="006106CF">
            <w:pPr>
              <w:contextualSpacing/>
              <w:rPr>
                <w:rFonts w:cs="Arial"/>
                <w:szCs w:val="22"/>
              </w:rPr>
            </w:pPr>
            <w:r w:rsidRPr="00657B7A">
              <w:rPr>
                <w:rFonts w:cs="Arial"/>
                <w:b/>
                <w:szCs w:val="22"/>
              </w:rPr>
              <w:t>10)</w:t>
            </w:r>
            <w:r w:rsidRPr="006106CF">
              <w:rPr>
                <w:rFonts w:cs="Arial"/>
                <w:szCs w:val="22"/>
              </w:rPr>
              <w:t xml:space="preserve"> Modifícase el artículo 177, como se indica:</w:t>
            </w:r>
          </w:p>
          <w:p w:rsidR="006106CF" w:rsidRDefault="006106CF"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BD0E6D" w:rsidRPr="006106CF" w:rsidRDefault="00BD0E6D" w:rsidP="006106CF">
            <w:pPr>
              <w:contextualSpacing/>
              <w:rPr>
                <w:rFonts w:cs="Arial"/>
                <w:szCs w:val="22"/>
              </w:rPr>
            </w:pPr>
          </w:p>
          <w:p w:rsidR="006106CF" w:rsidRPr="006106CF" w:rsidRDefault="006106CF" w:rsidP="006106CF">
            <w:pPr>
              <w:contextualSpacing/>
              <w:rPr>
                <w:rFonts w:cs="Arial"/>
                <w:szCs w:val="22"/>
              </w:rPr>
            </w:pPr>
            <w:r w:rsidRPr="006106CF">
              <w:rPr>
                <w:rFonts w:cs="Arial"/>
                <w:szCs w:val="22"/>
              </w:rPr>
              <w:t>a) Reemplázase la letra b) de su inciso primero, por la siguiente:</w:t>
            </w:r>
          </w:p>
          <w:p w:rsidR="006106CF" w:rsidRPr="006106CF" w:rsidRDefault="006106CF" w:rsidP="006106CF">
            <w:pPr>
              <w:contextualSpacing/>
              <w:rPr>
                <w:rFonts w:cs="Arial"/>
                <w:szCs w:val="22"/>
              </w:rPr>
            </w:pPr>
          </w:p>
          <w:p w:rsidR="006106CF" w:rsidRPr="006106CF" w:rsidRDefault="006106CF" w:rsidP="006106CF">
            <w:pPr>
              <w:contextualSpacing/>
              <w:rPr>
                <w:rFonts w:cs="Arial"/>
                <w:szCs w:val="22"/>
              </w:rPr>
            </w:pPr>
            <w:r w:rsidRPr="006106CF">
              <w:rPr>
                <w:rFonts w:cs="Arial"/>
                <w:szCs w:val="22"/>
              </w:rPr>
              <w:t>“b) En el caso que no mantengan vigente la boleta de garantía bancaria o el seguro referido en el artículo 173.”.</w:t>
            </w:r>
          </w:p>
          <w:p w:rsidR="006106CF" w:rsidRDefault="006106CF" w:rsidP="006106CF">
            <w:pPr>
              <w:contextualSpacing/>
              <w:rPr>
                <w:rFonts w:cs="Arial"/>
                <w:szCs w:val="22"/>
              </w:rPr>
            </w:pPr>
          </w:p>
          <w:p w:rsidR="00BD0E6D" w:rsidRDefault="00BD0E6D" w:rsidP="006106CF">
            <w:pPr>
              <w:contextualSpacing/>
              <w:rPr>
                <w:rFonts w:cs="Arial"/>
                <w:szCs w:val="22"/>
              </w:rPr>
            </w:pPr>
          </w:p>
          <w:p w:rsidR="00793315" w:rsidRPr="006106CF" w:rsidRDefault="00793315" w:rsidP="006106CF">
            <w:pPr>
              <w:contextualSpacing/>
              <w:rPr>
                <w:rFonts w:cs="Arial"/>
                <w:szCs w:val="22"/>
              </w:rPr>
            </w:pPr>
          </w:p>
          <w:p w:rsidR="006106CF" w:rsidRPr="00657B7A" w:rsidRDefault="006106CF" w:rsidP="006106CF">
            <w:pPr>
              <w:contextualSpacing/>
              <w:rPr>
                <w:rFonts w:cs="Arial"/>
                <w:b/>
                <w:szCs w:val="22"/>
              </w:rPr>
            </w:pPr>
            <w:r w:rsidRPr="00657B7A">
              <w:rPr>
                <w:rFonts w:cs="Arial"/>
                <w:b/>
                <w:szCs w:val="22"/>
              </w:rPr>
              <w:t>b) Sustitúyese, en su inciso segundo, la frase “las Superintendencias de Pensiones y de Valores y Seguros conjuntamente”, por la siguiente: “la Superintendencia de Pensiones,”.</w:t>
            </w:r>
          </w:p>
          <w:p w:rsidR="006106CF" w:rsidRDefault="006106CF" w:rsidP="006106CF">
            <w:pPr>
              <w:contextualSpacing/>
              <w:rPr>
                <w:rFonts w:cs="Arial"/>
                <w:szCs w:val="22"/>
              </w:rPr>
            </w:pPr>
          </w:p>
          <w:p w:rsidR="00BD0E6D" w:rsidRDefault="00BD0E6D" w:rsidP="006106CF">
            <w:pPr>
              <w:contextualSpacing/>
              <w:rPr>
                <w:rFonts w:cs="Arial"/>
                <w:szCs w:val="22"/>
              </w:rPr>
            </w:pPr>
          </w:p>
          <w:p w:rsidR="00BD0E6D" w:rsidRPr="006106CF" w:rsidRDefault="00BD0E6D"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6106CF" w:rsidRPr="006106CF" w:rsidRDefault="006106CF" w:rsidP="006106CF">
            <w:pPr>
              <w:contextualSpacing/>
              <w:rPr>
                <w:rFonts w:cs="Arial"/>
                <w:szCs w:val="22"/>
              </w:rPr>
            </w:pPr>
            <w:r w:rsidRPr="006106CF">
              <w:rPr>
                <w:rFonts w:cs="Arial"/>
                <w:szCs w:val="22"/>
              </w:rPr>
              <w:t>c) Reemplázase, en su inciso tercero, la frase “las Superintendencias de Pensiones y de Valores y Seguros dictarán conjuntamente”, por la que sigue: “la Superintendencia de Pensiones dictará”.</w:t>
            </w:r>
          </w:p>
          <w:p w:rsidR="006106CF" w:rsidRPr="006106CF" w:rsidRDefault="006106CF" w:rsidP="006106CF">
            <w:pPr>
              <w:contextualSpacing/>
              <w:rPr>
                <w:rFonts w:cs="Arial"/>
                <w:szCs w:val="22"/>
              </w:rPr>
            </w:pPr>
          </w:p>
          <w:p w:rsidR="006106CF" w:rsidRDefault="006106CF"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BD0E6D" w:rsidRDefault="00BD0E6D" w:rsidP="006106CF">
            <w:pPr>
              <w:contextualSpacing/>
              <w:rPr>
                <w:rFonts w:cs="Arial"/>
                <w:szCs w:val="22"/>
              </w:rPr>
            </w:pPr>
          </w:p>
          <w:p w:rsidR="006106CF" w:rsidRPr="006106CF" w:rsidRDefault="006106CF" w:rsidP="006106CF">
            <w:pPr>
              <w:contextualSpacing/>
              <w:rPr>
                <w:rFonts w:cs="Arial"/>
                <w:szCs w:val="22"/>
              </w:rPr>
            </w:pPr>
            <w:r w:rsidRPr="006106CF">
              <w:rPr>
                <w:rFonts w:cs="Arial"/>
                <w:szCs w:val="22"/>
              </w:rPr>
              <w:t>d) Agrégase el siguiente inciso final:</w:t>
            </w:r>
          </w:p>
          <w:p w:rsidR="006106CF" w:rsidRPr="006106CF" w:rsidRDefault="006106CF" w:rsidP="006106CF">
            <w:pPr>
              <w:contextualSpacing/>
              <w:rPr>
                <w:rFonts w:cs="Arial"/>
                <w:szCs w:val="22"/>
              </w:rPr>
            </w:pPr>
          </w:p>
          <w:p w:rsidR="006106CF" w:rsidRPr="006106CF" w:rsidRDefault="006106CF" w:rsidP="006106CF">
            <w:pPr>
              <w:contextualSpacing/>
              <w:rPr>
                <w:rFonts w:cs="Arial"/>
                <w:szCs w:val="22"/>
              </w:rPr>
            </w:pPr>
            <w:r w:rsidRPr="006106CF">
              <w:rPr>
                <w:rFonts w:cs="Arial"/>
                <w:szCs w:val="22"/>
              </w:rPr>
              <w:t>“Asimismo, la Superintendencia de Pensiones podrá suspender del Registro, mediante resolución fundada y por un plazo máximo de seis meses, renovable por una vez, a las Entidades de Asesoría Previsional o a los Asesores Previsionales en los casos en que no se cumpla con las normas necesarias para el adecuado desarrollo de tales actividades, o cuando así lo requiera el interés público.”.</w:t>
            </w:r>
          </w:p>
          <w:p w:rsidR="0045036E" w:rsidRPr="001C20E4" w:rsidRDefault="0045036E">
            <w:pPr>
              <w:contextualSpacing/>
              <w:rPr>
                <w:rFonts w:cs="Arial"/>
                <w:szCs w:val="22"/>
              </w:rPr>
            </w:pPr>
          </w:p>
        </w:tc>
        <w:tc>
          <w:tcPr>
            <w:tcW w:w="1674" w:type="pct"/>
          </w:tcPr>
          <w:p w:rsidR="00657B7A" w:rsidRPr="00657B7A" w:rsidRDefault="00657B7A" w:rsidP="00657B7A">
            <w:pPr>
              <w:jc w:val="center"/>
              <w:rPr>
                <w:rFonts w:cs="Arial"/>
                <w:b/>
                <w:szCs w:val="22"/>
                <w:u w:val="single"/>
                <w:lang w:val="es-ES_tradnl"/>
              </w:rPr>
            </w:pPr>
            <w:r w:rsidRPr="00657B7A">
              <w:rPr>
                <w:rFonts w:cs="Arial"/>
                <w:b/>
                <w:szCs w:val="22"/>
                <w:u w:val="single"/>
                <w:lang w:val="es-ES_tradnl"/>
              </w:rPr>
              <w:t>Numeral 10</w:t>
            </w:r>
          </w:p>
          <w:p w:rsidR="00657B7A" w:rsidRPr="00657B7A" w:rsidRDefault="00657B7A" w:rsidP="00657B7A">
            <w:pPr>
              <w:rPr>
                <w:rFonts w:cs="Arial"/>
                <w:b/>
                <w:szCs w:val="22"/>
                <w:u w:val="single"/>
                <w:lang w:val="es-ES_tradnl"/>
              </w:rPr>
            </w:pPr>
          </w:p>
          <w:p w:rsidR="00657B7A" w:rsidRPr="00657B7A" w:rsidRDefault="00657B7A" w:rsidP="00657B7A">
            <w:pPr>
              <w:rPr>
                <w:rFonts w:cs="Arial"/>
                <w:szCs w:val="22"/>
                <w:lang w:val="es-ES_tradnl"/>
              </w:rPr>
            </w:pPr>
            <w:r w:rsidRPr="00657B7A">
              <w:rPr>
                <w:rFonts w:cs="Arial"/>
                <w:szCs w:val="22"/>
                <w:lang w:val="es-ES_tradnl"/>
              </w:rPr>
              <w:t>Ha pasado a ser numeral 9, eliminándose su letra b).</w:t>
            </w:r>
          </w:p>
          <w:p w:rsidR="00657B7A" w:rsidRPr="00657B7A" w:rsidRDefault="00657B7A" w:rsidP="00657B7A">
            <w:pPr>
              <w:rPr>
                <w:rFonts w:cs="Arial"/>
                <w:szCs w:val="22"/>
                <w:lang w:val="es-ES_tradnl"/>
              </w:rPr>
            </w:pPr>
          </w:p>
          <w:p w:rsidR="0045036E" w:rsidRPr="001C20E4" w:rsidRDefault="0045036E" w:rsidP="00B77D8D">
            <w:pPr>
              <w:rPr>
                <w:rFonts w:cs="Arial"/>
                <w:szCs w:val="22"/>
              </w:rPr>
            </w:pPr>
          </w:p>
        </w:tc>
      </w:tr>
      <w:tr w:rsidR="00096CE0" w:rsidRPr="001C20E4" w:rsidTr="00096CE0">
        <w:trPr>
          <w:trHeight w:val="315"/>
          <w:jc w:val="center"/>
        </w:trPr>
        <w:tc>
          <w:tcPr>
            <w:tcW w:w="1661" w:type="pct"/>
          </w:tcPr>
          <w:p w:rsidR="0045036E" w:rsidRPr="001C20E4" w:rsidRDefault="0045036E" w:rsidP="00F9079A">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F9079A">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3. De la contratación de la Asesoría Previsional.</w:t>
            </w:r>
          </w:p>
          <w:p w:rsidR="0045036E" w:rsidRPr="001C20E4" w:rsidRDefault="0045036E" w:rsidP="00F9079A">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F9079A">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 xml:space="preserve">Artículo 178.- Para los efectos de prestar la asesoría previsional, deberá celebrarse un contrato de prestación de servicios entre la Entidad de Asesoría Previsional o el Asesor Previsional y el afiliado o sus beneficiarios, según corresponda, el que establecerá los derechos y obligaciones de ambas partes y cuyo contenido mínimo será establecido mediante norma de carácter general que </w:t>
            </w:r>
            <w:r w:rsidRPr="001C20E4">
              <w:rPr>
                <w:rFonts w:eastAsiaTheme="minorEastAsia" w:cs="Arial"/>
                <w:szCs w:val="22"/>
                <w:u w:val="single"/>
                <w:lang w:val="es-ES_tradnl" w:eastAsia="es-CL"/>
              </w:rPr>
              <w:t>dictarán en forma conjunta las Superintendencias de Pensiones y de Valores y Seguros</w:t>
            </w:r>
            <w:r w:rsidRPr="001C20E4">
              <w:rPr>
                <w:rFonts w:eastAsiaTheme="minorEastAsia" w:cs="Arial"/>
                <w:szCs w:val="22"/>
                <w:lang w:val="es-ES_tradnl" w:eastAsia="es-CL"/>
              </w:rPr>
              <w:t>.</w:t>
            </w:r>
          </w:p>
          <w:p w:rsidR="0045036E" w:rsidRPr="001C20E4" w:rsidRDefault="0045036E" w:rsidP="00F9079A">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F9079A">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1343CB">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La contratación de una asesoría previsional es voluntaria para el afiliado o sus beneficiarios, según corresponda, y en ningún caso podrá comprender la obligación de aquéllos de acoger la recomendación que por escrito les fuere proporcionada por el Asesor Previsional.</w:t>
            </w:r>
          </w:p>
          <w:p w:rsidR="0045036E" w:rsidRPr="001C20E4" w:rsidRDefault="0045036E" w:rsidP="001343CB">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E17B83" w:rsidRDefault="00E17B83" w:rsidP="00E17B83">
            <w:pPr>
              <w:contextualSpacing/>
              <w:rPr>
                <w:rFonts w:cs="Arial"/>
                <w:szCs w:val="22"/>
              </w:rPr>
            </w:pPr>
          </w:p>
          <w:p w:rsidR="00E17B83" w:rsidRDefault="00E17B83" w:rsidP="00E17B83">
            <w:pPr>
              <w:contextualSpacing/>
              <w:rPr>
                <w:rFonts w:cs="Arial"/>
                <w:szCs w:val="22"/>
              </w:rPr>
            </w:pPr>
          </w:p>
          <w:p w:rsidR="00E17B83" w:rsidRDefault="00E17B83" w:rsidP="00E17B83">
            <w:pPr>
              <w:contextualSpacing/>
              <w:rPr>
                <w:rFonts w:cs="Arial"/>
                <w:szCs w:val="22"/>
              </w:rPr>
            </w:pPr>
          </w:p>
          <w:p w:rsidR="00E17B83" w:rsidRDefault="00E17B83" w:rsidP="00E17B83">
            <w:pPr>
              <w:contextualSpacing/>
              <w:rPr>
                <w:rFonts w:cs="Arial"/>
                <w:szCs w:val="22"/>
              </w:rPr>
            </w:pPr>
          </w:p>
          <w:p w:rsidR="00E17B83" w:rsidRDefault="00E17B83" w:rsidP="00E17B83">
            <w:pPr>
              <w:contextualSpacing/>
              <w:rPr>
                <w:rFonts w:cs="Arial"/>
                <w:szCs w:val="22"/>
              </w:rPr>
            </w:pPr>
          </w:p>
          <w:p w:rsidR="00E17B83" w:rsidRDefault="00E17B83" w:rsidP="00E17B83">
            <w:pPr>
              <w:contextualSpacing/>
              <w:rPr>
                <w:rFonts w:cs="Arial"/>
                <w:szCs w:val="22"/>
              </w:rPr>
            </w:pPr>
          </w:p>
          <w:p w:rsidR="00E17B83" w:rsidRDefault="00E17B83" w:rsidP="00E17B83">
            <w:pPr>
              <w:contextualSpacing/>
              <w:rPr>
                <w:rFonts w:cs="Arial"/>
                <w:szCs w:val="22"/>
              </w:rPr>
            </w:pPr>
          </w:p>
          <w:p w:rsidR="00E17B83" w:rsidRDefault="00E17B83" w:rsidP="00E17B83">
            <w:pPr>
              <w:contextualSpacing/>
              <w:rPr>
                <w:rFonts w:cs="Arial"/>
                <w:szCs w:val="22"/>
              </w:rPr>
            </w:pPr>
          </w:p>
          <w:p w:rsidR="00E17B83" w:rsidRDefault="00E17B83" w:rsidP="00E17B83">
            <w:pPr>
              <w:contextualSpacing/>
              <w:rPr>
                <w:rFonts w:cs="Arial"/>
                <w:szCs w:val="22"/>
              </w:rPr>
            </w:pPr>
          </w:p>
          <w:p w:rsidR="00E17B83" w:rsidRPr="00E17B83" w:rsidRDefault="00E17B83" w:rsidP="00E17B83">
            <w:pPr>
              <w:contextualSpacing/>
              <w:rPr>
                <w:rFonts w:cs="Arial"/>
                <w:szCs w:val="22"/>
              </w:rPr>
            </w:pPr>
            <w:r w:rsidRPr="001F016D">
              <w:rPr>
                <w:rFonts w:cs="Arial"/>
                <w:b/>
                <w:szCs w:val="22"/>
              </w:rPr>
              <w:t>11)</w:t>
            </w:r>
            <w:r w:rsidRPr="00E17B83">
              <w:rPr>
                <w:rFonts w:cs="Arial"/>
                <w:szCs w:val="22"/>
              </w:rPr>
              <w:t xml:space="preserve"> Reemplázase, en el inciso primero del artículo 178, la frase “dictarán en forma conjunta las Superintendencias de Pensiones y de Valores y Seguros”, por la siguiente: “dictará la Superintendencia de Pensiones”.</w:t>
            </w:r>
          </w:p>
          <w:p w:rsidR="0045036E" w:rsidRPr="001C20E4" w:rsidRDefault="0045036E">
            <w:pPr>
              <w:contextualSpacing/>
              <w:rPr>
                <w:rFonts w:cs="Arial"/>
                <w:szCs w:val="22"/>
              </w:rPr>
            </w:pPr>
          </w:p>
        </w:tc>
        <w:tc>
          <w:tcPr>
            <w:tcW w:w="1674" w:type="pct"/>
          </w:tcPr>
          <w:p w:rsidR="00793315" w:rsidRDefault="00793315" w:rsidP="001F016D">
            <w:pPr>
              <w:jc w:val="center"/>
              <w:rPr>
                <w:rFonts w:cs="Arial"/>
                <w:b/>
                <w:szCs w:val="22"/>
                <w:u w:val="single"/>
                <w:lang w:val="es-ES_tradnl"/>
              </w:rPr>
            </w:pPr>
          </w:p>
          <w:p w:rsidR="00793315" w:rsidRDefault="00793315" w:rsidP="001F016D">
            <w:pPr>
              <w:jc w:val="center"/>
              <w:rPr>
                <w:rFonts w:cs="Arial"/>
                <w:b/>
                <w:szCs w:val="22"/>
                <w:u w:val="single"/>
                <w:lang w:val="es-ES_tradnl"/>
              </w:rPr>
            </w:pPr>
          </w:p>
          <w:p w:rsidR="00793315" w:rsidRDefault="00793315" w:rsidP="001F016D">
            <w:pPr>
              <w:jc w:val="center"/>
              <w:rPr>
                <w:rFonts w:cs="Arial"/>
                <w:b/>
                <w:szCs w:val="22"/>
                <w:u w:val="single"/>
                <w:lang w:val="es-ES_tradnl"/>
              </w:rPr>
            </w:pPr>
          </w:p>
          <w:p w:rsidR="00793315" w:rsidRDefault="00793315" w:rsidP="001F016D">
            <w:pPr>
              <w:jc w:val="center"/>
              <w:rPr>
                <w:rFonts w:cs="Arial"/>
                <w:b/>
                <w:szCs w:val="22"/>
                <w:u w:val="single"/>
                <w:lang w:val="es-ES_tradnl"/>
              </w:rPr>
            </w:pPr>
          </w:p>
          <w:p w:rsidR="00793315" w:rsidRDefault="00793315" w:rsidP="001F016D">
            <w:pPr>
              <w:jc w:val="center"/>
              <w:rPr>
                <w:rFonts w:cs="Arial"/>
                <w:b/>
                <w:szCs w:val="22"/>
                <w:u w:val="single"/>
                <w:lang w:val="es-ES_tradnl"/>
              </w:rPr>
            </w:pPr>
          </w:p>
          <w:p w:rsidR="00793315" w:rsidRDefault="00793315" w:rsidP="001F016D">
            <w:pPr>
              <w:jc w:val="center"/>
              <w:rPr>
                <w:rFonts w:cs="Arial"/>
                <w:b/>
                <w:szCs w:val="22"/>
                <w:u w:val="single"/>
                <w:lang w:val="es-ES_tradnl"/>
              </w:rPr>
            </w:pPr>
          </w:p>
          <w:p w:rsidR="00793315" w:rsidRDefault="00793315" w:rsidP="001F016D">
            <w:pPr>
              <w:jc w:val="center"/>
              <w:rPr>
                <w:rFonts w:cs="Arial"/>
                <w:b/>
                <w:szCs w:val="22"/>
                <w:u w:val="single"/>
                <w:lang w:val="es-ES_tradnl"/>
              </w:rPr>
            </w:pPr>
          </w:p>
          <w:p w:rsidR="001F016D" w:rsidRPr="001F016D" w:rsidRDefault="001F016D" w:rsidP="001F016D">
            <w:pPr>
              <w:jc w:val="center"/>
              <w:rPr>
                <w:rFonts w:cs="Arial"/>
                <w:b/>
                <w:szCs w:val="22"/>
                <w:u w:val="single"/>
                <w:lang w:val="es-ES_tradnl"/>
              </w:rPr>
            </w:pPr>
            <w:r w:rsidRPr="001F016D">
              <w:rPr>
                <w:rFonts w:cs="Arial"/>
                <w:b/>
                <w:szCs w:val="22"/>
                <w:u w:val="single"/>
                <w:lang w:val="es-ES_tradnl"/>
              </w:rPr>
              <w:t>Numerales 11, 12 y 13</w:t>
            </w:r>
          </w:p>
          <w:p w:rsidR="001F016D" w:rsidRPr="001F016D" w:rsidRDefault="001F016D" w:rsidP="001F016D">
            <w:pPr>
              <w:rPr>
                <w:rFonts w:cs="Arial"/>
                <w:b/>
                <w:szCs w:val="22"/>
                <w:u w:val="single"/>
                <w:lang w:val="es-ES_tradnl"/>
              </w:rPr>
            </w:pPr>
          </w:p>
          <w:p w:rsidR="001F016D" w:rsidRPr="001F016D" w:rsidRDefault="001F016D" w:rsidP="001F016D">
            <w:pPr>
              <w:rPr>
                <w:rFonts w:cs="Arial"/>
                <w:szCs w:val="22"/>
                <w:lang w:val="es-ES_tradnl"/>
              </w:rPr>
            </w:pPr>
            <w:r w:rsidRPr="001F016D">
              <w:rPr>
                <w:rFonts w:cs="Arial"/>
                <w:szCs w:val="22"/>
                <w:lang w:val="es-ES_tradnl"/>
              </w:rPr>
              <w:t>Han pasado a ser numerales 10, 11 y 12, respectivamente, sin enmiendas.</w:t>
            </w:r>
          </w:p>
          <w:p w:rsidR="001F016D" w:rsidRPr="001F016D" w:rsidRDefault="001F016D" w:rsidP="001F016D">
            <w:pPr>
              <w:rPr>
                <w:rFonts w:cs="Arial"/>
                <w:szCs w:val="22"/>
                <w:lang w:val="es-ES_tradnl"/>
              </w:rPr>
            </w:pPr>
          </w:p>
          <w:p w:rsidR="0045036E" w:rsidRPr="001C20E4" w:rsidRDefault="0045036E" w:rsidP="00B77D8D">
            <w:pPr>
              <w:rPr>
                <w:rFonts w:cs="Arial"/>
                <w:szCs w:val="22"/>
              </w:rPr>
            </w:pPr>
          </w:p>
        </w:tc>
      </w:tr>
      <w:tr w:rsidR="00096CE0" w:rsidRPr="001C20E4" w:rsidTr="00096CE0">
        <w:trPr>
          <w:trHeight w:val="315"/>
          <w:jc w:val="center"/>
        </w:trPr>
        <w:tc>
          <w:tcPr>
            <w:tcW w:w="1661" w:type="pct"/>
          </w:tcPr>
          <w:p w:rsidR="0045036E" w:rsidRPr="001C20E4" w:rsidRDefault="0045036E" w:rsidP="003A3346">
            <w:pPr>
              <w:pStyle w:val="HTMLconformatoprevio"/>
              <w:rPr>
                <w:rFonts w:ascii="Arial" w:hAnsi="Arial" w:cs="Arial"/>
                <w:sz w:val="22"/>
                <w:szCs w:val="22"/>
              </w:rPr>
            </w:pPr>
            <w:r w:rsidRPr="001C20E4">
              <w:rPr>
                <w:rFonts w:ascii="Arial" w:hAnsi="Arial" w:cs="Arial"/>
                <w:sz w:val="22"/>
                <w:szCs w:val="22"/>
              </w:rPr>
              <w:t>Artículo 179.- Los afiliados o beneficiarios de pensión no podrán pagar honorarios por concepto de servicios de asesoría previsional con cargo a la cuenta de capitalización individual, a excepción de lo indicado en los incisos segundo y tercero de este artículo.</w:t>
            </w:r>
          </w:p>
          <w:p w:rsidR="0045036E" w:rsidRPr="001C20E4" w:rsidRDefault="0045036E" w:rsidP="003A3346">
            <w:pPr>
              <w:pStyle w:val="HTMLconformatoprevio"/>
              <w:rPr>
                <w:rFonts w:ascii="Arial" w:hAnsi="Arial" w:cs="Arial"/>
                <w:sz w:val="22"/>
                <w:szCs w:val="22"/>
              </w:rPr>
            </w:pPr>
          </w:p>
          <w:p w:rsidR="0045036E" w:rsidRPr="001C20E4" w:rsidRDefault="0045036E" w:rsidP="003A3346">
            <w:pPr>
              <w:pStyle w:val="HTMLconformatoprevio"/>
              <w:rPr>
                <w:rFonts w:ascii="Arial" w:hAnsi="Arial" w:cs="Arial"/>
                <w:sz w:val="22"/>
                <w:szCs w:val="22"/>
              </w:rPr>
            </w:pPr>
            <w:r w:rsidRPr="001C20E4">
              <w:rPr>
                <w:rFonts w:ascii="Arial" w:hAnsi="Arial" w:cs="Arial"/>
                <w:sz w:val="22"/>
                <w:szCs w:val="22"/>
              </w:rPr>
              <w:t>Los afiliados o beneficiarios de pensión, según corresponda, que cumplan los requisitos para pensionarse podrán, al momento de seleccionar modalidad de pensión de retiro programado, pagar honorarios por concepto de servicios de asesoría previsional, con cargo a la cuenta de capitalización individual, hasta el monto que resulte de multiplicar una tasa máxima fijada mediante el decreto supremo conjunto a que se refiere el inciso decimocuarto del artículo 61 bis, por el saldo de dicha cuenta destinado a esta modalidad de pensión. Cuando se seleccione una modalidad de pensión de renta vitalicia, los honorarios por concepto de asesoría previsional corresponderán a la comisión o retribución a que alude el inciso decimocuarto del artículo 61 bis y se pagarán en la forma señalada en dicho inciso. En todo caso, la tasa máxima a que se refiere la primera oración de este inciso y el monto máximo a pagar por concepto de asesoría previsional, que se establezcan para la modalidad de pensión de retiro programado, deberán ser inferiores a los que se determinen para la modalidad de renta vitalicia.</w:t>
            </w:r>
          </w:p>
          <w:p w:rsidR="0045036E" w:rsidRPr="001C20E4" w:rsidRDefault="0045036E" w:rsidP="003A3346">
            <w:pPr>
              <w:pStyle w:val="HTMLconformatoprevio"/>
              <w:rPr>
                <w:rFonts w:ascii="Arial" w:hAnsi="Arial" w:cs="Arial"/>
                <w:sz w:val="22"/>
                <w:szCs w:val="22"/>
              </w:rPr>
            </w:pPr>
          </w:p>
          <w:p w:rsidR="0045036E" w:rsidRDefault="0045036E" w:rsidP="003A3346">
            <w:pPr>
              <w:pStyle w:val="HTMLconformatoprevio"/>
              <w:rPr>
                <w:rFonts w:ascii="Arial" w:hAnsi="Arial" w:cs="Arial"/>
                <w:sz w:val="22"/>
                <w:szCs w:val="22"/>
              </w:rPr>
            </w:pPr>
          </w:p>
          <w:p w:rsidR="008836D2" w:rsidRDefault="008836D2" w:rsidP="003A3346">
            <w:pPr>
              <w:pStyle w:val="HTMLconformatoprevio"/>
              <w:rPr>
                <w:rFonts w:ascii="Arial" w:hAnsi="Arial" w:cs="Arial"/>
                <w:sz w:val="22"/>
                <w:szCs w:val="22"/>
              </w:rPr>
            </w:pPr>
          </w:p>
          <w:p w:rsidR="008836D2" w:rsidRDefault="008836D2" w:rsidP="003A3346">
            <w:pPr>
              <w:pStyle w:val="HTMLconformatoprevio"/>
              <w:rPr>
                <w:rFonts w:ascii="Arial" w:hAnsi="Arial" w:cs="Arial"/>
                <w:sz w:val="22"/>
                <w:szCs w:val="22"/>
              </w:rPr>
            </w:pPr>
          </w:p>
          <w:p w:rsidR="00845034" w:rsidRPr="001C20E4" w:rsidRDefault="00845034" w:rsidP="003A3346">
            <w:pPr>
              <w:pStyle w:val="HTMLconformatoprevio"/>
              <w:rPr>
                <w:rFonts w:ascii="Arial" w:hAnsi="Arial" w:cs="Arial"/>
                <w:sz w:val="22"/>
                <w:szCs w:val="22"/>
              </w:rPr>
            </w:pPr>
          </w:p>
          <w:p w:rsidR="0045036E" w:rsidRPr="001C20E4" w:rsidRDefault="0045036E" w:rsidP="003A3346">
            <w:pPr>
              <w:pStyle w:val="HTMLconformatoprevio"/>
              <w:rPr>
                <w:rFonts w:ascii="Arial" w:hAnsi="Arial" w:cs="Arial"/>
                <w:sz w:val="22"/>
                <w:szCs w:val="22"/>
              </w:rPr>
            </w:pPr>
          </w:p>
          <w:p w:rsidR="0045036E" w:rsidRPr="001C20E4" w:rsidRDefault="0045036E" w:rsidP="003A3346">
            <w:pPr>
              <w:pStyle w:val="HTMLconformatoprevio"/>
              <w:rPr>
                <w:rFonts w:ascii="Arial" w:hAnsi="Arial" w:cs="Arial"/>
                <w:sz w:val="22"/>
                <w:szCs w:val="22"/>
              </w:rPr>
            </w:pPr>
            <w:r w:rsidRPr="001C20E4">
              <w:rPr>
                <w:rFonts w:ascii="Arial" w:hAnsi="Arial" w:cs="Arial"/>
                <w:sz w:val="22"/>
                <w:szCs w:val="22"/>
              </w:rPr>
              <w:t xml:space="preserve">Con todo, los honorarios totales por concepto de asesoría previsional no podrán superar el </w:t>
            </w:r>
            <w:r w:rsidRPr="001C20E4">
              <w:rPr>
                <w:rFonts w:ascii="Arial" w:hAnsi="Arial" w:cs="Arial"/>
                <w:sz w:val="22"/>
                <w:szCs w:val="22"/>
                <w:u w:val="single"/>
              </w:rPr>
              <w:t>2%</w:t>
            </w:r>
            <w:r w:rsidRPr="001C20E4">
              <w:rPr>
                <w:rFonts w:ascii="Arial" w:hAnsi="Arial" w:cs="Arial"/>
                <w:sz w:val="22"/>
                <w:szCs w:val="22"/>
              </w:rPr>
              <w:t xml:space="preserve"> de los fondos de la cuenta de capitalización individual del afiliado destinados a pensión, </w:t>
            </w:r>
            <w:r w:rsidRPr="001C20E4">
              <w:rPr>
                <w:rFonts w:ascii="Arial" w:hAnsi="Arial" w:cs="Arial"/>
                <w:sz w:val="22"/>
                <w:szCs w:val="22"/>
                <w:u w:val="single"/>
              </w:rPr>
              <w:t>con exclusión de aquellos que eran susceptibles de ser retirados como excedente de libre disposición</w:t>
            </w:r>
            <w:r w:rsidRPr="001C20E4">
              <w:rPr>
                <w:rFonts w:ascii="Arial" w:hAnsi="Arial" w:cs="Arial"/>
                <w:sz w:val="22"/>
                <w:szCs w:val="22"/>
              </w:rPr>
              <w:t xml:space="preserve">, ni podrán exceder un monto equivalente a 60 </w:t>
            </w:r>
            <w:r w:rsidRPr="001C20E4">
              <w:rPr>
                <w:rFonts w:ascii="Arial" w:hAnsi="Arial" w:cs="Arial"/>
                <w:sz w:val="22"/>
                <w:szCs w:val="22"/>
                <w:u w:val="single"/>
              </w:rPr>
              <w:t>UF</w:t>
            </w:r>
            <w:r w:rsidRPr="001C20E4">
              <w:rPr>
                <w:rFonts w:ascii="Arial" w:hAnsi="Arial" w:cs="Arial"/>
                <w:sz w:val="22"/>
                <w:szCs w:val="22"/>
              </w:rPr>
              <w:t>.</w:t>
            </w:r>
          </w:p>
          <w:p w:rsidR="0045036E" w:rsidRPr="001C20E4" w:rsidRDefault="0045036E" w:rsidP="003A3346">
            <w:pPr>
              <w:pStyle w:val="HTMLconformatoprevio"/>
              <w:rPr>
                <w:rFonts w:ascii="Arial" w:hAnsi="Arial" w:cs="Arial"/>
                <w:sz w:val="22"/>
                <w:szCs w:val="22"/>
              </w:rPr>
            </w:pPr>
          </w:p>
          <w:p w:rsidR="0045036E" w:rsidRDefault="0045036E" w:rsidP="003A3346">
            <w:pPr>
              <w:pStyle w:val="HTMLconformatoprevio"/>
              <w:rPr>
                <w:rFonts w:ascii="Arial" w:hAnsi="Arial" w:cs="Arial"/>
                <w:sz w:val="22"/>
                <w:szCs w:val="22"/>
              </w:rPr>
            </w:pPr>
          </w:p>
          <w:p w:rsidR="00E26C1A" w:rsidRDefault="00E26C1A" w:rsidP="003A3346">
            <w:pPr>
              <w:pStyle w:val="HTMLconformatoprevio"/>
              <w:rPr>
                <w:rFonts w:ascii="Arial" w:hAnsi="Arial" w:cs="Arial"/>
                <w:sz w:val="22"/>
                <w:szCs w:val="22"/>
              </w:rPr>
            </w:pPr>
          </w:p>
          <w:p w:rsidR="00D16F63" w:rsidRPr="001C20E4" w:rsidRDefault="00D16F63" w:rsidP="003A3346">
            <w:pPr>
              <w:pStyle w:val="HTMLconformatoprevio"/>
              <w:rPr>
                <w:rFonts w:ascii="Arial" w:hAnsi="Arial" w:cs="Arial"/>
                <w:sz w:val="22"/>
                <w:szCs w:val="22"/>
              </w:rPr>
            </w:pPr>
          </w:p>
          <w:p w:rsidR="0045036E" w:rsidRDefault="0045036E" w:rsidP="003A3346">
            <w:pPr>
              <w:pStyle w:val="HTMLconformatoprevio"/>
              <w:rPr>
                <w:rFonts w:ascii="Arial" w:hAnsi="Arial" w:cs="Arial"/>
                <w:sz w:val="22"/>
                <w:szCs w:val="22"/>
              </w:rPr>
            </w:pPr>
            <w:r w:rsidRPr="001C20E4">
              <w:rPr>
                <w:rFonts w:ascii="Arial" w:hAnsi="Arial" w:cs="Arial"/>
                <w:sz w:val="22"/>
                <w:szCs w:val="22"/>
              </w:rPr>
              <w:t>Las Administradoras y las compañías de seguros de vida no podrán efectuar pago alguno distinto al establecido en este artículo a los asesores previsionales, sean ellos en dinero o especies, como tampoco podrán financiar los gastos en que deban incurrir para su cometido.</w:t>
            </w:r>
          </w:p>
          <w:p w:rsidR="0045036E" w:rsidRPr="001C20E4" w:rsidRDefault="0045036E" w:rsidP="003A334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812D11" w:rsidRDefault="00812D11"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1F016D" w:rsidRDefault="001F016D"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Default="008836D2" w:rsidP="00812D11">
            <w:pPr>
              <w:contextualSpacing/>
              <w:rPr>
                <w:rFonts w:cs="Arial"/>
                <w:szCs w:val="22"/>
              </w:rPr>
            </w:pPr>
          </w:p>
          <w:p w:rsidR="008836D2" w:rsidRPr="008836D2" w:rsidRDefault="008836D2" w:rsidP="008836D2">
            <w:pPr>
              <w:contextualSpacing/>
              <w:rPr>
                <w:rFonts w:cs="Arial"/>
                <w:szCs w:val="22"/>
              </w:rPr>
            </w:pPr>
            <w:r w:rsidRPr="001F016D">
              <w:rPr>
                <w:rFonts w:cs="Arial"/>
                <w:b/>
                <w:szCs w:val="22"/>
              </w:rPr>
              <w:t>12)</w:t>
            </w:r>
            <w:r w:rsidRPr="008836D2">
              <w:rPr>
                <w:rFonts w:cs="Arial"/>
                <w:szCs w:val="22"/>
              </w:rPr>
              <w:t xml:space="preserve"> Modifícase el inciso tercero del artículo 179, de la siguiente forma:</w:t>
            </w:r>
          </w:p>
          <w:p w:rsidR="008836D2" w:rsidRPr="00812D11" w:rsidRDefault="008836D2" w:rsidP="00812D11">
            <w:pPr>
              <w:contextualSpacing/>
              <w:rPr>
                <w:rFonts w:cs="Arial"/>
                <w:szCs w:val="22"/>
              </w:rPr>
            </w:pPr>
          </w:p>
          <w:p w:rsidR="00812D11" w:rsidRPr="00812D11" w:rsidRDefault="00812D11" w:rsidP="00812D11">
            <w:pPr>
              <w:contextualSpacing/>
              <w:rPr>
                <w:rFonts w:cs="Arial"/>
                <w:szCs w:val="22"/>
              </w:rPr>
            </w:pPr>
            <w:r w:rsidRPr="00812D11">
              <w:rPr>
                <w:rFonts w:cs="Arial"/>
                <w:szCs w:val="22"/>
              </w:rPr>
              <w:t>a) Reemplázase la expresión “el 2%” por “el 1,5%”.</w:t>
            </w:r>
          </w:p>
          <w:p w:rsidR="00812D11" w:rsidRPr="00812D11" w:rsidRDefault="00812D11" w:rsidP="00812D11">
            <w:pPr>
              <w:contextualSpacing/>
              <w:rPr>
                <w:rFonts w:cs="Arial"/>
                <w:szCs w:val="22"/>
              </w:rPr>
            </w:pPr>
          </w:p>
          <w:p w:rsidR="00812D11" w:rsidRDefault="00812D11" w:rsidP="00812D11">
            <w:pPr>
              <w:contextualSpacing/>
              <w:rPr>
                <w:rFonts w:cs="Arial"/>
                <w:szCs w:val="22"/>
              </w:rPr>
            </w:pPr>
          </w:p>
          <w:p w:rsidR="00812D11" w:rsidRPr="00812D11" w:rsidRDefault="00812D11" w:rsidP="00812D11">
            <w:pPr>
              <w:contextualSpacing/>
              <w:rPr>
                <w:rFonts w:cs="Arial"/>
                <w:szCs w:val="22"/>
              </w:rPr>
            </w:pPr>
            <w:r w:rsidRPr="00812D11">
              <w:rPr>
                <w:rFonts w:cs="Arial"/>
                <w:szCs w:val="22"/>
              </w:rPr>
              <w:t>b) Elimínase la frase “con exclusión de aquellos que eran susceptibles de ser retirados como excedente de libre disposición,”.</w:t>
            </w:r>
          </w:p>
          <w:p w:rsidR="00812D11" w:rsidRPr="00812D11" w:rsidRDefault="00812D11" w:rsidP="00812D11">
            <w:pPr>
              <w:contextualSpacing/>
              <w:rPr>
                <w:rFonts w:cs="Arial"/>
                <w:szCs w:val="22"/>
              </w:rPr>
            </w:pPr>
          </w:p>
          <w:p w:rsidR="00812D11" w:rsidRPr="00812D11" w:rsidRDefault="00812D11" w:rsidP="00812D11">
            <w:pPr>
              <w:contextualSpacing/>
              <w:rPr>
                <w:rFonts w:cs="Arial"/>
                <w:szCs w:val="22"/>
              </w:rPr>
            </w:pPr>
            <w:r w:rsidRPr="00812D11">
              <w:rPr>
                <w:rFonts w:cs="Arial"/>
                <w:szCs w:val="22"/>
              </w:rPr>
              <w:t>c) Sustitúyese la expresión “UF” por “unidades de fomento”.</w:t>
            </w:r>
          </w:p>
          <w:p w:rsidR="00812D11" w:rsidRPr="00812D11" w:rsidRDefault="00812D11" w:rsidP="00812D11">
            <w:pPr>
              <w:contextualSpacing/>
              <w:rPr>
                <w:rFonts w:cs="Arial"/>
                <w:szCs w:val="22"/>
              </w:rPr>
            </w:pPr>
          </w:p>
          <w:p w:rsidR="0045036E" w:rsidRPr="001C20E4" w:rsidRDefault="0045036E">
            <w:pPr>
              <w:contextualSpacing/>
              <w:rPr>
                <w:rFonts w:cs="Arial"/>
                <w:szCs w:val="22"/>
              </w:rPr>
            </w:pPr>
          </w:p>
        </w:tc>
        <w:tc>
          <w:tcPr>
            <w:tcW w:w="1674" w:type="pct"/>
          </w:tcPr>
          <w:p w:rsidR="0045036E" w:rsidRDefault="0045036E"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Default="001F016D" w:rsidP="00764AF6">
            <w:pPr>
              <w:tabs>
                <w:tab w:val="clear" w:pos="2835"/>
              </w:tabs>
              <w:rPr>
                <w:rFonts w:cs="Arial"/>
                <w:szCs w:val="22"/>
              </w:rPr>
            </w:pPr>
          </w:p>
          <w:p w:rsidR="001F016D" w:rsidRPr="001F016D" w:rsidRDefault="001F016D" w:rsidP="001F016D">
            <w:pPr>
              <w:tabs>
                <w:tab w:val="clear" w:pos="2835"/>
              </w:tabs>
              <w:jc w:val="center"/>
              <w:rPr>
                <w:rFonts w:cs="Arial"/>
                <w:b/>
                <w:szCs w:val="22"/>
                <w:u w:val="single"/>
                <w:lang w:val="es-ES_tradnl"/>
              </w:rPr>
            </w:pPr>
            <w:r w:rsidRPr="001F016D">
              <w:rPr>
                <w:rFonts w:cs="Arial"/>
                <w:b/>
                <w:szCs w:val="22"/>
                <w:u w:val="single"/>
                <w:lang w:val="es-ES_tradnl"/>
              </w:rPr>
              <w:t>Numerales 11, 12 y 13</w:t>
            </w:r>
          </w:p>
          <w:p w:rsidR="001F016D" w:rsidRPr="001F016D" w:rsidRDefault="001F016D" w:rsidP="001F016D">
            <w:pPr>
              <w:tabs>
                <w:tab w:val="clear" w:pos="2835"/>
              </w:tabs>
              <w:rPr>
                <w:rFonts w:cs="Arial"/>
                <w:b/>
                <w:szCs w:val="22"/>
                <w:u w:val="single"/>
                <w:lang w:val="es-ES_tradnl"/>
              </w:rPr>
            </w:pPr>
          </w:p>
          <w:p w:rsidR="001F016D" w:rsidRPr="001F016D" w:rsidRDefault="001F016D" w:rsidP="001F016D">
            <w:pPr>
              <w:tabs>
                <w:tab w:val="clear" w:pos="2835"/>
              </w:tabs>
              <w:rPr>
                <w:rFonts w:cs="Arial"/>
                <w:szCs w:val="22"/>
                <w:lang w:val="es-ES_tradnl"/>
              </w:rPr>
            </w:pPr>
            <w:r w:rsidRPr="001F016D">
              <w:rPr>
                <w:rFonts w:cs="Arial"/>
                <w:szCs w:val="22"/>
                <w:lang w:val="es-ES_tradnl"/>
              </w:rPr>
              <w:t>Han pasado a ser numerales 10, 11 y 12, respectivamente, sin enmiendas.</w:t>
            </w:r>
          </w:p>
          <w:p w:rsidR="001F016D" w:rsidRPr="001F016D" w:rsidRDefault="001F016D" w:rsidP="001F016D">
            <w:pPr>
              <w:tabs>
                <w:tab w:val="clear" w:pos="2835"/>
              </w:tabs>
              <w:rPr>
                <w:rFonts w:cs="Arial"/>
                <w:szCs w:val="22"/>
                <w:lang w:val="es-ES_tradnl"/>
              </w:rPr>
            </w:pPr>
          </w:p>
          <w:p w:rsidR="001F016D" w:rsidRPr="001C20E4" w:rsidRDefault="001F016D" w:rsidP="00764AF6">
            <w:pPr>
              <w:tabs>
                <w:tab w:val="clear" w:pos="2835"/>
              </w:tabs>
              <w:rPr>
                <w:rFonts w:cs="Arial"/>
                <w:szCs w:val="22"/>
              </w:rPr>
            </w:pPr>
          </w:p>
        </w:tc>
      </w:tr>
      <w:tr w:rsidR="00096CE0" w:rsidRPr="001C20E4" w:rsidTr="00096CE0">
        <w:trPr>
          <w:trHeight w:val="315"/>
          <w:jc w:val="center"/>
        </w:trPr>
        <w:tc>
          <w:tcPr>
            <w:tcW w:w="1661" w:type="pct"/>
          </w:tcPr>
          <w:p w:rsidR="0045036E" w:rsidRDefault="0045036E" w:rsidP="008E203D">
            <w:pPr>
              <w:widowControl w:val="0"/>
              <w:tabs>
                <w:tab w:val="clear" w:pos="2835"/>
              </w:tabs>
              <w:autoSpaceDE w:val="0"/>
              <w:autoSpaceDN w:val="0"/>
              <w:adjustRightInd w:val="0"/>
              <w:jc w:val="center"/>
              <w:rPr>
                <w:rFonts w:eastAsiaTheme="minorEastAsia" w:cs="Arial"/>
                <w:szCs w:val="22"/>
                <w:lang w:val="es-ES_tradnl" w:eastAsia="es-CL"/>
              </w:rPr>
            </w:pPr>
          </w:p>
          <w:p w:rsidR="001F016D" w:rsidRDefault="001F016D" w:rsidP="008E203D">
            <w:pPr>
              <w:widowControl w:val="0"/>
              <w:tabs>
                <w:tab w:val="clear" w:pos="2835"/>
              </w:tabs>
              <w:autoSpaceDE w:val="0"/>
              <w:autoSpaceDN w:val="0"/>
              <w:adjustRightInd w:val="0"/>
              <w:jc w:val="center"/>
              <w:rPr>
                <w:rFonts w:eastAsiaTheme="minorEastAsia" w:cs="Arial"/>
                <w:szCs w:val="22"/>
                <w:lang w:val="es-ES_tradnl" w:eastAsia="es-CL"/>
              </w:rPr>
            </w:pPr>
          </w:p>
          <w:p w:rsidR="001F016D" w:rsidRPr="001C20E4" w:rsidRDefault="001F016D" w:rsidP="008E203D">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jc w:val="center"/>
              <w:rPr>
                <w:rFonts w:eastAsiaTheme="minorEastAsia" w:cs="Arial"/>
                <w:szCs w:val="22"/>
                <w:lang w:val="es-ES_tradnl" w:eastAsia="es-CL"/>
              </w:rPr>
            </w:pPr>
            <w:r w:rsidRPr="001C20E4">
              <w:rPr>
                <w:rFonts w:eastAsiaTheme="minorEastAsia" w:cs="Arial"/>
                <w:szCs w:val="22"/>
                <w:lang w:val="es-ES_tradnl" w:eastAsia="es-CL"/>
              </w:rPr>
              <w:t>4. Otras Disposiciones.</w:t>
            </w: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226CCF" w:rsidRDefault="0045036E" w:rsidP="008E203D">
            <w:pPr>
              <w:widowControl w:val="0"/>
              <w:tabs>
                <w:tab w:val="clear" w:pos="2835"/>
              </w:tabs>
              <w:autoSpaceDE w:val="0"/>
              <w:autoSpaceDN w:val="0"/>
              <w:adjustRightInd w:val="0"/>
              <w:rPr>
                <w:rFonts w:eastAsiaTheme="minorEastAsia" w:cs="Arial"/>
                <w:szCs w:val="22"/>
                <w:u w:val="single"/>
                <w:lang w:val="es-ES_tradnl" w:eastAsia="es-CL"/>
              </w:rPr>
            </w:pPr>
            <w:r w:rsidRPr="00226CCF">
              <w:rPr>
                <w:rFonts w:eastAsiaTheme="minorEastAsia" w:cs="Arial"/>
                <w:szCs w:val="22"/>
                <w:u w:val="single"/>
                <w:lang w:val="es-ES_tradnl" w:eastAsia="es-CL"/>
              </w:rPr>
              <w:t>Artículo 180.- Ninguna persona natural o jurídica que no se encontrare inscrita en el registro a que se refiere el artículo 172, podrá arrogarse la calidad de asesor previsional, siendo aplicables en lo que corresponda, los incisos segundo y siguientes del artículo 25 de esta ley.</w:t>
            </w: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p w:rsidR="00652B96" w:rsidRDefault="0045036E" w:rsidP="008E203D">
            <w:pPr>
              <w:widowControl w:val="0"/>
              <w:tabs>
                <w:tab w:val="clear" w:pos="2835"/>
              </w:tabs>
              <w:autoSpaceDE w:val="0"/>
              <w:autoSpaceDN w:val="0"/>
              <w:adjustRightInd w:val="0"/>
              <w:rPr>
                <w:rFonts w:eastAsiaTheme="minorEastAsia" w:cs="Arial"/>
                <w:szCs w:val="22"/>
                <w:lang w:val="es-ES_tradnl" w:eastAsia="es-CL"/>
              </w:rPr>
            </w:pPr>
            <w:r w:rsidRPr="001C20E4">
              <w:rPr>
                <w:rFonts w:eastAsiaTheme="minorEastAsia" w:cs="Arial"/>
                <w:szCs w:val="22"/>
                <w:lang w:val="es-ES_tradnl" w:eastAsia="es-CL"/>
              </w:rPr>
              <w:t>Se reserva el uso de la denominación "Entidad de Asesoría Previsional" y de "Asesor Previsional" para las personas jurídicas y naturales a que se refiere el número dos de este Título.</w:t>
            </w:r>
          </w:p>
          <w:p w:rsidR="00652B96" w:rsidRDefault="00652B96" w:rsidP="008E203D">
            <w:pPr>
              <w:widowControl w:val="0"/>
              <w:tabs>
                <w:tab w:val="clear" w:pos="2835"/>
              </w:tabs>
              <w:autoSpaceDE w:val="0"/>
              <w:autoSpaceDN w:val="0"/>
              <w:adjustRightInd w:val="0"/>
              <w:rPr>
                <w:rFonts w:eastAsiaTheme="minorEastAsia" w:cs="Arial"/>
                <w:szCs w:val="22"/>
                <w:lang w:val="es-ES_tradnl" w:eastAsia="es-CL"/>
              </w:rPr>
            </w:pPr>
          </w:p>
          <w:p w:rsidR="00D16F63" w:rsidRPr="001C20E4" w:rsidRDefault="00D16F63" w:rsidP="008E203D">
            <w:pPr>
              <w:widowControl w:val="0"/>
              <w:tabs>
                <w:tab w:val="clear" w:pos="2835"/>
              </w:tabs>
              <w:autoSpaceDE w:val="0"/>
              <w:autoSpaceDN w:val="0"/>
              <w:adjustRightInd w:val="0"/>
              <w:rPr>
                <w:rFonts w:eastAsiaTheme="minorEastAsia" w:cs="Arial"/>
                <w:szCs w:val="22"/>
                <w:lang w:val="es-ES_tradnl" w:eastAsia="es-CL"/>
              </w:rPr>
            </w:pPr>
          </w:p>
          <w:p w:rsidR="0045036E" w:rsidRPr="001C20E4" w:rsidRDefault="0045036E" w:rsidP="008E203D">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1F016D" w:rsidRDefault="001F016D" w:rsidP="00226CCF">
            <w:pPr>
              <w:rPr>
                <w:rFonts w:cs="Arial"/>
                <w:b/>
                <w:szCs w:val="22"/>
              </w:rPr>
            </w:pPr>
          </w:p>
          <w:p w:rsidR="001F016D" w:rsidRDefault="001F016D" w:rsidP="00226CCF">
            <w:pPr>
              <w:rPr>
                <w:rFonts w:cs="Arial"/>
                <w:b/>
                <w:szCs w:val="22"/>
              </w:rPr>
            </w:pPr>
          </w:p>
          <w:p w:rsidR="00226CCF" w:rsidRPr="00226CCF" w:rsidRDefault="00226CCF" w:rsidP="00226CCF">
            <w:pPr>
              <w:rPr>
                <w:rFonts w:cs="Arial"/>
                <w:szCs w:val="22"/>
              </w:rPr>
            </w:pPr>
            <w:r w:rsidRPr="001F016D">
              <w:rPr>
                <w:rFonts w:cs="Arial"/>
                <w:b/>
                <w:szCs w:val="22"/>
              </w:rPr>
              <w:t>13)</w:t>
            </w:r>
            <w:r w:rsidRPr="00226CCF">
              <w:rPr>
                <w:rFonts w:cs="Arial"/>
                <w:szCs w:val="22"/>
              </w:rPr>
              <w:t xml:space="preserve"> Reemplázase el inciso primero del artículo 180, por el siguiente:</w:t>
            </w:r>
          </w:p>
          <w:p w:rsidR="00226CCF" w:rsidRPr="00226CCF" w:rsidRDefault="00226CCF" w:rsidP="00226CCF">
            <w:pPr>
              <w:rPr>
                <w:rFonts w:cs="Arial"/>
                <w:szCs w:val="22"/>
              </w:rPr>
            </w:pPr>
          </w:p>
          <w:p w:rsidR="00226CCF" w:rsidRPr="00226CCF" w:rsidRDefault="00226CCF" w:rsidP="00226CCF">
            <w:pPr>
              <w:rPr>
                <w:rFonts w:cs="Arial"/>
                <w:szCs w:val="22"/>
              </w:rPr>
            </w:pPr>
            <w:r w:rsidRPr="00226CCF">
              <w:rPr>
                <w:rFonts w:cs="Arial"/>
                <w:szCs w:val="22"/>
              </w:rPr>
              <w:t>“Artículo 180.- Ninguna persona natural o jurídica que no se encontrare inscrita en el Registro a que se refiere el artículo 172 podrá arrogarse la calidad de Entidad de Asesoría Previsional o de Asesor Previsional. Podrán ser sancionados con multas de 20 hasta 200 unidades tributarias mensuales quienes actuaren como Entidad de Asesoría Previsional o como Asesores Previsionales sin estar inscritos en el citado registro, o cuya inscripción hubiere sido suspendida o eliminada, y los que a sabiendas les faciliten los medios para hacerlo.  De la aplicación de estas multas, podrá reclamarse en la forma establecida en el número 8 del artículo 94. Asimismo, les serán aplicables, en lo que corresponda, los incisos segundo, cuarto, quinto, sexto y final del artículo 25.”.</w:t>
            </w:r>
          </w:p>
          <w:p w:rsidR="0045036E" w:rsidRPr="001C20E4" w:rsidRDefault="0045036E" w:rsidP="00ED20D0">
            <w:pPr>
              <w:rPr>
                <w:rFonts w:cs="Arial"/>
                <w:szCs w:val="22"/>
              </w:rPr>
            </w:pPr>
          </w:p>
        </w:tc>
        <w:tc>
          <w:tcPr>
            <w:tcW w:w="1674" w:type="pct"/>
          </w:tcPr>
          <w:p w:rsidR="001F016D" w:rsidRPr="001F016D" w:rsidRDefault="001F016D" w:rsidP="001F016D">
            <w:pPr>
              <w:tabs>
                <w:tab w:val="clear" w:pos="2835"/>
              </w:tabs>
              <w:jc w:val="center"/>
              <w:rPr>
                <w:rFonts w:cs="Arial"/>
                <w:b/>
                <w:szCs w:val="22"/>
                <w:u w:val="single"/>
                <w:lang w:val="es-ES_tradnl"/>
              </w:rPr>
            </w:pPr>
            <w:r w:rsidRPr="001F016D">
              <w:rPr>
                <w:rFonts w:cs="Arial"/>
                <w:b/>
                <w:szCs w:val="22"/>
                <w:u w:val="single"/>
                <w:lang w:val="es-ES_tradnl"/>
              </w:rPr>
              <w:t>Numerales 11, 12 y 13</w:t>
            </w:r>
          </w:p>
          <w:p w:rsidR="001F016D" w:rsidRPr="001F016D" w:rsidRDefault="001F016D" w:rsidP="001F016D">
            <w:pPr>
              <w:tabs>
                <w:tab w:val="clear" w:pos="2835"/>
              </w:tabs>
              <w:rPr>
                <w:rFonts w:cs="Arial"/>
                <w:b/>
                <w:szCs w:val="22"/>
                <w:u w:val="single"/>
                <w:lang w:val="es-ES_tradnl"/>
              </w:rPr>
            </w:pPr>
          </w:p>
          <w:p w:rsidR="001F016D" w:rsidRPr="001F016D" w:rsidRDefault="001F016D" w:rsidP="001F016D">
            <w:pPr>
              <w:tabs>
                <w:tab w:val="clear" w:pos="2835"/>
              </w:tabs>
              <w:rPr>
                <w:rFonts w:cs="Arial"/>
                <w:szCs w:val="22"/>
                <w:lang w:val="es-ES_tradnl"/>
              </w:rPr>
            </w:pPr>
            <w:r w:rsidRPr="001F016D">
              <w:rPr>
                <w:rFonts w:cs="Arial"/>
                <w:szCs w:val="22"/>
                <w:lang w:val="es-ES_tradnl"/>
              </w:rPr>
              <w:t>Han pasado a ser numerales 10, 11 y 12, respectivamente, sin enmiendas.</w:t>
            </w:r>
          </w:p>
          <w:p w:rsidR="001F016D" w:rsidRPr="001F016D" w:rsidRDefault="001F016D" w:rsidP="001F016D">
            <w:pPr>
              <w:tabs>
                <w:tab w:val="clear" w:pos="2835"/>
              </w:tabs>
              <w:rPr>
                <w:rFonts w:cs="Arial"/>
                <w:szCs w:val="22"/>
                <w:lang w:val="es-ES_tradnl"/>
              </w:rPr>
            </w:pPr>
          </w:p>
          <w:p w:rsidR="0045036E" w:rsidRPr="001C20E4" w:rsidRDefault="0045036E" w:rsidP="00764AF6">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rsidP="005C21A2">
            <w:pPr>
              <w:widowControl w:val="0"/>
              <w:tabs>
                <w:tab w:val="clear" w:pos="2835"/>
              </w:tabs>
              <w:autoSpaceDE w:val="0"/>
              <w:autoSpaceDN w:val="0"/>
              <w:adjustRightInd w:val="0"/>
              <w:jc w:val="center"/>
              <w:rPr>
                <w:rFonts w:eastAsiaTheme="minorEastAsia" w:cs="Arial"/>
                <w:szCs w:val="22"/>
                <w:lang w:val="es-ES_tradnl" w:eastAsia="es-CL"/>
              </w:rPr>
            </w:pPr>
          </w:p>
          <w:p w:rsidR="0045036E" w:rsidRPr="001C20E4" w:rsidRDefault="0045036E" w:rsidP="005C21A2">
            <w:pPr>
              <w:widowControl w:val="0"/>
              <w:tabs>
                <w:tab w:val="clear" w:pos="2835"/>
              </w:tabs>
              <w:autoSpaceDE w:val="0"/>
              <w:autoSpaceDN w:val="0"/>
              <w:adjustRightInd w:val="0"/>
              <w:jc w:val="center"/>
              <w:rPr>
                <w:rFonts w:eastAsiaTheme="minorEastAsia" w:cs="Arial"/>
                <w:b/>
                <w:szCs w:val="22"/>
                <w:lang w:val="es-ES_tradnl" w:eastAsia="es-CL"/>
              </w:rPr>
            </w:pPr>
            <w:r w:rsidRPr="001C20E4">
              <w:rPr>
                <w:rFonts w:eastAsiaTheme="minorEastAsia" w:cs="Arial"/>
                <w:b/>
                <w:szCs w:val="22"/>
                <w:lang w:val="es-ES_tradnl" w:eastAsia="es-CL"/>
              </w:rPr>
              <w:t>DECRETO CON FUERZA DE LEY N° 251</w:t>
            </w:r>
          </w:p>
          <w:p w:rsidR="0045036E" w:rsidRPr="001C20E4" w:rsidRDefault="0045036E" w:rsidP="005C21A2">
            <w:pPr>
              <w:jc w:val="center"/>
              <w:rPr>
                <w:rFonts w:eastAsiaTheme="minorEastAsia"/>
                <w:b/>
              </w:rPr>
            </w:pPr>
            <w:r w:rsidRPr="001C20E4">
              <w:rPr>
                <w:rFonts w:eastAsiaTheme="minorEastAsia"/>
                <w:b/>
              </w:rPr>
              <w:t>COMPAÑIAS DE SEGUROS, SOCIEDADES ANONIMAS Y BOLSAS DE</w:t>
            </w:r>
          </w:p>
          <w:p w:rsidR="0045036E" w:rsidRPr="001C20E4" w:rsidRDefault="0045036E" w:rsidP="005C21A2">
            <w:pPr>
              <w:jc w:val="center"/>
              <w:rPr>
                <w:rFonts w:eastAsiaTheme="minorEastAsia"/>
                <w:b/>
              </w:rPr>
            </w:pPr>
            <w:r w:rsidRPr="001C20E4">
              <w:rPr>
                <w:rFonts w:eastAsiaTheme="minorEastAsia"/>
                <w:b/>
              </w:rPr>
              <w:t>COMERCIO</w:t>
            </w:r>
          </w:p>
          <w:p w:rsidR="0045036E" w:rsidRPr="001C20E4" w:rsidRDefault="0045036E" w:rsidP="00B3092B">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FE44A2" w:rsidRPr="00FE44A2" w:rsidRDefault="00FE44A2" w:rsidP="00FE44A2">
            <w:pPr>
              <w:contextualSpacing/>
              <w:rPr>
                <w:rFonts w:cs="Arial"/>
                <w:szCs w:val="22"/>
              </w:rPr>
            </w:pPr>
            <w:r w:rsidRPr="00FE44A2">
              <w:rPr>
                <w:rFonts w:cs="Arial"/>
                <w:szCs w:val="22"/>
              </w:rPr>
              <w:t>Artículo 5°.- Introdúcense las siguientes modificaciones en el decreto con fuerza de ley N° 251, del Ministerio de Hacienda, de 1931, sobre Compañías de Seguros, Sociedades Anónimas y Bolsas de Comercio:</w:t>
            </w:r>
          </w:p>
          <w:p w:rsidR="00FE44A2" w:rsidRPr="00FE44A2" w:rsidRDefault="00FE44A2" w:rsidP="00FE44A2">
            <w:pPr>
              <w:contextualSpacing/>
              <w:rPr>
                <w:rFonts w:cs="Arial"/>
                <w:szCs w:val="22"/>
              </w:rPr>
            </w:pPr>
          </w:p>
          <w:p w:rsidR="0045036E" w:rsidRPr="001C20E4" w:rsidRDefault="0045036E">
            <w:pPr>
              <w:contextualSpacing/>
              <w:rPr>
                <w:rFonts w:cs="Arial"/>
                <w:szCs w:val="22"/>
              </w:rPr>
            </w:pPr>
          </w:p>
        </w:tc>
        <w:tc>
          <w:tcPr>
            <w:tcW w:w="1674" w:type="pct"/>
          </w:tcPr>
          <w:p w:rsidR="00AB2054" w:rsidRPr="00AB2054" w:rsidRDefault="00AB2054" w:rsidP="00AB2054">
            <w:pPr>
              <w:tabs>
                <w:tab w:val="clear" w:pos="2835"/>
              </w:tabs>
              <w:jc w:val="center"/>
              <w:rPr>
                <w:rFonts w:cs="Arial"/>
                <w:b/>
                <w:szCs w:val="22"/>
                <w:u w:val="single"/>
                <w:lang w:val="es-ES_tradnl"/>
              </w:rPr>
            </w:pPr>
            <w:r w:rsidRPr="00AB2054">
              <w:rPr>
                <w:rFonts w:cs="Arial"/>
                <w:b/>
                <w:szCs w:val="22"/>
                <w:u w:val="single"/>
                <w:lang w:val="es-ES_tradnl"/>
              </w:rPr>
              <w:t>AL ARTÍCULO 5</w:t>
            </w:r>
          </w:p>
          <w:p w:rsidR="0045036E" w:rsidRPr="001C20E4" w:rsidRDefault="0045036E" w:rsidP="00AB2054">
            <w:pPr>
              <w:tabs>
                <w:tab w:val="clear" w:pos="2835"/>
              </w:tabs>
              <w:jc w:val="center"/>
              <w:rPr>
                <w:rFonts w:cs="Arial"/>
                <w:szCs w:val="22"/>
              </w:rPr>
            </w:pPr>
          </w:p>
        </w:tc>
      </w:tr>
      <w:tr w:rsidR="00AB2054" w:rsidRPr="001C20E4" w:rsidTr="00096CE0">
        <w:trPr>
          <w:trHeight w:val="315"/>
          <w:jc w:val="center"/>
        </w:trPr>
        <w:tc>
          <w:tcPr>
            <w:tcW w:w="1661" w:type="pct"/>
          </w:tcPr>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652B96" w:rsidRPr="00953D4D" w:rsidRDefault="00652B96"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Art. 12. La Superintendencia, sujetándose a la ley N° 19.628, al reglamento y a la demás normativa aplicable, entregará la información sobre los seguros a quienes acrediten tener la calidad de asegurados. En caso de incapacidad judicialmente declarada o muerte de un asegurado, se entregará dicha información a quienes acrediten tener la calidad de cónyuge, hijos, padres, beneficiarios u otros legítimos interesados.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En caso de consulta debidamente notificada por la Superintendencia a las aseguradoras, éstas tendrán la obligación de proporcionar a la Superintendencia la información que se indica en el inciso siguiente.</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El contenido específico de la información que deben proporcionar las aseguradoras será determinado por el reglamento. Las características asociadas a esa información, tales como el formato, medios de envío, plazos y otros, serán determinadas por las instrucciones o normas de carácter general que imparta la Superintendencia. La información señalada contendrá al menos la indicación de las compañías aseguradoras contratantes, la vigencia y el tipo de seguro, de acuerdo al código en el Depósito de Pólizas respectivo, estando prohibido, en su caso, informar antecedentes relacionados con la identidad del beneficiario o las condiciones establecidas para ello en el seguro. Dicha información deberá proporcionarse mientras las obligaciones de la compañía estén vigentes.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La Superintendencia deberá resguardar el carácter privado de la información suministrada y deberá eliminar de sus bases de datos antes de transcurridos 60 días desde su recepción la información recibida por parte de las aseguradoras en virtud de lo establecido en este artículo.</w:t>
            </w:r>
          </w:p>
          <w:p w:rsidR="00AB2054" w:rsidRDefault="00AB2054"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45034" w:rsidRDefault="00845034"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45034" w:rsidRPr="00953D4D" w:rsidRDefault="00845034"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Artículo 40.- Los bancos, cooperativas, agentes administradores de mutuos hipotecarios endosables, cajas de compensación de asignación familiar, y cualquier otra entidad que tenga dentro de su giro otorgar créditos hipotecarios, en adelante entidades crediticias, que en virtud de operaciones hipotecarias con personas naturales contraten seguros de desgravamen por muerte o invalidez e incendio y coberturas complementarias tales como sismo y salida de mar, por cuenta y cargo de sus clientes, con el objeto de proteger los bienes dados en garantía o el pago de la deuda frente a determinados eventos que afecten al deudor, deberán cumplir con las siguientes normas, en el proceso de licitación del que trata este artículo:</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1. Los seguros deberán ser contratados en forma colectiva por la entidad crediticia, para sus deudores, por medio de licitación pública con bases preestablecidas. En dicha licitación se recibirán y darán a conocer las ofertas públicamente en un solo acto.</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652B96" w:rsidRDefault="00652B96"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652B96" w:rsidRDefault="00652B96"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45034" w:rsidRDefault="00845034"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45034" w:rsidRDefault="00845034"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45034" w:rsidRDefault="00845034"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45034" w:rsidRDefault="00845034"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845034" w:rsidRDefault="00845034"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652B96" w:rsidRDefault="00652B96"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lang w:val="es-CL" w:eastAsia="es-CL"/>
              </w:rPr>
              <w:t>   </w:t>
            </w:r>
            <w:r w:rsidRPr="00953D4D">
              <w:rPr>
                <w:rFonts w:cs="Arial"/>
                <w:szCs w:val="22"/>
                <w:u w:val="single"/>
                <w:lang w:val="es-CL" w:eastAsia="es-CL"/>
              </w:rPr>
              <w:t xml:space="preserve"> 2. Las compañías cuya menor clasificación de riesgo sea igual o inferior a BBB, no podrán participar en la licitación.</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3. Los seguros serán asignados por la entidad crediticia al oferente que presente el menor precio, incluyendo la comisión del corredor de seguros, si correspondiere, salvo que, después de iniciado el proceso de licitación y antes de su adjudicación, se hubiese deteriorado notoriamente la solvencia de ese oferente por un hecho sobreviniente. En tal caso, el directorio o máximo órgano directivo de la entidad crediticia, pública y fundadamente, previa calificación de ese hecho por una clasificadora de riesgo señalada previamente en las bases, podrá adjudicar la licitación al segundo menor precio.</w:t>
            </w:r>
          </w:p>
          <w:p w:rsidR="00652B96" w:rsidRDefault="00652B96"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lang w:val="es-CL" w:eastAsia="es-CL"/>
              </w:rPr>
              <w:t xml:space="preserve">    </w:t>
            </w:r>
            <w:r w:rsidRPr="00953D4D">
              <w:rPr>
                <w:rFonts w:cs="Arial"/>
                <w:szCs w:val="22"/>
                <w:u w:val="single"/>
                <w:lang w:val="es-CL" w:eastAsia="es-CL"/>
              </w:rPr>
              <w:t>La entidad crediticia podrá sustituir al corredor incluido en la oferta adjudicada, manteniendo la misma comisión de intermediación considerada en dicha oferta, siempre y cuando ello esté previsto en las bases.</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652B96"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652B96"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652B96">
              <w:rPr>
                <w:rFonts w:cs="Arial"/>
                <w:szCs w:val="22"/>
                <w:lang w:val="es-CL" w:eastAsia="es-CL"/>
              </w:rPr>
              <w:t xml:space="preserve">    4. Los seguros deberán convenirse exclusivamente sobre la base de una prima expresada como un porcentaje del monto asegurado de cada riesgo. La prima incluirá la comisión del corredor de seguros, si lo hubiere, </w:t>
            </w:r>
            <w:r w:rsidRPr="00652B96">
              <w:rPr>
                <w:rFonts w:cs="Arial"/>
                <w:szCs w:val="22"/>
                <w:u w:val="single"/>
                <w:lang w:val="es-CL" w:eastAsia="es-CL"/>
              </w:rPr>
              <w:t>la que se expresará sólo como un porcentaje de la prima</w:t>
            </w:r>
            <w:r w:rsidRPr="00652B96">
              <w:rPr>
                <w:rFonts w:cs="Arial"/>
                <w:szCs w:val="22"/>
                <w:lang w:val="es-CL" w:eastAsia="es-CL"/>
              </w:rPr>
              <w:t>.</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F47D2B" w:rsidRPr="00953D4D" w:rsidRDefault="00F47D2B"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2"/>
                <w:u w:val="single"/>
                <w:lang w:val="es-CL" w:eastAsia="es-CL"/>
              </w:rPr>
            </w:pPr>
            <w:r w:rsidRPr="00953D4D">
              <w:rPr>
                <w:rFonts w:cs="Arial"/>
                <w:szCs w:val="22"/>
                <w:lang w:val="es-CL" w:eastAsia="es-CL"/>
              </w:rPr>
              <w:t>    5. No podrán estipularse comisiones o pagos a favor de la entidad crediticia asociados a la contratación o gestión de estos seguros, a la cobranza de las primas, o por cualquier otro concepto, salvo el derecho del acreedor a pagarse de su crédito con la indemnización en caso de siniestro</w:t>
            </w:r>
            <w:r w:rsidRPr="00953D4D">
              <w:rPr>
                <w:rFonts w:cs="Arial"/>
                <w:b/>
                <w:szCs w:val="22"/>
                <w:u w:val="single"/>
                <w:lang w:val="es-CL" w:eastAsia="es-CL"/>
              </w:rPr>
              <w:t>.</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C6D0C" w:rsidRPr="00953D4D" w:rsidRDefault="004C6D0C"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6. Corresponderá al deudor asegurado cualquier suma que devuelva o reembolse el asegurador por mejor siniestralidad, volumen de primas, número de asegurados u otros conceptos análogos.</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7. Una norma conjunta, que dictarán las Superintendencias de Valores y Seguros y de Bancos e Instituciones Financieras, regulará el proceso de licitación y las condiciones mínimas que contemplarán las bases de licitación. Dicha norma podrá considerar, entre otros, los siguientes aspectos: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a. Coberturas de seguros a licitar.</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b. Duración de los contratos y coberturas.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c. Exigencias técnicas y patrimoniales de los corredores de seguros.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d. Información estadística agregada sobre la cartera a licitar que la entidad crediticia deberá entregar a los aseguradores para la realización de la oferta.</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e. Criterios de segmentación de la cartera a licitar.</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f. Servicios que se exigirán a las aseguradoras oferentes y a las corredoras de seguros.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g. Medidas que la entidad crediticia podrá establecer para el resguardo de su base de datos.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u w:val="single"/>
                <w:lang w:val="es-CL" w:eastAsia="es-CL"/>
              </w:rPr>
              <w:t>    h. Información mínima que la entidad crediticia deberá proporcionar a la aseguradora durante la vigencia del seguro.</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La citada norma regulará asimismo la información mínima que las entidades crediticias, corredores de seguros y aseguradoras deberán proporcionar a los deudores asegurados respecto a la cobertura del seguro contratado y a su operación en caso de siniestro, incluyendo los criterios y plazos que se considerarán para el traspaso al deudor de las indemnizaciones que le correspondan.</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Todo lo anterior es sin perjuicio del derecho de los deudores a contratar individual y directamente los seguros a que se refiere este artículo, con un asegurador de su elección. En todo caso, la entidad crediticia no podrá exigir al deudor coberturas o condiciones distintas a las contempladas en los seguros licitados, ni podrá aceptar una póliza individual con menores coberturas que las de los seguros licitados.</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xml:space="preserve">    Estas disposiciones también serán aplicables a seguros asociados a créditos hipotecarios otorgados a personas jurídicas, que presenten características similares a las operaciones de personas naturales de que trata este artículo, en cuanto a objeto y fines del crédito hipotecario, de acuerdo con lo que se establezca en la norma </w:t>
            </w:r>
            <w:r w:rsidRPr="00953D4D">
              <w:rPr>
                <w:rFonts w:cs="Arial"/>
                <w:szCs w:val="22"/>
                <w:u w:val="single"/>
                <w:lang w:val="es-CL" w:eastAsia="es-CL"/>
              </w:rPr>
              <w:t>conjunta</w:t>
            </w:r>
            <w:r w:rsidRPr="00953D4D">
              <w:rPr>
                <w:rFonts w:cs="Arial"/>
                <w:szCs w:val="22"/>
                <w:lang w:val="es-CL" w:eastAsia="es-CL"/>
              </w:rPr>
              <w:t xml:space="preserve"> antes señalada.</w:t>
            </w: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Sin perjuicio de lo previsto en la letra g., los aseguradores y corredores de seguros que se adjudiquen las licitaciones deberán mantener reserva sobre las bases de datos que reciban de las entidades de crédito en virtud de la letra h., salvo que dicha entidad los dispensare. Quien las divulgue o utilice en perjuicio de la entidad de crédito, deberá responder de los daños y perjuicios que provoque, no obstante las demás sanciones que dicha infracción amerite.</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r w:rsidRPr="00953D4D">
              <w:rPr>
                <w:rFonts w:cs="Arial"/>
                <w:szCs w:val="22"/>
                <w:lang w:val="es-CL" w:eastAsia="es-CL"/>
              </w:rPr>
              <w:t xml:space="preserve">    </w:t>
            </w:r>
            <w:r w:rsidRPr="00953D4D">
              <w:rPr>
                <w:rFonts w:cs="Arial"/>
                <w:szCs w:val="22"/>
                <w:u w:val="single"/>
                <w:lang w:val="es-CL" w:eastAsia="es-CL"/>
              </w:rPr>
              <w:t>La Superintendencia de Valores y Seguros establecerá, por norma de carácter general, las condiciones y coberturas mínimas que deberán contemplar los seguros asociados a los créditos hipotecarios a los que se refiere este artículo, tanto para aquellos contratados directamente por el deudor como para los contratados por la entidad crediticia por cuenta de éste. La citada norma deberá ser enviada en consulta a la Superintendencia de Bancos e Instituciones Financieras.</w:t>
            </w:r>
          </w:p>
          <w:p w:rsid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F47D2B" w:rsidRDefault="00F47D2B"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C6D0C" w:rsidRDefault="004C6D0C"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C6D0C" w:rsidRPr="00953D4D" w:rsidRDefault="004C6D0C"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953D4D" w:rsidRPr="00953D4D" w:rsidRDefault="00953D4D" w:rsidP="00953D4D">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953D4D">
              <w:rPr>
                <w:rFonts w:cs="Arial"/>
                <w:szCs w:val="22"/>
                <w:lang w:val="es-CL" w:eastAsia="es-CL"/>
              </w:rPr>
              <w:t>    Las disposiciones de este artículo resultarán también aplicables a los seguros que se deban contratar en virtud de los contratos de arrendamiento de vivienda con promesa de compraventa, celebrados por sociedades inmobiliarias en conformidad a lo dispuesto en la ley N° 19.281.</w:t>
            </w: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p w:rsidR="00953D4D" w:rsidRPr="00953D4D" w:rsidRDefault="00953D4D"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u w:val="single"/>
                <w:lang w:val="es-CL" w:eastAsia="es-CL"/>
              </w:rPr>
            </w:pPr>
          </w:p>
        </w:tc>
        <w:tc>
          <w:tcPr>
            <w:tcW w:w="1665" w:type="pct"/>
          </w:tcPr>
          <w:p w:rsidR="00AB2054" w:rsidRPr="00FE44A2" w:rsidRDefault="00AB2054" w:rsidP="00FE44A2">
            <w:pPr>
              <w:contextualSpacing/>
              <w:rPr>
                <w:rFonts w:cs="Arial"/>
                <w:szCs w:val="22"/>
              </w:rPr>
            </w:pPr>
          </w:p>
        </w:tc>
        <w:tc>
          <w:tcPr>
            <w:tcW w:w="1674" w:type="pct"/>
          </w:tcPr>
          <w:p w:rsidR="00AB2054" w:rsidRPr="00AB2054" w:rsidRDefault="00AB2054" w:rsidP="00AB2054">
            <w:pPr>
              <w:jc w:val="center"/>
              <w:rPr>
                <w:rFonts w:cs="Arial"/>
                <w:b/>
                <w:szCs w:val="22"/>
                <w:u w:val="single"/>
                <w:lang w:val="es-ES_tradnl"/>
              </w:rPr>
            </w:pPr>
            <w:r w:rsidRPr="00AB2054">
              <w:rPr>
                <w:rFonts w:cs="Arial"/>
                <w:b/>
                <w:szCs w:val="22"/>
                <w:u w:val="single"/>
                <w:lang w:val="es-ES_tradnl"/>
              </w:rPr>
              <w:t>Numerales 1 y 2 nuevos</w:t>
            </w:r>
          </w:p>
          <w:p w:rsidR="00AB2054" w:rsidRPr="00AB2054" w:rsidRDefault="00AB2054" w:rsidP="00AB2054">
            <w:pPr>
              <w:rPr>
                <w:rFonts w:cs="Arial"/>
                <w:b/>
                <w:szCs w:val="22"/>
                <w:u w:val="single"/>
                <w:lang w:val="es-ES_tradnl"/>
              </w:rPr>
            </w:pPr>
          </w:p>
          <w:p w:rsidR="00AB2054" w:rsidRDefault="00AB2054" w:rsidP="00AB2054">
            <w:pPr>
              <w:rPr>
                <w:rFonts w:cs="Arial"/>
                <w:szCs w:val="22"/>
                <w:lang w:val="es-ES_tradnl"/>
              </w:rPr>
            </w:pPr>
            <w:r w:rsidRPr="00AB2054">
              <w:rPr>
                <w:rFonts w:cs="Arial"/>
                <w:szCs w:val="22"/>
                <w:lang w:val="es-ES_tradnl"/>
              </w:rPr>
              <w:t>Ha agregado los siguientes numerales 1 y 2, nuevos:</w:t>
            </w:r>
          </w:p>
          <w:p w:rsidR="00AB2054" w:rsidRPr="00AB2054" w:rsidRDefault="00AB2054"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“1) Reemplázase el artículo 12 por el siguiente:</w:t>
            </w:r>
          </w:p>
          <w:p w:rsidR="00AB2054" w:rsidRPr="00AB2054" w:rsidRDefault="00AB2054"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“Artículo 12.- Créase un sistema de consulta de seguros, digital, interconectado en tiempo real y automático, de acceso remoto y gratuito, que será administrado por la Comisión para el Mercado Financiero y que se regirá por las disposiciones de esta ley y la normativa que se dicte para su implem-entación. Dicho sistema entregará información sobre los contratos de seguros a quienes tengan la calidad de contratante o asegurado en ellos y, en caso de fallecimiento o incapacidad judicialmente declarada, a quien demuestre un interés legítimo en acceder a dicha información. En este último caso, se entenderá que tienen interés legítimo quienes acrediten tener la calidad de cónyuge, hijos, padres o la calidad de herederos de dicho contratante o asegurado. La Comisión para el Mercado Financiero establecerá mediante norma de carácter general, los mecanismos de autenticación necesarios para asegurar la identidad de quienes accedan a la información.</w:t>
            </w:r>
          </w:p>
          <w:p w:rsidR="00AB2054" w:rsidRPr="00AB2054" w:rsidRDefault="00AB2054"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Las compañías de seguros deberán mantener bases de datos actualizadas con información de las pólizas respecto de las cuales mantengan obligaciones vigentes, y deberán proporcionar a la Comisión para el Mercado Financiero la información necesaria para la operación del mencionado sistema de consulta.</w:t>
            </w:r>
          </w:p>
          <w:p w:rsidR="00AB2054" w:rsidRPr="00AB2054" w:rsidRDefault="00AB2054"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El contenido específico de la información señalada en el inciso anterior, su formato de envío, periodicidad, interconexión o medios de envío y otros aspectos necesarios para el funcionamiento del sistema de consulta de seguros serán determinados por una norma de carácter general que dicte la Comisión para el Mercado Financiero. La información señalada contendrá al menos la indicación de las compañías aseguradoras contratantes; del intermediario, en caso que corresponda; del contratante o asegurado, la indicación de la vigencia y el tipo de seguro de que se trata, de acuerdo al código en el Depósito de Pólizas respectivo, estando prohibido, en su caso, informar antecedentes relacionados con la identidad del beneficiario o las condiciones establecidas para ello en el seguro. Dicha información deberá proporcionarse mientras las obligaciones de la compañía estén vigentes.</w:t>
            </w:r>
          </w:p>
          <w:p w:rsidR="00AB2054" w:rsidRPr="00AB2054" w:rsidRDefault="00AB2054"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El sistema de consulta de seguros deberá permitir que, con el objeto de obtener nuevas ofertas de seguros, los contratantes o asegurados puedan otorgar su consentimiento para que la información relativa a sus contratos de seguros sea intercambiada entre las compañías de seguros. Para tales efectos, las compañías de seguros estarán obligadas a cumplir la solicitud del cliente, debiendo siempre respetar las disposiciones de la ley N° 19.628, sobre Protección de la Vida Privada. La Comisión establecerá los requisitos y condiciones con los cuales deberán cumplir las compañías de seguro con el objeto de facilitar dicho intercambio. Asimismo, una norma de carácter general determinará la forma en la que se entregará el consentimiento expreso de los asegurados para todos los efectos legales.</w:t>
            </w:r>
          </w:p>
          <w:p w:rsidR="00AB2054" w:rsidRPr="00AB2054" w:rsidRDefault="00AB205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Las compañías de seguros serán responsables por la veracidad e integridad de la información que proporcionen, y de su entrega oportuna. En caso de infracción, podrán ser sancionadas por la Comisión para el Mercado Financiero de conformidad a lo dispuesto en el decreto ley N° 3.538, de 1980, sin perjuicio de lo dispuesto en el artículo 49 de esta ley.”.</w:t>
            </w:r>
          </w:p>
          <w:p w:rsidR="00AB2054" w:rsidRDefault="00AB2054" w:rsidP="00AB2054">
            <w:pPr>
              <w:rPr>
                <w:rFonts w:cs="Arial"/>
                <w:szCs w:val="22"/>
                <w:lang w:val="es-ES_tradnl"/>
              </w:rPr>
            </w:pPr>
          </w:p>
          <w:p w:rsidR="00845034" w:rsidRDefault="00845034" w:rsidP="00AB2054">
            <w:pPr>
              <w:rPr>
                <w:rFonts w:cs="Arial"/>
                <w:szCs w:val="22"/>
                <w:lang w:val="es-ES_tradnl"/>
              </w:rPr>
            </w:pPr>
          </w:p>
          <w:p w:rsidR="00845034" w:rsidRDefault="00845034" w:rsidP="00AB2054">
            <w:pPr>
              <w:rPr>
                <w:rFonts w:cs="Arial"/>
                <w:szCs w:val="22"/>
                <w:lang w:val="es-ES_tradnl"/>
              </w:rPr>
            </w:pPr>
          </w:p>
          <w:p w:rsidR="00845034" w:rsidRDefault="00845034" w:rsidP="00AB2054">
            <w:pPr>
              <w:rPr>
                <w:rFonts w:cs="Arial"/>
                <w:szCs w:val="22"/>
                <w:lang w:val="es-ES_tradnl"/>
              </w:rPr>
            </w:pPr>
          </w:p>
          <w:p w:rsidR="00AB2054" w:rsidRPr="00AB2054" w:rsidRDefault="00AB205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2) Modifícase el artículo 40 en el siguiente sentido:</w:t>
            </w:r>
          </w:p>
          <w:p w:rsidR="00AB2054" w:rsidRPr="00AB2054" w:rsidRDefault="00AB205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a) En su inciso primero:</w:t>
            </w:r>
          </w:p>
          <w:p w:rsidR="00AB2054" w:rsidRDefault="00AB2054"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652B96" w:rsidRDefault="00652B96" w:rsidP="00AB2054">
            <w:pPr>
              <w:rPr>
                <w:rFonts w:cs="Arial"/>
                <w:szCs w:val="22"/>
                <w:lang w:val="es-ES_tradnl"/>
              </w:rPr>
            </w:pPr>
          </w:p>
          <w:p w:rsidR="00652B96" w:rsidRDefault="00652B96" w:rsidP="00AB2054">
            <w:pPr>
              <w:rPr>
                <w:rFonts w:cs="Arial"/>
                <w:szCs w:val="22"/>
                <w:lang w:val="es-ES_tradnl"/>
              </w:rPr>
            </w:pPr>
          </w:p>
          <w:p w:rsidR="00845034" w:rsidRDefault="00845034" w:rsidP="00AB2054">
            <w:pPr>
              <w:rPr>
                <w:rFonts w:cs="Arial"/>
                <w:szCs w:val="22"/>
                <w:lang w:val="es-ES_tradnl"/>
              </w:rPr>
            </w:pPr>
          </w:p>
          <w:p w:rsidR="00652B96" w:rsidRPr="00AB2054" w:rsidRDefault="00652B96"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i. Agrégase el siguiente párrafo segundo al numeral 1:</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“La prima de los seguros que se contraten en virtud del presente artículo serán pagados en partes iguales por la entidad crediticia y sus deudores.”.</w:t>
            </w:r>
          </w:p>
          <w:p w:rsidR="00AB2054" w:rsidRDefault="00AB2054" w:rsidP="00AB2054">
            <w:pPr>
              <w:rPr>
                <w:rFonts w:cs="Arial"/>
                <w:szCs w:val="22"/>
                <w:lang w:val="es-ES_tradnl"/>
              </w:rPr>
            </w:pPr>
          </w:p>
          <w:p w:rsidR="00845034" w:rsidRDefault="00845034" w:rsidP="00AB2054">
            <w:pPr>
              <w:rPr>
                <w:rFonts w:cs="Arial"/>
                <w:szCs w:val="22"/>
                <w:lang w:val="es-ES_tradnl"/>
              </w:rPr>
            </w:pPr>
          </w:p>
          <w:p w:rsidR="00845034" w:rsidRPr="00AB2054" w:rsidRDefault="0084503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ii. Intercálase el siguiente numeral 2, nuevo, pasando el actual numeral 2 a ser 3, y así sucesivamente:</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“2. Las referidas bases de licitación no podrán exigir que las ofertas de aseguradoras incluyan obligatoriamente los servicios de un corredor de seguros.”.</w:t>
            </w:r>
          </w:p>
          <w:p w:rsidR="00AB2054" w:rsidRPr="00AB2054" w:rsidRDefault="00AB205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iii. Reemplázase su actual numeral 2, que ha pasado a ser 3, por el siguiente:</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“3. No podrán participar en la licitación, directa o indirectamente, los corredores de seguros que hayan asesorado a la entidad crediticia licitante en dicha licitación y las compañías cuya menor clasificación de riesgo sea igual o inferior a BBB.”.</w:t>
            </w:r>
          </w:p>
          <w:p w:rsidR="00AB2054" w:rsidRDefault="00AB2054"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652B96" w:rsidRPr="00AB2054" w:rsidRDefault="00652B96"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iv. Reemplázase el segundo párrafo de su actual numeral 3, que ha pasado a ser el 4, por el siguiente:</w:t>
            </w:r>
          </w:p>
          <w:p w:rsidR="00652B96" w:rsidRDefault="00652B96"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“La entidad crediticia no podrá sustituir al corredor incluido en la oferta adjudicada.”.</w:t>
            </w:r>
          </w:p>
          <w:p w:rsidR="00AB2054" w:rsidRDefault="00AB2054" w:rsidP="00AB2054">
            <w:pPr>
              <w:rPr>
                <w:rFonts w:cs="Arial"/>
                <w:szCs w:val="22"/>
                <w:lang w:val="es-ES_tradnl"/>
              </w:rPr>
            </w:pPr>
          </w:p>
          <w:p w:rsidR="00652B96" w:rsidRDefault="00652B96" w:rsidP="00AB2054">
            <w:pPr>
              <w:rPr>
                <w:rFonts w:cs="Arial"/>
                <w:szCs w:val="22"/>
                <w:lang w:val="es-ES_tradnl"/>
              </w:rPr>
            </w:pPr>
          </w:p>
          <w:p w:rsidR="00953D4D" w:rsidRDefault="00953D4D" w:rsidP="00AB2054">
            <w:pPr>
              <w:rPr>
                <w:rFonts w:cs="Arial"/>
                <w:szCs w:val="22"/>
                <w:lang w:val="es-ES_tradnl"/>
              </w:rPr>
            </w:pPr>
          </w:p>
          <w:p w:rsidR="00F47D2B" w:rsidRDefault="00F47D2B" w:rsidP="00AB2054">
            <w:pPr>
              <w:rPr>
                <w:rFonts w:cs="Arial"/>
                <w:szCs w:val="22"/>
                <w:lang w:val="es-ES_tradnl"/>
              </w:rPr>
            </w:pPr>
          </w:p>
          <w:p w:rsidR="00F47D2B" w:rsidRDefault="00F47D2B" w:rsidP="00AB2054">
            <w:pPr>
              <w:rPr>
                <w:rFonts w:cs="Arial"/>
                <w:szCs w:val="22"/>
                <w:lang w:val="es-ES_tradnl"/>
              </w:rPr>
            </w:pPr>
          </w:p>
          <w:p w:rsidR="00F47D2B" w:rsidRDefault="00F47D2B" w:rsidP="00AB2054">
            <w:pPr>
              <w:rPr>
                <w:rFonts w:cs="Arial"/>
                <w:szCs w:val="22"/>
                <w:lang w:val="es-ES_tradnl"/>
              </w:rPr>
            </w:pPr>
          </w:p>
          <w:p w:rsidR="00953D4D" w:rsidRPr="00AB2054"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v. Elimínase de su actual numeral 4, que ha pasado a ser el 5, la frase “, la que se expresará sólo como un porcentaje de la prima”.</w:t>
            </w:r>
          </w:p>
          <w:p w:rsidR="00AB2054" w:rsidRDefault="00AB2054"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Pr="00AB2054"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vi. Agrégase después del punto final de su actual numeral 5, que ha pasado a ser el 6, la siguiente oración: “Esta prohibición será aplicable durante la vigencia de los seguros adjudicados, de manera que en ningún caso se podrán considerar, directa o indirectamente, pagos a la entidad crediticia distintos del derecho a pagarse de su crédito con la indemnización en caso de siniestro.”.</w:t>
            </w:r>
          </w:p>
          <w:p w:rsidR="00AB2054" w:rsidRDefault="00AB2054"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Pr="00AB2054" w:rsidRDefault="00953D4D"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vii. Reemplázase su actual numeral 7, que ha pasado a ser el 8, por el siguiente:</w:t>
            </w:r>
          </w:p>
          <w:p w:rsidR="00AB2054" w:rsidRPr="00AB2054" w:rsidRDefault="00AB205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 xml:space="preserve">“8. Una norma de carácter general, que dictará la Comisión para el Mercado Financiero, regulará el proceso de licitación y las condiciones mínimas que contemplarán las bases de licitación. Dicha norma podrá considerar, entre otros, los siguientes aspectos: </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 xml:space="preserve">a. Coberturas de seguros a licitar. </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b. Duración de los contratos y coberturas.</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 xml:space="preserve">c. Exigencias técnicas y patrimoniales de los corredores de seguros. </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 xml:space="preserve">d. Información sobre la cartera a licitar que la entidad crediticia deberá entregar a los aseguradores para la realización de la oferta. </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 xml:space="preserve">e. Criterios de segmentación de la cartera a licitar. </w:t>
            </w: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 xml:space="preserve">f. Servicios que se exigirán a las aseguradoras oferentes y a las corredoras de seguros. </w:t>
            </w:r>
          </w:p>
          <w:p w:rsidR="00953D4D" w:rsidRDefault="00953D4D" w:rsidP="00AB2054">
            <w:pPr>
              <w:rPr>
                <w:rFonts w:cs="Arial"/>
                <w:szCs w:val="22"/>
                <w:lang w:val="es-ES_tradnl"/>
              </w:rPr>
            </w:pPr>
          </w:p>
          <w:p w:rsidR="00953D4D" w:rsidRDefault="00953D4D"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 xml:space="preserve">g. Medidas que la entidad crediticia podrá establecer para el resguardo de su base de datos. </w:t>
            </w:r>
          </w:p>
          <w:p w:rsidR="00AB2054" w:rsidRPr="00AB2054" w:rsidRDefault="00AB2054" w:rsidP="00AB2054">
            <w:pPr>
              <w:rPr>
                <w:rFonts w:cs="Arial"/>
                <w:szCs w:val="22"/>
                <w:lang w:val="es-ES_tradnl"/>
              </w:rPr>
            </w:pPr>
            <w:r w:rsidRPr="00AB2054">
              <w:rPr>
                <w:rFonts w:cs="Arial"/>
                <w:szCs w:val="22"/>
                <w:lang w:val="es-ES_tradnl"/>
              </w:rPr>
              <w:t>h. Información mínima que la entidad crediticia deberá proporcionar a la aseguradora durante la vigencia del seguro.”.</w:t>
            </w:r>
          </w:p>
          <w:p w:rsidR="00953D4D" w:rsidRDefault="00953D4D" w:rsidP="00AB2054">
            <w:pPr>
              <w:rPr>
                <w:rFonts w:cs="Arial"/>
                <w:szCs w:val="22"/>
                <w:lang w:val="es-ES_tradnl"/>
              </w:rPr>
            </w:pPr>
          </w:p>
          <w:p w:rsidR="00953D4D" w:rsidRDefault="00953D4D"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viii. Agrégase un numeral 9 del siguiente tenor:</w:t>
            </w:r>
          </w:p>
          <w:p w:rsidR="00AB2054" w:rsidRPr="00AB2054" w:rsidRDefault="00AB205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“9. No podrán participar de la licitación las empresas que de conformidad al artículo 100 de la ley N° 18.045, sobre mercado de valores, tengan la calidad de empresa relacionada con la entidad crediticia.”.</w:t>
            </w:r>
          </w:p>
          <w:p w:rsidR="00AB2054" w:rsidRDefault="00AB2054"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3F2291" w:rsidRDefault="003F2291" w:rsidP="00AB2054">
            <w:pPr>
              <w:rPr>
                <w:rFonts w:cs="Arial"/>
                <w:szCs w:val="22"/>
                <w:lang w:val="es-ES_tradnl"/>
              </w:rPr>
            </w:pPr>
          </w:p>
          <w:p w:rsidR="003F2291" w:rsidRDefault="003F2291" w:rsidP="00AB2054">
            <w:pPr>
              <w:rPr>
                <w:rFonts w:cs="Arial"/>
                <w:szCs w:val="22"/>
                <w:lang w:val="es-ES_tradnl"/>
              </w:rPr>
            </w:pPr>
          </w:p>
          <w:p w:rsidR="00F47D2B" w:rsidRPr="00AB2054" w:rsidRDefault="00F47D2B"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b) Elimínase, en su inciso cuarto, la palabra “conjunta”.</w:t>
            </w:r>
          </w:p>
          <w:p w:rsidR="00AB2054" w:rsidRDefault="00AB2054"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4C6D0C" w:rsidRPr="00AB2054" w:rsidRDefault="004C6D0C"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c) Reemplázase su inciso sexto por el siguiente:</w:t>
            </w:r>
          </w:p>
          <w:p w:rsidR="00AB2054" w:rsidRPr="00AB2054" w:rsidRDefault="00AB2054" w:rsidP="00AB2054">
            <w:pPr>
              <w:rPr>
                <w:rFonts w:cs="Arial"/>
                <w:szCs w:val="22"/>
                <w:lang w:val="es-ES_tradnl"/>
              </w:rPr>
            </w:pPr>
          </w:p>
          <w:p w:rsidR="00AB2054" w:rsidRPr="00AB2054" w:rsidRDefault="00AB2054" w:rsidP="00AB2054">
            <w:pPr>
              <w:rPr>
                <w:rFonts w:cs="Arial"/>
                <w:szCs w:val="22"/>
                <w:lang w:val="es-ES_tradnl"/>
              </w:rPr>
            </w:pPr>
            <w:r w:rsidRPr="00AB2054">
              <w:rPr>
                <w:rFonts w:cs="Arial"/>
                <w:szCs w:val="22"/>
                <w:lang w:val="es-ES_tradnl"/>
              </w:rPr>
              <w:t>“La Comisión para el Mercado Financiero establecerá, por norma de carácter general, las condiciones y coberturas mínimas que deberán contemplar los seguros asociados a los créditos hipotecarios a los que se refiere este artículo, tanto para aquellos contratados directamente por el deudor como para los contratados por la entidad crediticia por cuenta de éste. Las disposiciones de este artículo resultarán también aplicables a los seguros que se deban contratar en virtud de los contratos de arrendamiento de vivienda con promesa de compraventa, celebrados por sociedades inmobiliarias en conformidad a lo dispuesto en la ley N° 19.281.”.</w:t>
            </w:r>
          </w:p>
          <w:p w:rsidR="00AB2054" w:rsidRDefault="00AB2054"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4C6D0C" w:rsidRDefault="004C6D0C" w:rsidP="00AB2054">
            <w:pPr>
              <w:rPr>
                <w:rFonts w:cs="Arial"/>
                <w:szCs w:val="22"/>
                <w:lang w:val="es-ES_tradnl"/>
              </w:rPr>
            </w:pPr>
          </w:p>
          <w:p w:rsidR="004C6D0C" w:rsidRDefault="004C6D0C"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953D4D" w:rsidRDefault="00953D4D" w:rsidP="00AB2054">
            <w:pPr>
              <w:rPr>
                <w:rFonts w:cs="Arial"/>
                <w:szCs w:val="22"/>
                <w:lang w:val="es-ES_tradnl"/>
              </w:rPr>
            </w:pPr>
          </w:p>
          <w:p w:rsidR="00AB2054" w:rsidRDefault="00AB2054" w:rsidP="00AB2054">
            <w:pPr>
              <w:rPr>
                <w:rFonts w:cs="Arial"/>
                <w:szCs w:val="22"/>
                <w:lang w:val="es-ES_tradnl"/>
              </w:rPr>
            </w:pPr>
            <w:r w:rsidRPr="00AB2054">
              <w:rPr>
                <w:rFonts w:cs="Arial"/>
                <w:szCs w:val="22"/>
                <w:lang w:val="es-ES_tradnl"/>
              </w:rPr>
              <w:t>d) Agrégase el siguiente inciso final, nuevo:</w:t>
            </w:r>
          </w:p>
          <w:p w:rsidR="00AB2054" w:rsidRPr="00AB2054" w:rsidRDefault="00AB2054" w:rsidP="00AB2054">
            <w:pPr>
              <w:rPr>
                <w:rFonts w:cs="Arial"/>
                <w:szCs w:val="22"/>
                <w:lang w:val="es-ES_tradnl"/>
              </w:rPr>
            </w:pPr>
          </w:p>
          <w:p w:rsidR="00AB2054" w:rsidRDefault="00AB2054" w:rsidP="004C6D0C">
            <w:pPr>
              <w:rPr>
                <w:rFonts w:cs="Arial"/>
                <w:szCs w:val="22"/>
                <w:lang w:val="es-ES_tradnl"/>
              </w:rPr>
            </w:pPr>
            <w:r w:rsidRPr="00AB2054">
              <w:rPr>
                <w:rFonts w:cs="Arial"/>
                <w:szCs w:val="22"/>
                <w:lang w:val="es-ES_tradnl"/>
              </w:rPr>
              <w:t>“Las entidades crediticias que cuenten con carteras de menor tamaño, podrán agrupar dichas carteras, aún entre distintas entidades, para la licitación de seguros. Para tales efectos, la Comisión para el Mercado Financiero, mediante norma de carácter general establecerá criterios mínimos para efectuar las señaladas agrupaciones de cartera.”.</w:t>
            </w:r>
          </w:p>
          <w:p w:rsidR="003F2291" w:rsidRDefault="003F2291" w:rsidP="004C6D0C">
            <w:pPr>
              <w:rPr>
                <w:rFonts w:cs="Arial"/>
                <w:szCs w:val="22"/>
                <w:lang w:val="es-ES_tradnl"/>
              </w:rPr>
            </w:pPr>
          </w:p>
          <w:p w:rsidR="003F2291" w:rsidRDefault="003F2291" w:rsidP="004C6D0C">
            <w:pPr>
              <w:rPr>
                <w:rFonts w:cs="Arial"/>
                <w:szCs w:val="22"/>
                <w:lang w:val="es-ES_tradnl"/>
              </w:rPr>
            </w:pPr>
          </w:p>
          <w:p w:rsidR="003F2291" w:rsidRDefault="003F2291" w:rsidP="004C6D0C">
            <w:pPr>
              <w:rPr>
                <w:rFonts w:cs="Arial"/>
                <w:szCs w:val="22"/>
                <w:lang w:val="es-ES_tradnl"/>
              </w:rPr>
            </w:pPr>
          </w:p>
          <w:p w:rsidR="003F2291" w:rsidRDefault="003F2291" w:rsidP="004C6D0C">
            <w:pPr>
              <w:rPr>
                <w:rFonts w:cs="Arial"/>
                <w:szCs w:val="22"/>
                <w:lang w:val="es-ES_tradnl"/>
              </w:rPr>
            </w:pPr>
          </w:p>
          <w:p w:rsidR="003F2291" w:rsidRDefault="003F2291" w:rsidP="004C6D0C">
            <w:pPr>
              <w:rPr>
                <w:rFonts w:cs="Arial"/>
                <w:szCs w:val="22"/>
                <w:lang w:val="es-ES_tradnl"/>
              </w:rPr>
            </w:pPr>
          </w:p>
          <w:p w:rsidR="003F2291" w:rsidRDefault="003F2291" w:rsidP="004C6D0C">
            <w:pPr>
              <w:rPr>
                <w:rFonts w:cs="Arial"/>
                <w:szCs w:val="22"/>
                <w:lang w:val="es-ES_tradnl"/>
              </w:rPr>
            </w:pPr>
          </w:p>
          <w:p w:rsidR="003F2291" w:rsidRPr="001C20E4" w:rsidRDefault="003F2291" w:rsidP="004C6D0C">
            <w:pPr>
              <w:rPr>
                <w:rFonts w:cs="Arial"/>
                <w:szCs w:val="22"/>
              </w:rPr>
            </w:pPr>
          </w:p>
        </w:tc>
      </w:tr>
      <w:tr w:rsidR="00096CE0" w:rsidRPr="001C20E4" w:rsidTr="00096CE0">
        <w:trPr>
          <w:trHeight w:val="315"/>
          <w:jc w:val="center"/>
        </w:trPr>
        <w:tc>
          <w:tcPr>
            <w:tcW w:w="1661" w:type="pct"/>
          </w:tcPr>
          <w:p w:rsidR="0045036E" w:rsidRPr="001C20E4" w:rsidRDefault="0045036E"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p>
          <w:p w:rsidR="0045036E" w:rsidRPr="001C20E4" w:rsidRDefault="0045036E" w:rsidP="00B3092B">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s-CL" w:eastAsia="es-CL"/>
              </w:rPr>
            </w:pPr>
            <w:r w:rsidRPr="001C20E4">
              <w:rPr>
                <w:rFonts w:cs="Arial"/>
                <w:szCs w:val="22"/>
                <w:lang w:val="es-CL" w:eastAsia="es-CL"/>
              </w:rPr>
              <w:t xml:space="preserve">Artículo 45.- La </w:t>
            </w:r>
            <w:r w:rsidRPr="001C20E4">
              <w:rPr>
                <w:rFonts w:cs="Arial"/>
                <w:szCs w:val="22"/>
                <w:u w:val="single"/>
                <w:lang w:val="es-CL" w:eastAsia="es-CL"/>
              </w:rPr>
              <w:t>Superintendencia</w:t>
            </w:r>
            <w:r w:rsidRPr="001C20E4">
              <w:rPr>
                <w:rFonts w:cs="Arial"/>
                <w:szCs w:val="22"/>
                <w:lang w:val="es-CL" w:eastAsia="es-CL"/>
              </w:rPr>
              <w:t xml:space="preserve"> podrá sancionar a los agentes de ventas de las compañías y a los corredores de seguros en los casos y la forma establecida en el </w:t>
            </w:r>
            <w:r w:rsidRPr="001C20E4">
              <w:rPr>
                <w:rFonts w:cs="Arial"/>
                <w:szCs w:val="22"/>
                <w:u w:val="single"/>
                <w:lang w:val="es-CL" w:eastAsia="es-CL"/>
              </w:rPr>
              <w:t>artículo 28 del decreto ley N° 3.538, de 1980</w:t>
            </w:r>
            <w:r w:rsidRPr="001C20E4">
              <w:rPr>
                <w:rFonts w:cs="Arial"/>
                <w:szCs w:val="22"/>
                <w:lang w:val="es-CL" w:eastAsia="es-CL"/>
              </w:rPr>
              <w:t>.</w:t>
            </w:r>
          </w:p>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FE44A2" w:rsidRPr="00FE44A2" w:rsidRDefault="00FE44A2" w:rsidP="00FE44A2">
            <w:pPr>
              <w:contextualSpacing/>
              <w:rPr>
                <w:rFonts w:cs="Arial"/>
                <w:szCs w:val="22"/>
              </w:rPr>
            </w:pPr>
            <w:r w:rsidRPr="008866F9">
              <w:rPr>
                <w:rFonts w:cs="Arial"/>
                <w:b/>
                <w:szCs w:val="22"/>
              </w:rPr>
              <w:t>1)</w:t>
            </w:r>
            <w:r w:rsidRPr="00FE44A2">
              <w:rPr>
                <w:rFonts w:cs="Arial"/>
                <w:szCs w:val="22"/>
              </w:rPr>
              <w:t xml:space="preserve"> Modifícase el artículo 45, como sigue:</w:t>
            </w:r>
          </w:p>
          <w:p w:rsidR="00FE44A2" w:rsidRPr="00FE44A2" w:rsidRDefault="00FE44A2" w:rsidP="00FE44A2">
            <w:pPr>
              <w:contextualSpacing/>
              <w:rPr>
                <w:rFonts w:cs="Arial"/>
                <w:szCs w:val="22"/>
              </w:rPr>
            </w:pPr>
          </w:p>
          <w:p w:rsidR="00FE44A2" w:rsidRPr="00FE44A2" w:rsidRDefault="00FE44A2" w:rsidP="00FE44A2">
            <w:pPr>
              <w:contextualSpacing/>
              <w:rPr>
                <w:rFonts w:cs="Arial"/>
                <w:szCs w:val="22"/>
              </w:rPr>
            </w:pPr>
            <w:r w:rsidRPr="00FE44A2">
              <w:rPr>
                <w:rFonts w:cs="Arial"/>
                <w:szCs w:val="22"/>
              </w:rPr>
              <w:t>a) Reemplázase la palabra “Superintendencia” por “Comisión para el Mercado Financiero”.</w:t>
            </w:r>
          </w:p>
          <w:p w:rsidR="00FE44A2" w:rsidRPr="00FE44A2" w:rsidRDefault="00FE44A2" w:rsidP="00FE44A2">
            <w:pPr>
              <w:contextualSpacing/>
              <w:rPr>
                <w:rFonts w:cs="Arial"/>
                <w:szCs w:val="22"/>
              </w:rPr>
            </w:pPr>
          </w:p>
          <w:p w:rsidR="00FE44A2" w:rsidRPr="00FE44A2" w:rsidRDefault="00FE44A2" w:rsidP="00FE44A2">
            <w:pPr>
              <w:contextualSpacing/>
              <w:rPr>
                <w:rFonts w:cs="Arial"/>
                <w:szCs w:val="22"/>
              </w:rPr>
            </w:pPr>
            <w:r w:rsidRPr="00FE44A2">
              <w:rPr>
                <w:rFonts w:cs="Arial"/>
                <w:szCs w:val="22"/>
              </w:rPr>
              <w:t>b) Sustitúyese la frase “artículo 28 del decreto ley N° 3.538, de 1980”, por la siguiente: “artículo 37 del decreto ley N° 3.538, del Ministerio de Hacienda, de 1980, cuyo texto fue reemplazado por el artículo primero de la ley N° 21.000, que crea la Comisión para el Mercado Financiero”.</w:t>
            </w:r>
          </w:p>
          <w:p w:rsidR="00FE44A2" w:rsidRPr="001C20E4" w:rsidRDefault="00FE44A2">
            <w:pPr>
              <w:contextualSpacing/>
              <w:rPr>
                <w:rFonts w:cs="Arial"/>
                <w:szCs w:val="22"/>
              </w:rPr>
            </w:pPr>
          </w:p>
        </w:tc>
        <w:tc>
          <w:tcPr>
            <w:tcW w:w="1674" w:type="pct"/>
          </w:tcPr>
          <w:p w:rsidR="008866F9" w:rsidRDefault="008866F9" w:rsidP="008866F9">
            <w:pPr>
              <w:jc w:val="center"/>
              <w:rPr>
                <w:rFonts w:cs="Arial"/>
                <w:b/>
                <w:szCs w:val="22"/>
                <w:u w:val="single"/>
                <w:lang w:val="es-ES_tradnl"/>
              </w:rPr>
            </w:pPr>
            <w:r w:rsidRPr="008866F9">
              <w:rPr>
                <w:rFonts w:cs="Arial"/>
                <w:b/>
                <w:szCs w:val="22"/>
                <w:u w:val="single"/>
                <w:lang w:val="es-ES_tradnl"/>
              </w:rPr>
              <w:t>Numerales 1, 2 y 3</w:t>
            </w:r>
          </w:p>
          <w:p w:rsidR="008866F9" w:rsidRPr="008866F9" w:rsidRDefault="008866F9" w:rsidP="008866F9">
            <w:pPr>
              <w:rPr>
                <w:rFonts w:cs="Arial"/>
                <w:b/>
                <w:szCs w:val="22"/>
                <w:u w:val="single"/>
                <w:lang w:val="es-ES_tradnl"/>
              </w:rPr>
            </w:pPr>
          </w:p>
          <w:p w:rsidR="008866F9" w:rsidRPr="008866F9" w:rsidRDefault="008866F9" w:rsidP="008866F9">
            <w:pPr>
              <w:rPr>
                <w:rFonts w:cs="Arial"/>
                <w:szCs w:val="22"/>
                <w:lang w:val="es-ES_tradnl"/>
              </w:rPr>
            </w:pPr>
            <w:r w:rsidRPr="008866F9">
              <w:rPr>
                <w:rFonts w:cs="Arial"/>
                <w:szCs w:val="22"/>
                <w:lang w:val="es-ES_tradnl"/>
              </w:rPr>
              <w:t>Han pasado a ser numerales 3, 4 y 5 respectivamente, sin enmiendas.</w:t>
            </w:r>
          </w:p>
          <w:p w:rsidR="0045036E" w:rsidRPr="001C20E4" w:rsidRDefault="0045036E" w:rsidP="00060273">
            <w:pPr>
              <w:rPr>
                <w:rFonts w:cs="Arial"/>
                <w:szCs w:val="22"/>
              </w:rPr>
            </w:pPr>
          </w:p>
        </w:tc>
      </w:tr>
      <w:tr w:rsidR="00096CE0" w:rsidRPr="001C20E4" w:rsidTr="00096CE0">
        <w:trPr>
          <w:trHeight w:val="315"/>
          <w:jc w:val="center"/>
        </w:trPr>
        <w:tc>
          <w:tcPr>
            <w:tcW w:w="1661" w:type="pct"/>
          </w:tcPr>
          <w:p w:rsidR="0045036E" w:rsidRDefault="0045036E" w:rsidP="00B3092B">
            <w:pPr>
              <w:rPr>
                <w:rFonts w:eastAsiaTheme="minorEastAsia"/>
              </w:rPr>
            </w:pPr>
          </w:p>
          <w:p w:rsidR="00163657" w:rsidRPr="001C20E4" w:rsidRDefault="00163657" w:rsidP="00B3092B">
            <w:pPr>
              <w:rPr>
                <w:rFonts w:eastAsiaTheme="minorEastAsia"/>
              </w:rPr>
            </w:pPr>
          </w:p>
          <w:p w:rsidR="0045036E" w:rsidRPr="001C20E4" w:rsidRDefault="0045036E" w:rsidP="00B3092B">
            <w:pPr>
              <w:pStyle w:val="HTMLconformatoprevio"/>
              <w:rPr>
                <w:rFonts w:ascii="Arial" w:hAnsi="Arial" w:cs="Arial"/>
                <w:sz w:val="22"/>
                <w:szCs w:val="22"/>
              </w:rPr>
            </w:pPr>
            <w:r w:rsidRPr="001C20E4">
              <w:rPr>
                <w:rFonts w:ascii="Arial" w:hAnsi="Arial" w:cs="Arial"/>
                <w:sz w:val="22"/>
                <w:szCs w:val="22"/>
              </w:rPr>
              <w:t>Artículo 57.- Los seguros pueden ser contratados ya sea directamente con la entidad aseguradora, a través de sus agentes de ventas, o por intermedio de corredores de seguros independientes de éstas.</w:t>
            </w:r>
          </w:p>
          <w:p w:rsidR="0045036E" w:rsidRPr="001C20E4" w:rsidRDefault="0045036E" w:rsidP="00B3092B">
            <w:pPr>
              <w:pStyle w:val="HTMLconformatoprevio"/>
              <w:rPr>
                <w:rFonts w:ascii="Arial" w:hAnsi="Arial" w:cs="Arial"/>
                <w:sz w:val="22"/>
                <w:szCs w:val="22"/>
              </w:rPr>
            </w:pPr>
          </w:p>
          <w:p w:rsidR="0045036E" w:rsidRPr="001C20E4" w:rsidRDefault="0045036E" w:rsidP="00EB26F0">
            <w:pPr>
              <w:pStyle w:val="HTMLconformatoprevio"/>
              <w:widowControl w:val="0"/>
              <w:rPr>
                <w:rFonts w:ascii="Arial" w:hAnsi="Arial" w:cs="Arial"/>
                <w:sz w:val="22"/>
                <w:szCs w:val="22"/>
              </w:rPr>
            </w:pPr>
            <w:r w:rsidRPr="001C20E4">
              <w:rPr>
                <w:rFonts w:ascii="Arial" w:hAnsi="Arial" w:cs="Arial"/>
                <w:sz w:val="22"/>
                <w:szCs w:val="22"/>
              </w:rPr>
              <w:t>Podrán ser agentes de ventas las personas que se dediquen a la comercialización o venta de seguros por cuenta de una compañía, no pudiendo prestar tales servicios en más de una entidad aseguradora en cada grupo de seguros. a excepción de los agentes de ventas de compañías que, conforme a lo señalado en el artículo 11 de esta ley, cubran riesgos de crédito, los que podrán, a su vez, prestar servicios en una entidad aseguradora del primer grupo que no esté facultada para cubrir estos riesgos.</w:t>
            </w:r>
          </w:p>
          <w:p w:rsidR="0045036E" w:rsidRPr="001C20E4" w:rsidRDefault="0045036E" w:rsidP="00EB26F0">
            <w:pPr>
              <w:pStyle w:val="HTMLconformatoprevio"/>
              <w:widowControl w:val="0"/>
              <w:rPr>
                <w:rFonts w:ascii="Arial" w:hAnsi="Arial" w:cs="Arial"/>
                <w:sz w:val="22"/>
                <w:szCs w:val="22"/>
              </w:rPr>
            </w:pPr>
          </w:p>
          <w:p w:rsidR="0045036E" w:rsidRPr="001C20E4" w:rsidRDefault="0045036E" w:rsidP="00EB26F0">
            <w:pPr>
              <w:pStyle w:val="HTMLconformatoprevio"/>
              <w:widowControl w:val="0"/>
              <w:rPr>
                <w:rFonts w:ascii="Arial" w:hAnsi="Arial" w:cs="Arial"/>
                <w:sz w:val="22"/>
                <w:szCs w:val="22"/>
              </w:rPr>
            </w:pPr>
            <w:r w:rsidRPr="001C20E4">
              <w:rPr>
                <w:rFonts w:ascii="Arial" w:hAnsi="Arial" w:cs="Arial"/>
                <w:sz w:val="22"/>
                <w:szCs w:val="22"/>
              </w:rPr>
              <w:t xml:space="preserve">Tales agentes deberán inscribirse en el registro especial que llevará la </w:t>
            </w:r>
            <w:r w:rsidRPr="001C20E4">
              <w:rPr>
                <w:rFonts w:ascii="Arial" w:hAnsi="Arial" w:cs="Arial"/>
                <w:sz w:val="22"/>
                <w:szCs w:val="22"/>
                <w:u w:val="single"/>
              </w:rPr>
              <w:t>Superintendencia o la entidad aseguradora, según se determine mediante norma de carácter general</w:t>
            </w:r>
            <w:r w:rsidRPr="001C20E4">
              <w:rPr>
                <w:rFonts w:ascii="Arial" w:hAnsi="Arial" w:cs="Arial"/>
                <w:sz w:val="22"/>
                <w:szCs w:val="22"/>
              </w:rPr>
              <w:t>; quedarán sujetos a su fiscalización, y podrá exigírseles los mismos requisitos establecidos para los corredores de seguros en los artículos 58 y 59 siguientes.</w:t>
            </w:r>
          </w:p>
          <w:p w:rsidR="0045036E" w:rsidRPr="001C20E4" w:rsidRDefault="0045036E" w:rsidP="00B3092B">
            <w:pPr>
              <w:pStyle w:val="HTMLconformatoprevio"/>
              <w:rPr>
                <w:rFonts w:ascii="Arial" w:hAnsi="Arial" w:cs="Arial"/>
                <w:sz w:val="22"/>
                <w:szCs w:val="22"/>
              </w:rPr>
            </w:pPr>
          </w:p>
          <w:p w:rsidR="0045036E" w:rsidRPr="001C20E4" w:rsidRDefault="0045036E" w:rsidP="00B3092B">
            <w:pPr>
              <w:pStyle w:val="HTMLconformatoprevio"/>
              <w:rPr>
                <w:rFonts w:ascii="Arial" w:hAnsi="Arial" w:cs="Arial"/>
                <w:sz w:val="22"/>
                <w:szCs w:val="22"/>
              </w:rPr>
            </w:pPr>
            <w:r w:rsidRPr="001C20E4">
              <w:rPr>
                <w:rFonts w:ascii="Arial" w:hAnsi="Arial" w:cs="Arial"/>
                <w:sz w:val="22"/>
                <w:szCs w:val="22"/>
              </w:rPr>
              <w:t>Serán de responsabilidad de la entidad aseguradora las infracciones, errores u omisiones en que puedan incurrir los agentes de ventas en el desempeño de su actividad.</w:t>
            </w:r>
          </w:p>
          <w:p w:rsidR="0045036E" w:rsidRPr="001C20E4" w:rsidRDefault="0045036E" w:rsidP="00B3092B">
            <w:pPr>
              <w:pStyle w:val="HTMLconformatoprevio"/>
              <w:rPr>
                <w:rFonts w:ascii="Arial" w:hAnsi="Arial" w:cs="Arial"/>
                <w:sz w:val="22"/>
                <w:szCs w:val="22"/>
              </w:rPr>
            </w:pPr>
          </w:p>
          <w:p w:rsidR="0045036E" w:rsidRPr="001C20E4" w:rsidRDefault="0045036E" w:rsidP="00B3092B">
            <w:pPr>
              <w:pStyle w:val="HTMLconformatoprevio"/>
              <w:rPr>
                <w:rFonts w:ascii="Arial" w:hAnsi="Arial" w:cs="Arial"/>
                <w:sz w:val="22"/>
                <w:szCs w:val="22"/>
              </w:rPr>
            </w:pPr>
            <w:r w:rsidRPr="001C20E4">
              <w:rPr>
                <w:rFonts w:ascii="Arial" w:hAnsi="Arial" w:cs="Arial"/>
                <w:sz w:val="22"/>
                <w:szCs w:val="22"/>
              </w:rPr>
              <w:t xml:space="preserve">Los corredores de seguros son auxiliares del comercio de seguros, que deben asesorar a la persona que desea asegurarse por su intermedio, ofreciéndole las coberturas más convenientes a sus necesidades e intereses e ilustrándola sobre las condiciones del contrato, debiendo asistirla durante toda su vigencia, especialmente en las modificaciones que eventualmente correspondan y al momento de producirse un siniestro. Deben también asesorar a la compañía aseguradora verificando la identidad de los contratantes, la existencia de los bienes asegurables y entregándole toda la información que posean del riesgo propuesto. </w:t>
            </w:r>
          </w:p>
          <w:p w:rsidR="0045036E" w:rsidRDefault="0045036E" w:rsidP="00B3092B">
            <w:pPr>
              <w:pStyle w:val="HTMLconformatoprevio"/>
              <w:rPr>
                <w:rFonts w:ascii="Arial" w:hAnsi="Arial" w:cs="Arial"/>
                <w:sz w:val="22"/>
                <w:szCs w:val="22"/>
              </w:rPr>
            </w:pPr>
          </w:p>
          <w:p w:rsidR="00163657" w:rsidRPr="001C20E4" w:rsidRDefault="00163657" w:rsidP="00B3092B">
            <w:pPr>
              <w:pStyle w:val="HTMLconformatoprevio"/>
              <w:rPr>
                <w:rFonts w:ascii="Arial" w:hAnsi="Arial" w:cs="Arial"/>
                <w:sz w:val="22"/>
                <w:szCs w:val="22"/>
              </w:rPr>
            </w:pPr>
          </w:p>
          <w:p w:rsidR="0045036E" w:rsidRPr="001C20E4" w:rsidRDefault="0045036E" w:rsidP="00B3092B">
            <w:pPr>
              <w:pStyle w:val="HTMLconformatoprevio"/>
              <w:rPr>
                <w:rFonts w:ascii="Arial" w:hAnsi="Arial" w:cs="Arial"/>
                <w:sz w:val="22"/>
                <w:szCs w:val="22"/>
              </w:rPr>
            </w:pPr>
            <w:r w:rsidRPr="001C20E4">
              <w:rPr>
                <w:rFonts w:ascii="Arial" w:hAnsi="Arial" w:cs="Arial"/>
                <w:sz w:val="22"/>
                <w:szCs w:val="22"/>
              </w:rPr>
              <w:t xml:space="preserve">Los corredores deberán entregar a todos sus clientes información respecto de la diversificación de sus negocios y de las compañías con que trabajen, en la forma que determine la </w:t>
            </w:r>
            <w:r w:rsidRPr="001C20E4">
              <w:rPr>
                <w:rFonts w:ascii="Arial" w:hAnsi="Arial" w:cs="Arial"/>
                <w:sz w:val="22"/>
                <w:szCs w:val="22"/>
                <w:u w:val="single"/>
              </w:rPr>
              <w:t>Superintendencia</w:t>
            </w:r>
            <w:r w:rsidRPr="001C20E4">
              <w:rPr>
                <w:rFonts w:ascii="Arial" w:hAnsi="Arial" w:cs="Arial"/>
                <w:sz w:val="22"/>
                <w:szCs w:val="22"/>
              </w:rPr>
              <w:t>.</w:t>
            </w:r>
          </w:p>
          <w:p w:rsidR="0045036E" w:rsidRDefault="0045036E" w:rsidP="00B3092B">
            <w:pPr>
              <w:pStyle w:val="HTMLconformatoprevio"/>
              <w:rPr>
                <w:rFonts w:ascii="Arial" w:hAnsi="Arial" w:cs="Arial"/>
                <w:sz w:val="22"/>
                <w:szCs w:val="22"/>
              </w:rPr>
            </w:pPr>
          </w:p>
          <w:p w:rsidR="00163657" w:rsidRPr="001C20E4" w:rsidRDefault="00163657" w:rsidP="00B3092B">
            <w:pPr>
              <w:pStyle w:val="HTMLconformatoprevio"/>
              <w:rPr>
                <w:rFonts w:ascii="Arial" w:hAnsi="Arial" w:cs="Arial"/>
                <w:sz w:val="22"/>
                <w:szCs w:val="22"/>
              </w:rPr>
            </w:pPr>
          </w:p>
          <w:p w:rsidR="0045036E" w:rsidRPr="001C20E4" w:rsidRDefault="0045036E" w:rsidP="00B3092B">
            <w:pPr>
              <w:pStyle w:val="HTMLconformatoprevio"/>
              <w:rPr>
                <w:rFonts w:ascii="Arial" w:hAnsi="Arial" w:cs="Arial"/>
                <w:sz w:val="22"/>
                <w:szCs w:val="22"/>
              </w:rPr>
            </w:pPr>
            <w:r w:rsidRPr="001C20E4">
              <w:rPr>
                <w:rFonts w:ascii="Arial" w:hAnsi="Arial" w:cs="Arial"/>
                <w:sz w:val="22"/>
                <w:szCs w:val="22"/>
              </w:rPr>
              <w:t>Para la intermediación de seguros previsionales se requerirá la inscripción en el registro de Asesores Previsionales a que se refiere el Título XVII del decreto ley N° 3.500, de 1980. Dichos intermediarios quedarán sujetos a las exigencias y requisitos que para los Asesores Previsionales se establecen en el mencionado decreto ley.</w:t>
            </w:r>
          </w:p>
          <w:p w:rsidR="0045036E" w:rsidRPr="001C20E4" w:rsidRDefault="0045036E" w:rsidP="00B3092B">
            <w:pPr>
              <w:pStyle w:val="HTMLconformatoprevio"/>
              <w:rPr>
                <w:rFonts w:ascii="Arial" w:hAnsi="Arial" w:cs="Arial"/>
                <w:sz w:val="22"/>
                <w:szCs w:val="22"/>
              </w:rPr>
            </w:pPr>
          </w:p>
          <w:p w:rsidR="0045036E" w:rsidRPr="001C20E4" w:rsidRDefault="0045036E" w:rsidP="00B3092B">
            <w:pPr>
              <w:pStyle w:val="HTMLconformatoprevio"/>
              <w:rPr>
                <w:rFonts w:ascii="Arial" w:hAnsi="Arial" w:cs="Arial"/>
                <w:sz w:val="22"/>
                <w:szCs w:val="22"/>
              </w:rPr>
            </w:pPr>
            <w:r w:rsidRPr="001C20E4">
              <w:rPr>
                <w:rFonts w:ascii="Arial" w:hAnsi="Arial" w:cs="Arial"/>
                <w:sz w:val="22"/>
                <w:szCs w:val="22"/>
              </w:rPr>
              <w:t>Queda prohibido a las compañías de seguros entregar, directa o indirectamente, a los asesores previsionales que intermedien contratos de seguros previsionales a que se refiere el decreto ley N° 3.500, de 1980, incentivos que se determinen en función del volumen intermediado de dicho tipo de seguros con cada una de ellas.</w:t>
            </w:r>
          </w:p>
          <w:p w:rsidR="0045036E" w:rsidRDefault="0045036E" w:rsidP="00B3092B">
            <w:pPr>
              <w:pStyle w:val="HTMLconformatoprevio"/>
              <w:rPr>
                <w:rFonts w:ascii="Arial" w:hAnsi="Arial" w:cs="Arial"/>
                <w:sz w:val="22"/>
                <w:szCs w:val="22"/>
              </w:rPr>
            </w:pPr>
          </w:p>
          <w:p w:rsidR="00163657" w:rsidRDefault="00163657" w:rsidP="00B3092B">
            <w:pPr>
              <w:pStyle w:val="HTMLconformatoprevio"/>
              <w:rPr>
                <w:rFonts w:ascii="Arial" w:hAnsi="Arial" w:cs="Arial"/>
                <w:sz w:val="22"/>
                <w:szCs w:val="22"/>
              </w:rPr>
            </w:pPr>
          </w:p>
          <w:p w:rsidR="0045036E" w:rsidRPr="001C20E4" w:rsidRDefault="0045036E" w:rsidP="00CE7328">
            <w:pPr>
              <w:pStyle w:val="HTMLconformatoprevio"/>
              <w:widowControl w:val="0"/>
              <w:rPr>
                <w:rFonts w:ascii="Arial" w:hAnsi="Arial" w:cs="Arial"/>
                <w:sz w:val="22"/>
                <w:szCs w:val="22"/>
              </w:rPr>
            </w:pPr>
            <w:r w:rsidRPr="001C20E4">
              <w:rPr>
                <w:rFonts w:ascii="Arial" w:hAnsi="Arial" w:cs="Arial"/>
                <w:sz w:val="22"/>
                <w:szCs w:val="22"/>
              </w:rPr>
              <w:t xml:space="preserve">Las compañías de seguros podrán ofrecer, cotizar y convenir contratos de seguro, utilizando los mecanismos continuos de subasta pública de las entidades que autorice la </w:t>
            </w:r>
            <w:r w:rsidRPr="001C20E4">
              <w:rPr>
                <w:rFonts w:ascii="Arial" w:hAnsi="Arial" w:cs="Arial"/>
                <w:sz w:val="22"/>
                <w:szCs w:val="22"/>
                <w:u w:val="single"/>
              </w:rPr>
              <w:t>Superintendencia</w:t>
            </w:r>
            <w:r w:rsidRPr="001C20E4">
              <w:rPr>
                <w:rFonts w:ascii="Arial" w:hAnsi="Arial" w:cs="Arial"/>
                <w:sz w:val="22"/>
                <w:szCs w:val="22"/>
              </w:rPr>
              <w:t xml:space="preserve"> y que se regirán por las normas que ésta determine.</w:t>
            </w:r>
          </w:p>
          <w:p w:rsidR="0045036E" w:rsidRDefault="0045036E" w:rsidP="00CE7328">
            <w:pPr>
              <w:pStyle w:val="HTMLconformatoprevio"/>
              <w:widowControl w:val="0"/>
              <w:rPr>
                <w:rFonts w:ascii="Arial" w:hAnsi="Arial" w:cs="Arial"/>
                <w:sz w:val="22"/>
                <w:szCs w:val="22"/>
              </w:rPr>
            </w:pPr>
          </w:p>
          <w:p w:rsidR="00163657" w:rsidRPr="001C20E4" w:rsidRDefault="00163657" w:rsidP="00CE7328">
            <w:pPr>
              <w:pStyle w:val="HTMLconformatoprevio"/>
              <w:widowControl w:val="0"/>
              <w:rPr>
                <w:rFonts w:ascii="Arial" w:hAnsi="Arial" w:cs="Arial"/>
                <w:sz w:val="22"/>
                <w:szCs w:val="22"/>
              </w:rPr>
            </w:pPr>
          </w:p>
          <w:p w:rsidR="0045036E" w:rsidRPr="001C20E4" w:rsidRDefault="0045036E" w:rsidP="00010088">
            <w:pPr>
              <w:pStyle w:val="HTMLconformatoprevio"/>
              <w:widowControl w:val="0"/>
              <w:rPr>
                <w:rFonts w:eastAsiaTheme="minorEastAsia"/>
              </w:rPr>
            </w:pPr>
            <w:r w:rsidRPr="001C20E4">
              <w:rPr>
                <w:rFonts w:ascii="Arial" w:hAnsi="Arial" w:cs="Arial"/>
                <w:sz w:val="22"/>
                <w:szCs w:val="22"/>
              </w:rPr>
              <w:t>La utilización de mecanismos continuos de subasta pública no excluye la participación, ni la responsabilidad de los auxiliares del comercio de seguros, en la asesoría e intermediación de los seguros.</w:t>
            </w:r>
          </w:p>
        </w:tc>
        <w:tc>
          <w:tcPr>
            <w:tcW w:w="1665" w:type="pct"/>
          </w:tcPr>
          <w:p w:rsidR="00163657" w:rsidRPr="00163657" w:rsidRDefault="00163657" w:rsidP="00163657">
            <w:r w:rsidRPr="00B549F3">
              <w:rPr>
                <w:b/>
              </w:rPr>
              <w:t>2)</w:t>
            </w:r>
            <w:r w:rsidRPr="00163657">
              <w:t xml:space="preserve"> Modifícase el artículo 57, como se indica:</w:t>
            </w:r>
          </w:p>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Pr="00163657" w:rsidRDefault="00163657" w:rsidP="00163657"/>
          <w:p w:rsidR="00163657" w:rsidRPr="00163657" w:rsidRDefault="00163657" w:rsidP="00163657">
            <w:r w:rsidRPr="00163657">
              <w:t>a) Reemplázase, en su inciso tercero, la frase “Superintendencia o la entidad aseguradora, según se determine mediante norma de carácter general”, por la siguiente: “Comisión para el Mercado Financiero”.</w:t>
            </w:r>
          </w:p>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953D4D" w:rsidRDefault="00953D4D" w:rsidP="00163657"/>
          <w:p w:rsidR="00163657" w:rsidRPr="00163657" w:rsidRDefault="00163657" w:rsidP="00163657"/>
          <w:p w:rsidR="00010088" w:rsidRDefault="00010088" w:rsidP="00163657"/>
          <w:p w:rsidR="00163657" w:rsidRPr="00163657" w:rsidRDefault="00163657" w:rsidP="00163657">
            <w:r w:rsidRPr="00163657">
              <w:t>b) Sustitúyese, en su inciso sexto, la palabra “Superintendencia”, por la expresión “Comisión para el Mercado Financiero”.</w:t>
            </w:r>
          </w:p>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Default="00163657" w:rsidP="00163657"/>
          <w:p w:rsidR="00163657" w:rsidRPr="00163657" w:rsidRDefault="00163657" w:rsidP="00163657"/>
          <w:p w:rsidR="00163657" w:rsidRPr="00163657" w:rsidRDefault="00163657" w:rsidP="00163657">
            <w:r w:rsidRPr="00163657">
              <w:t>c) Reemplázase, en su inciso noveno, la palabra “Superintendencia”, por la expresión “Comisión para el Mercado Financiero”.</w:t>
            </w:r>
          </w:p>
          <w:p w:rsidR="00163657" w:rsidRPr="00163657" w:rsidRDefault="00163657" w:rsidP="00163657"/>
          <w:p w:rsidR="0045036E" w:rsidRPr="001C20E4" w:rsidRDefault="0045036E" w:rsidP="00163657"/>
        </w:tc>
        <w:tc>
          <w:tcPr>
            <w:tcW w:w="1674" w:type="pct"/>
          </w:tcPr>
          <w:p w:rsidR="00B549F3" w:rsidRPr="00B549F3" w:rsidRDefault="00B549F3" w:rsidP="00B549F3">
            <w:pPr>
              <w:jc w:val="center"/>
              <w:rPr>
                <w:rFonts w:cs="Arial"/>
                <w:b/>
                <w:szCs w:val="22"/>
                <w:u w:val="single"/>
                <w:lang w:val="es-ES_tradnl"/>
              </w:rPr>
            </w:pPr>
            <w:r w:rsidRPr="00B549F3">
              <w:rPr>
                <w:rFonts w:cs="Arial"/>
                <w:b/>
                <w:szCs w:val="22"/>
                <w:u w:val="single"/>
                <w:lang w:val="es-ES_tradnl"/>
              </w:rPr>
              <w:t>Numerales 1, 2 y 3</w:t>
            </w:r>
          </w:p>
          <w:p w:rsidR="00B549F3" w:rsidRPr="00B549F3" w:rsidRDefault="00B549F3" w:rsidP="00B549F3">
            <w:pPr>
              <w:rPr>
                <w:rFonts w:cs="Arial"/>
                <w:b/>
                <w:szCs w:val="22"/>
                <w:u w:val="single"/>
                <w:lang w:val="es-ES_tradnl"/>
              </w:rPr>
            </w:pPr>
          </w:p>
          <w:p w:rsidR="00B549F3" w:rsidRPr="00B549F3" w:rsidRDefault="00B549F3" w:rsidP="00B549F3">
            <w:pPr>
              <w:rPr>
                <w:rFonts w:cs="Arial"/>
                <w:szCs w:val="22"/>
                <w:lang w:val="es-ES_tradnl"/>
              </w:rPr>
            </w:pPr>
            <w:r w:rsidRPr="00B549F3">
              <w:rPr>
                <w:rFonts w:cs="Arial"/>
                <w:szCs w:val="22"/>
                <w:lang w:val="es-ES_tradnl"/>
              </w:rPr>
              <w:t>Han pasado a ser numerales 3, 4 y 5 respectivamente, sin enmiendas.</w:t>
            </w:r>
          </w:p>
          <w:p w:rsidR="0045036E" w:rsidRPr="001C20E4" w:rsidRDefault="0045036E" w:rsidP="00CE7328">
            <w:pPr>
              <w:rPr>
                <w:rFonts w:cs="Arial"/>
                <w:szCs w:val="22"/>
              </w:rPr>
            </w:pPr>
          </w:p>
        </w:tc>
      </w:tr>
      <w:tr w:rsidR="00096CE0" w:rsidRPr="001C20E4" w:rsidTr="00096CE0">
        <w:trPr>
          <w:trHeight w:val="315"/>
          <w:jc w:val="center"/>
        </w:trPr>
        <w:tc>
          <w:tcPr>
            <w:tcW w:w="1661" w:type="pct"/>
          </w:tcPr>
          <w:p w:rsidR="0045036E" w:rsidRPr="001C20E4" w:rsidRDefault="0045036E" w:rsidP="007029D4">
            <w:pPr>
              <w:jc w:val="center"/>
              <w:rPr>
                <w:rFonts w:eastAsiaTheme="minorEastAsia"/>
              </w:rPr>
            </w:pPr>
          </w:p>
        </w:tc>
        <w:tc>
          <w:tcPr>
            <w:tcW w:w="1665" w:type="pct"/>
          </w:tcPr>
          <w:p w:rsidR="00163657" w:rsidRPr="00163657" w:rsidRDefault="00163657" w:rsidP="00163657">
            <w:r w:rsidRPr="00B549F3">
              <w:rPr>
                <w:b/>
              </w:rPr>
              <w:t>3)</w:t>
            </w:r>
            <w:r w:rsidRPr="00163657">
              <w:t xml:space="preserve"> Intercálase el siguiente artículo 57 bis:</w:t>
            </w:r>
          </w:p>
          <w:p w:rsidR="00163657" w:rsidRPr="00163657" w:rsidRDefault="00163657" w:rsidP="00163657"/>
          <w:p w:rsidR="00163657" w:rsidRDefault="00163657" w:rsidP="00163657">
            <w:r w:rsidRPr="00163657">
              <w:t>“Artículo 57 bis.- Los agentes de venta de rentas vitalicias descritos en esta ley serán inscritos por la compañía de seguros a la que pertenezcan en el registro especial que llevará la Comisión para el Mercado Financiero. Tanto para su inscripción como para la mantención en dicho registro, estos agentes deberán cumplir con los requisitos de las letras a), b) y c) del artículo 58 y no registrar las inhabilidades señaladas en el artículo 44 bis de esta ley, acreditados en la forma y con los documentos y certificaciones que establezca la Comisión para el Mercado Financiero mediante norma de carácter general. Los agentes que dejen de cumplir cualquiera de estos requisitos, o dejen de presar servicios a una compañía de seguros, serán eliminados del registro.”.</w:t>
            </w:r>
          </w:p>
          <w:p w:rsidR="00433433" w:rsidRDefault="00433433" w:rsidP="00163657"/>
          <w:p w:rsidR="00163657" w:rsidRPr="00163657" w:rsidRDefault="00163657" w:rsidP="00163657"/>
          <w:p w:rsidR="0045036E" w:rsidRPr="001C20E4" w:rsidRDefault="0045036E" w:rsidP="00163657"/>
        </w:tc>
        <w:tc>
          <w:tcPr>
            <w:tcW w:w="1674" w:type="pct"/>
          </w:tcPr>
          <w:p w:rsidR="00B549F3" w:rsidRPr="00B549F3" w:rsidRDefault="00B549F3" w:rsidP="00B549F3">
            <w:pPr>
              <w:jc w:val="center"/>
              <w:rPr>
                <w:rFonts w:cs="Arial"/>
                <w:b/>
                <w:szCs w:val="22"/>
                <w:u w:val="single"/>
                <w:lang w:val="es-ES_tradnl"/>
              </w:rPr>
            </w:pPr>
            <w:r w:rsidRPr="00B549F3">
              <w:rPr>
                <w:rFonts w:cs="Arial"/>
                <w:b/>
                <w:szCs w:val="22"/>
                <w:u w:val="single"/>
                <w:lang w:val="es-ES_tradnl"/>
              </w:rPr>
              <w:t>Numerales 1, 2 y 3</w:t>
            </w:r>
          </w:p>
          <w:p w:rsidR="00B549F3" w:rsidRPr="00B549F3" w:rsidRDefault="00B549F3" w:rsidP="00B549F3">
            <w:pPr>
              <w:rPr>
                <w:rFonts w:cs="Arial"/>
                <w:b/>
                <w:szCs w:val="22"/>
                <w:u w:val="single"/>
                <w:lang w:val="es-ES_tradnl"/>
              </w:rPr>
            </w:pPr>
          </w:p>
          <w:p w:rsidR="00B549F3" w:rsidRPr="00B549F3" w:rsidRDefault="00B549F3" w:rsidP="00B549F3">
            <w:pPr>
              <w:rPr>
                <w:rFonts w:cs="Arial"/>
                <w:szCs w:val="22"/>
                <w:lang w:val="es-ES_tradnl"/>
              </w:rPr>
            </w:pPr>
            <w:r w:rsidRPr="00B549F3">
              <w:rPr>
                <w:rFonts w:cs="Arial"/>
                <w:szCs w:val="22"/>
                <w:lang w:val="es-ES_tradnl"/>
              </w:rPr>
              <w:t>Han pasado a ser numerales 3, 4 y 5 respectivamente, sin enmiendas.</w:t>
            </w:r>
          </w:p>
          <w:p w:rsidR="0045036E" w:rsidRPr="001C20E4" w:rsidRDefault="0045036E" w:rsidP="00CE7328">
            <w:pPr>
              <w:rPr>
                <w:rFonts w:cs="Arial"/>
                <w:szCs w:val="22"/>
              </w:rPr>
            </w:pPr>
          </w:p>
        </w:tc>
      </w:tr>
      <w:tr w:rsidR="00096CE0" w:rsidRPr="001C20E4" w:rsidTr="00096CE0">
        <w:trPr>
          <w:trHeight w:val="315"/>
          <w:jc w:val="center"/>
        </w:trPr>
        <w:tc>
          <w:tcPr>
            <w:tcW w:w="1661" w:type="pct"/>
          </w:tcPr>
          <w:p w:rsidR="0045036E" w:rsidRDefault="0045036E" w:rsidP="007029D4">
            <w:pPr>
              <w:jc w:val="center"/>
              <w:rPr>
                <w:rFonts w:eastAsiaTheme="minorEastAsia"/>
                <w:b/>
              </w:rPr>
            </w:pPr>
          </w:p>
          <w:p w:rsidR="002E4D8C" w:rsidRDefault="002E4D8C" w:rsidP="007029D4">
            <w:pPr>
              <w:jc w:val="center"/>
              <w:rPr>
                <w:rFonts w:eastAsiaTheme="minorEastAsia"/>
                <w:b/>
              </w:rPr>
            </w:pPr>
          </w:p>
          <w:p w:rsidR="002E4D8C" w:rsidRDefault="002E4D8C" w:rsidP="007029D4">
            <w:pPr>
              <w:jc w:val="center"/>
              <w:rPr>
                <w:rFonts w:eastAsiaTheme="minorEastAsia"/>
                <w:b/>
              </w:rPr>
            </w:pPr>
          </w:p>
          <w:p w:rsidR="002E4D8C" w:rsidRPr="001C20E4" w:rsidRDefault="002E4D8C" w:rsidP="007029D4">
            <w:pPr>
              <w:jc w:val="center"/>
              <w:rPr>
                <w:rFonts w:eastAsiaTheme="minorEastAsia"/>
                <w:b/>
              </w:rPr>
            </w:pPr>
          </w:p>
          <w:p w:rsidR="0045036E" w:rsidRPr="001C20E4" w:rsidRDefault="0045036E" w:rsidP="007029D4">
            <w:pPr>
              <w:jc w:val="center"/>
              <w:rPr>
                <w:rFonts w:eastAsiaTheme="minorEastAsia"/>
                <w:b/>
              </w:rPr>
            </w:pPr>
            <w:r w:rsidRPr="001C20E4">
              <w:rPr>
                <w:rFonts w:eastAsiaTheme="minorEastAsia"/>
                <w:b/>
              </w:rPr>
              <w:t>LEY N° 19.913</w:t>
            </w:r>
          </w:p>
          <w:p w:rsidR="0045036E" w:rsidRPr="001C20E4" w:rsidRDefault="0045036E" w:rsidP="007029D4">
            <w:pPr>
              <w:jc w:val="center"/>
              <w:rPr>
                <w:rFonts w:eastAsiaTheme="minorEastAsia"/>
                <w:b/>
              </w:rPr>
            </w:pPr>
            <w:r w:rsidRPr="001C20E4">
              <w:rPr>
                <w:rFonts w:eastAsiaTheme="minorEastAsia"/>
                <w:b/>
              </w:rPr>
              <w:t>QUE CREA LA UNIDAD DE ANALISIS FINANCIERO Y MODIFICA DIVERSAS</w:t>
            </w:r>
          </w:p>
          <w:p w:rsidR="0045036E" w:rsidRPr="001C20E4" w:rsidRDefault="0045036E" w:rsidP="007029D4">
            <w:pPr>
              <w:jc w:val="center"/>
              <w:rPr>
                <w:rFonts w:eastAsiaTheme="minorEastAsia"/>
                <w:b/>
              </w:rPr>
            </w:pPr>
            <w:r w:rsidRPr="001C20E4">
              <w:rPr>
                <w:rFonts w:eastAsiaTheme="minorEastAsia"/>
                <w:b/>
              </w:rPr>
              <w:t>DISPOSICIONES EN MATERIA DE LAVADO Y BLANQUEO DE ACTIVOS</w:t>
            </w:r>
          </w:p>
          <w:p w:rsidR="0045036E" w:rsidRPr="001C20E4" w:rsidRDefault="0045036E" w:rsidP="00B3092B">
            <w:pPr>
              <w:rPr>
                <w:rFonts w:eastAsiaTheme="minorEastAsia"/>
              </w:rPr>
            </w:pP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Artículo 2º.- La Unidad de Análisis Financiero tendrá las siguientes atribuciones y funciones, las que podrá desarrollar y ejercer en cualquier lugar del territorio nacional:</w:t>
            </w:r>
          </w:p>
          <w:p w:rsidR="00801923" w:rsidRPr="00801923" w:rsidRDefault="00801923" w:rsidP="00801923">
            <w:pPr>
              <w:widowControl w:val="0"/>
              <w:tabs>
                <w:tab w:val="clear" w:pos="2835"/>
              </w:tabs>
              <w:autoSpaceDE w:val="0"/>
              <w:autoSpaceDN w:val="0"/>
              <w:adjustRightInd w:val="0"/>
              <w:rPr>
                <w:rFonts w:eastAsiaTheme="minorEastAsia"/>
                <w:lang w:val="es-CL"/>
              </w:rPr>
            </w:pP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a) Solicitar, verificar, examinar y archivar la información a que se refiere el artículo 3° de esta ley.</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b) Solicitar a cualquiera de las personas naturales o jurídicas contempladas en el artículo 3° de esta ley, los antecedentes que con ocasión de la revisión de una operación sospechosa previamente reportada a la Unidad o detectada por ésta en ejercicio de sus atribuciones, resulten necesarios y conducentes para desarrollar o completar el análisis de dicha operación y los que deba recabar de conformidad con la letra g) del presente artículo. Las personas requeridas estarán obligadas a proporcionar la información solicitada, en el término que se les fije.</w:t>
            </w:r>
          </w:p>
          <w:p w:rsidR="00801923" w:rsidRPr="00801923" w:rsidRDefault="00801923" w:rsidP="00801923">
            <w:pPr>
              <w:widowControl w:val="0"/>
              <w:tabs>
                <w:tab w:val="clear" w:pos="2835"/>
              </w:tabs>
              <w:autoSpaceDE w:val="0"/>
              <w:autoSpaceDN w:val="0"/>
              <w:adjustRightInd w:val="0"/>
              <w:rPr>
                <w:rFonts w:eastAsiaTheme="minorEastAsia"/>
                <w:lang w:val="es-CL"/>
              </w:rPr>
            </w:pP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Si los antecedentes a que se refiere este literal estuvieren amparados por el secreto o reserva, o deban requerirse a una persona no contemplada en el artículo 3° de esta ley, la solicitud deberá ser autorizada previamente por un ministro de la Corte de Apelaciones de Santiago, quien resolverá, sin audiencia ni intervención de terceros dentro del plazo de tres días contado desde la presentación de la misma. Corresponderá al Presidente de esta Corte designar, una vez al año y por sorteo, a dos de sus miembros para cumplir esta labor. Si ninguno de los ministros estuviere en funciones, corresponderá otorgar la autorización al Presidente de la Corte o a quien lo subrogue. Tanto la solicitud de antecedentes amparados por el secreto o reserva que haga la Unidad, como la resolución del tribunal, deberán fundarse en hechos específicos que las justifiquen, de los que se dejará expresa constancia en ambos documentos. Si la petición es rechazada, la Unidad de Análisis Financiero podrá apelar. La apelación será conocida en cuenta y sin más trámite por la sala de cuentas de la mencionada Corte, tan pronto se reciban los antecedentes. El expediente se tramitará en forma secreta y será devuelto íntegramente a la Unidad, fallado que sea el recurso.</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El otorgamiento de los antecedentes requeridos de conformidad a esta letra será gratuito y libre de toda clase de derechos e impuestos.</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4C6D0C" w:rsidRDefault="004C6D0C" w:rsidP="00801923">
            <w:pPr>
              <w:widowControl w:val="0"/>
              <w:tabs>
                <w:tab w:val="clear" w:pos="2835"/>
              </w:tabs>
              <w:autoSpaceDE w:val="0"/>
              <w:autoSpaceDN w:val="0"/>
              <w:adjustRightInd w:val="0"/>
              <w:rPr>
                <w:rFonts w:eastAsiaTheme="minorEastAsia"/>
                <w:lang w:val="es-CL"/>
              </w:rPr>
            </w:pP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No quedarán sometidas a lo dispuesto en el presente literal, las personas que no están obligadas a declarar por razones de secreto, únicamente en aquello que se refiera a éste, en los términos que señala el artículo 303 del Código Procesal Penal.</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c) Disponer exámenes periciales, los que podrá encomendar a instituciones públicas o privadas.</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d) Organizar, mantener y administrar archivos, bases de datos y registros, pudiendo integrarlos, con el debido resguardo y protección, a las redes de información nacionales e internacionales para el adecuado cumplimiento de sus funciones.</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e) Recomendar medidas a los sectores público y privado para prevenir la comisión de los delitos del artículo 27 de esta ley.</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4C6D0C" w:rsidRDefault="004C6D0C" w:rsidP="00801923">
            <w:pPr>
              <w:widowControl w:val="0"/>
              <w:tabs>
                <w:tab w:val="clear" w:pos="2835"/>
              </w:tabs>
              <w:autoSpaceDE w:val="0"/>
              <w:autoSpaceDN w:val="0"/>
              <w:adjustRightInd w:val="0"/>
              <w:rPr>
                <w:rFonts w:eastAsiaTheme="minorEastAsia"/>
                <w:lang w:val="es-CL"/>
              </w:rPr>
            </w:pPr>
          </w:p>
          <w:p w:rsidR="004C6D0C" w:rsidRDefault="004C6D0C" w:rsidP="00801923">
            <w:pPr>
              <w:widowControl w:val="0"/>
              <w:tabs>
                <w:tab w:val="clear" w:pos="2835"/>
              </w:tabs>
              <w:autoSpaceDE w:val="0"/>
              <w:autoSpaceDN w:val="0"/>
              <w:adjustRightInd w:val="0"/>
              <w:rPr>
                <w:rFonts w:eastAsiaTheme="minorEastAsia"/>
                <w:lang w:val="es-CL"/>
              </w:rPr>
            </w:pPr>
          </w:p>
          <w:p w:rsidR="004C6D0C" w:rsidRDefault="004C6D0C" w:rsidP="00801923">
            <w:pPr>
              <w:widowControl w:val="0"/>
              <w:tabs>
                <w:tab w:val="clear" w:pos="2835"/>
              </w:tabs>
              <w:autoSpaceDE w:val="0"/>
              <w:autoSpaceDN w:val="0"/>
              <w:adjustRightInd w:val="0"/>
              <w:rPr>
                <w:rFonts w:eastAsiaTheme="minorEastAsia"/>
                <w:lang w:val="es-CL"/>
              </w:rPr>
            </w:pP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f) Impartir instrucciones de aplicación general a las personas enumeradas en los artículos 3°, inciso primero, y 4°, inciso primero, para el adecuado cumplimiento de las obligaciones establecidas en el Párrafo 2º de este Título, pudiendo en cualquier momento verificar su ejecución.</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w:t>
            </w: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4001CA" w:rsidRDefault="004001CA" w:rsidP="00801923">
            <w:pPr>
              <w:widowControl w:val="0"/>
              <w:tabs>
                <w:tab w:val="clear" w:pos="2835"/>
              </w:tabs>
              <w:autoSpaceDE w:val="0"/>
              <w:autoSpaceDN w:val="0"/>
              <w:adjustRightInd w:val="0"/>
              <w:rPr>
                <w:rFonts w:eastAsiaTheme="minorEastAsia"/>
                <w:lang w:val="es-CL"/>
              </w:rPr>
            </w:pPr>
          </w:p>
          <w:p w:rsidR="00801923" w:rsidRDefault="00801923" w:rsidP="00801923">
            <w:pPr>
              <w:widowControl w:val="0"/>
              <w:tabs>
                <w:tab w:val="clear" w:pos="2835"/>
              </w:tabs>
              <w:autoSpaceDE w:val="0"/>
              <w:autoSpaceDN w:val="0"/>
              <w:adjustRightInd w:val="0"/>
              <w:rPr>
                <w:rFonts w:eastAsiaTheme="minorEastAsia"/>
                <w:lang w:val="es-CL"/>
              </w:rPr>
            </w:pP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w:t>
            </w:r>
            <w:r w:rsidRPr="00933F01">
              <w:rPr>
                <w:rFonts w:eastAsiaTheme="minorEastAsia"/>
                <w:highlight w:val="yellow"/>
                <w:lang w:val="es-CL"/>
              </w:rPr>
              <w:t>g) Proporcionar a la Contraloría General de la República la información que requiera para fiscalizar la oportunidad, integridad y veracidad del contenido de la declaración de intereses y patrimonio, tanto respecto de los jefes de unidades operativas como de sus cónyuges o convivientes civiles, parientes establecidos en el artículo 4 de la ley Nº 19.863, y personas que tengan bajo tutela o curatela, para el cumplimiento de los fines de la referida ley.</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Para dicho efecto, la Contraloría remitirá a la Unidad de Análisis Financiero una nómina con los jefes de las unidades operativas que requieren para su operación del uso de gastos reservados.</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h) Intercambiar información con sus similares del extranjero. Para tal efecto, la Unidad deberá cerciorarse de que dicha información no será utilizada para fines diferentes y que la entidad solicitante operará con reciprocidad en caso que se le solicite información.</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i) Analizar, a lo menos una vez al año, la información a que se refiere el artículo 5º de esta ley.</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j) Acceder, en la forma en que se convenga con el jefe superior de la entidad respectiva, a las informaciones y antecedentes existentes en las bases de datos de los organismos públicos que, con ocasión de la revisión de una operación sospechosa previamente reportada a la Unidad o detectada por ésta en ejercicio de sus atribuciones, resulten necesarios y conducentes para desarrollar o completar el análisis de dicha operación y a los que deba recabar de conformidad con la letra g) de este artículo. En el caso que algún antecedente se encuentre amparado por el secreto o reserva, se aplicará lo dispuesto en segundo párrafo del literal b) de este artículo.</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k) Imponer las sanciones administrativas que establece esta ley.</w:t>
            </w:r>
          </w:p>
          <w:p w:rsid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w:t>
            </w: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xml:space="preserve">   Bajo ningún respecto la Unidad de Análisis Financiero podrá ejercer competencias propias del Ministerio Público o de los Tribunales de Justicia. Asimismo, sólo podrá utilizar la información que reciba para los propósitos establecidos en esta ley, no pudiendo en caso alguno darla a conocer o entregarla a organismos o servicios distintos del Ministerio Público.</w:t>
            </w:r>
          </w:p>
          <w:p w:rsidR="00801923" w:rsidRDefault="00801923" w:rsidP="00801923">
            <w:pPr>
              <w:widowControl w:val="0"/>
              <w:tabs>
                <w:tab w:val="clear" w:pos="2835"/>
              </w:tabs>
              <w:autoSpaceDE w:val="0"/>
              <w:autoSpaceDN w:val="0"/>
              <w:adjustRightInd w:val="0"/>
              <w:rPr>
                <w:rFonts w:eastAsiaTheme="minorEastAsia"/>
                <w:lang w:val="es-CL"/>
              </w:rPr>
            </w:pPr>
          </w:p>
          <w:p w:rsidR="00801923" w:rsidRPr="00801923" w:rsidRDefault="00801923" w:rsidP="00801923">
            <w:pPr>
              <w:widowControl w:val="0"/>
              <w:tabs>
                <w:tab w:val="clear" w:pos="2835"/>
              </w:tabs>
              <w:autoSpaceDE w:val="0"/>
              <w:autoSpaceDN w:val="0"/>
              <w:adjustRightInd w:val="0"/>
              <w:rPr>
                <w:rFonts w:eastAsiaTheme="minorEastAsia"/>
                <w:lang w:val="es-CL"/>
              </w:rPr>
            </w:pPr>
            <w:r w:rsidRPr="00801923">
              <w:rPr>
                <w:rFonts w:eastAsiaTheme="minorEastAsia"/>
                <w:lang w:val="es-CL"/>
              </w:rPr>
              <w:t>    Cuando, del examen de los antecedentes referidos en las letras que anteceden, el Director de la Unidad de Análisis Financiero estime que aparecen indicios de que se ha cometido alguno de los delitos a que se refiere el artículo 27 de esta ley o el artículo 8º de la ley Nº 18.314, deberá disponer su inmediata remisión al Ministerio Público. Asimismo, el Ministerio Público podrá requerir a la Unidad el envío de los antecedentes que estén en su poder y que sean necesarios para las investigaciones de lavado de activos que practique, se hayan iniciado de oficio, por denuncia o por querella, cualquiera sea la fase en que ellas se encuentren.</w:t>
            </w:r>
          </w:p>
          <w:p w:rsidR="0045036E" w:rsidRPr="001C20E4" w:rsidRDefault="0045036E" w:rsidP="00801923">
            <w:pPr>
              <w:widowControl w:val="0"/>
              <w:tabs>
                <w:tab w:val="clear" w:pos="2835"/>
              </w:tabs>
              <w:autoSpaceDE w:val="0"/>
              <w:autoSpaceDN w:val="0"/>
              <w:adjustRightInd w:val="0"/>
              <w:rPr>
                <w:rFonts w:eastAsiaTheme="minorEastAsia"/>
              </w:rPr>
            </w:pPr>
          </w:p>
        </w:tc>
        <w:tc>
          <w:tcPr>
            <w:tcW w:w="1665" w:type="pct"/>
          </w:tcPr>
          <w:p w:rsidR="002E4D8C" w:rsidRPr="002E4D8C" w:rsidRDefault="002E4D8C" w:rsidP="002E4D8C">
            <w:r w:rsidRPr="002E4D8C">
              <w:t>Artículo 6°.- Introdúcense las siguientes modificaciones en la ley N° 19.913, que crea la Unidad de Análisis Financiero y modifica diversas disposiciones en materia de lavado y blanqueo de activos:</w:t>
            </w:r>
          </w:p>
          <w:p w:rsidR="002E4D8C" w:rsidRDefault="002E4D8C"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E74F7F" w:rsidRDefault="00E74F7F" w:rsidP="002E4D8C"/>
          <w:p w:rsidR="004C6D0C" w:rsidRDefault="004C6D0C" w:rsidP="002E4D8C"/>
          <w:p w:rsidR="00E74F7F" w:rsidRDefault="00E74F7F" w:rsidP="002E4D8C"/>
          <w:p w:rsidR="00E74F7F" w:rsidRPr="002E4D8C" w:rsidRDefault="00E74F7F" w:rsidP="002E4D8C"/>
          <w:p w:rsidR="002E4D8C" w:rsidRPr="002E4D8C" w:rsidRDefault="002E4D8C" w:rsidP="002E4D8C">
            <w:r w:rsidRPr="002E4D8C">
              <w:t>1) Agrégase, en la letra f) del inciso primero del artículo 2°, el siguiente párrafo segundo:</w:t>
            </w:r>
          </w:p>
          <w:p w:rsidR="002E4D8C" w:rsidRDefault="002E4D8C" w:rsidP="002E4D8C"/>
          <w:p w:rsidR="00E74F7F" w:rsidRDefault="00E74F7F" w:rsidP="002E4D8C"/>
          <w:p w:rsidR="00E74F7F" w:rsidRDefault="00E74F7F" w:rsidP="002E4D8C"/>
          <w:p w:rsidR="00E74F7F" w:rsidRDefault="00E74F7F" w:rsidP="002E4D8C"/>
          <w:p w:rsidR="00E74F7F" w:rsidRDefault="00E74F7F" w:rsidP="002E4D8C"/>
          <w:p w:rsidR="004C6D0C" w:rsidRDefault="004C6D0C" w:rsidP="002E4D8C"/>
          <w:p w:rsidR="004C6D0C" w:rsidRDefault="004C6D0C" w:rsidP="002E4D8C"/>
          <w:p w:rsidR="00801923" w:rsidRPr="002E4D8C" w:rsidRDefault="00801923" w:rsidP="002E4D8C"/>
          <w:p w:rsidR="002E4D8C" w:rsidRPr="002E4D8C" w:rsidRDefault="002E4D8C" w:rsidP="002E4D8C">
            <w:r w:rsidRPr="002E4D8C">
              <w:t>“Para efectos de lo dispuesto en el párrafo precedente, la Unidad de Análisis Financiero podrá evaluar la ejecución de la ley y la normativa aplicable por parte de las personas descritas precedentemente, aplicando un enfoque basado en riesgos de lavado de activos y financiamiento del terrorismo. Asimismo, supervisará la adecuada gestión de dichos riesgos. Con este fin, la Unidad de Análisis Financiero podrá requerir todos los datos y antecedentes que le permitan llevar a cabo dicha labor, así como aprobar matrices de riesgo generales para los sectores económicos señalados en el inciso primero del artículo 3° de la presente ley. La información entregada a la Unidad de Análisis Financiero, así como la evaluación de los antecedentes y su utilización durante el proceso de fiscalización, tendrán el carácter de información reservada.”.</w:t>
            </w:r>
          </w:p>
          <w:p w:rsidR="0045036E" w:rsidRPr="001C20E4" w:rsidRDefault="0045036E" w:rsidP="002E4D8C"/>
        </w:tc>
        <w:tc>
          <w:tcPr>
            <w:tcW w:w="1674" w:type="pct"/>
          </w:tcPr>
          <w:p w:rsidR="0045036E" w:rsidRPr="001C20E4" w:rsidRDefault="0045036E" w:rsidP="001D23D9">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8B5719" w:rsidRPr="008B5719" w:rsidRDefault="008B5719" w:rsidP="008B5719">
            <w:pPr>
              <w:contextualSpacing/>
              <w:rPr>
                <w:rFonts w:cs="Arial"/>
                <w:szCs w:val="22"/>
              </w:rPr>
            </w:pPr>
            <w:r w:rsidRPr="008B5719">
              <w:rPr>
                <w:rFonts w:cs="Arial"/>
                <w:szCs w:val="22"/>
              </w:rPr>
              <w:t>2) Intercálase el siguiente artículo 22 bis:</w:t>
            </w:r>
          </w:p>
          <w:p w:rsidR="008B5719" w:rsidRPr="008B5719" w:rsidRDefault="008B5719" w:rsidP="008B5719">
            <w:pPr>
              <w:contextualSpacing/>
              <w:rPr>
                <w:rFonts w:cs="Arial"/>
                <w:szCs w:val="22"/>
              </w:rPr>
            </w:pPr>
          </w:p>
          <w:p w:rsidR="008B5719" w:rsidRPr="008B5719" w:rsidRDefault="008B5719" w:rsidP="008B5719">
            <w:pPr>
              <w:contextualSpacing/>
              <w:rPr>
                <w:rFonts w:cs="Arial"/>
                <w:szCs w:val="22"/>
              </w:rPr>
            </w:pPr>
            <w:r w:rsidRPr="008B5719">
              <w:rPr>
                <w:rFonts w:cs="Arial"/>
                <w:szCs w:val="22"/>
              </w:rPr>
              <w:t>“Artículo 22 bis.- Tratándose de hechos u omisiones constitutivos de infracciones leves, la Unidad de Análisis Financiero no podrá iniciar un procedimiento administrativo para aplicar las sanciones previstas en este Título una vez transcurridos tres años de cometidas, plazo que se interrumpirá con la notificación de la formulación de cargos respecto de los hechos u omisiones constitutivas de éstas.</w:t>
            </w:r>
          </w:p>
          <w:p w:rsidR="008B5719" w:rsidRPr="008B5719" w:rsidRDefault="008B5719" w:rsidP="008B5719">
            <w:pPr>
              <w:contextualSpacing/>
              <w:rPr>
                <w:rFonts w:cs="Arial"/>
                <w:szCs w:val="22"/>
              </w:rPr>
            </w:pPr>
          </w:p>
          <w:p w:rsidR="008B5719" w:rsidRPr="008B5719" w:rsidRDefault="008B5719" w:rsidP="008B5719">
            <w:pPr>
              <w:contextualSpacing/>
              <w:rPr>
                <w:rFonts w:cs="Arial"/>
                <w:szCs w:val="22"/>
              </w:rPr>
            </w:pPr>
            <w:r w:rsidRPr="008B5719">
              <w:rPr>
                <w:rFonts w:cs="Arial"/>
                <w:szCs w:val="22"/>
              </w:rPr>
              <w:t>Tratándose de hechos u omisiones constitutivos de infracciones menos graves y graves, dicho plazo será de cinco años, el que se interrumpirá con la notificación de la respectiva formulación de cargos.”.</w:t>
            </w:r>
          </w:p>
          <w:p w:rsidR="0045036E" w:rsidRDefault="0045036E">
            <w:pPr>
              <w:contextualSpacing/>
              <w:rPr>
                <w:rFonts w:cs="Arial"/>
                <w:szCs w:val="22"/>
              </w:rPr>
            </w:pPr>
          </w:p>
          <w:p w:rsidR="004001CA" w:rsidRDefault="004001CA">
            <w:pPr>
              <w:contextualSpacing/>
              <w:rPr>
                <w:rFonts w:cs="Arial"/>
                <w:szCs w:val="22"/>
              </w:rPr>
            </w:pPr>
          </w:p>
          <w:p w:rsidR="004001CA" w:rsidRPr="001C20E4" w:rsidRDefault="004001CA">
            <w:pPr>
              <w:contextualSpacing/>
              <w:rPr>
                <w:rFonts w:cs="Arial"/>
                <w:szCs w:val="22"/>
              </w:rPr>
            </w:pPr>
          </w:p>
        </w:tc>
        <w:tc>
          <w:tcPr>
            <w:tcW w:w="1674" w:type="pct"/>
          </w:tcPr>
          <w:p w:rsidR="0045036E" w:rsidRPr="001C20E4" w:rsidRDefault="0045036E" w:rsidP="00F80DA8">
            <w:pPr>
              <w:tabs>
                <w:tab w:val="left" w:pos="0"/>
              </w:tabs>
              <w:rPr>
                <w:rFonts w:cs="Arial"/>
                <w:szCs w:val="22"/>
              </w:rPr>
            </w:pPr>
          </w:p>
        </w:tc>
      </w:tr>
      <w:tr w:rsidR="00096CE0" w:rsidRPr="001C20E4" w:rsidTr="00096CE0">
        <w:trPr>
          <w:trHeight w:val="315"/>
          <w:jc w:val="center"/>
        </w:trPr>
        <w:tc>
          <w:tcPr>
            <w:tcW w:w="1661" w:type="pct"/>
          </w:tcPr>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lang w:val="es-CL" w:eastAsia="es-CL"/>
              </w:rPr>
              <w:t>Artículo 27.- Será castigado con presidio mayor sus grados mínimo a medio y multa de doscientas a mil unidades tributarias mensuales:</w:t>
            </w: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p>
          <w:p w:rsid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lang w:val="es-CL" w:eastAsia="es-CL"/>
              </w:rPr>
              <w:t>    a) El que  de cualquier forma oculte o disimule el origen ilícito de determinados bienes, a sabiendas de que provienen, directa o indirectamente, de la perpetración de hechos constitutivos de alguno de los delitos contemplados en la ley Nº 20.000, que sanciona el tráfico ilícito de estupefacientes y sustancias psicotrópicas; en la ley Nº 18.314, que determina las conductas terroristas y fija su penalidad; en el artículo 10 de la ley Nº 17.798, sobre control de armas; en el Título XI de la ley Nº 18.045,</w:t>
            </w:r>
            <w:r w:rsidRPr="00622693">
              <w:rPr>
                <w:rFonts w:eastAsiaTheme="minorEastAsia" w:cs="Arial"/>
                <w:szCs w:val="22"/>
                <w:u w:val="single"/>
                <w:lang w:val="es-CL" w:eastAsia="es-CL"/>
              </w:rPr>
              <w:t xml:space="preserve"> sobre mercado de valores;</w:t>
            </w:r>
            <w:r w:rsidRPr="00622693">
              <w:rPr>
                <w:rFonts w:eastAsiaTheme="minorEastAsia" w:cs="Arial"/>
                <w:szCs w:val="22"/>
                <w:lang w:val="es-CL" w:eastAsia="es-CL"/>
              </w:rPr>
              <w:t xml:space="preserve"> en el Título XVII del decreto con fuerza de ley Nº 3, del Ministerio de Hacienda, de 1997, ley General de Bancos; en el artículo 168 en relación con el artículo 178, Nº 1, ambos del decreto con fuerza de ley Nº 30, del Ministerio de Hacienda, de 2005, que aprueba el texto refundido, coordinado y sistematizado del decreto con fuerza de ley Nº 213, del Ministerio de Hacienda, de 1953, sobre Ordenanza de Aduanas; en el inciso segundo del artículo 81 de la ley Nº 17.336, sobre propiedad intelectual; en los artículos 59 y 64 de la ley Nº 18.840, orgánica constitucional del Banco Central de Chile; en el párrafo tercero del número 4º del artículo 97 del Código Tributario; en los párrafos 4, 5, 6, 9 y 9 bis del Título V y 10 del Título VI, todos del Libro Segundo del Código Penal; en los artículos 141, 142, 366 quinquies, 367, 374 bis, 411 bis, 411 ter, 411 quáter, 411 quinquies, y los  artículos 468 y 470, numerales 1°, 8 y 11, en relación al inciso final del artículo 467 del Código Penal; el  artículo 7 de la ley Nº 20.009, o bien, a sabiendas de dicho origen, oculte o disimule estos bienes.</w:t>
            </w:r>
          </w:p>
          <w:p w:rsidR="004001CA" w:rsidRDefault="004001CA" w:rsidP="00622693">
            <w:pPr>
              <w:widowControl w:val="0"/>
              <w:tabs>
                <w:tab w:val="clear" w:pos="2835"/>
              </w:tabs>
              <w:autoSpaceDE w:val="0"/>
              <w:autoSpaceDN w:val="0"/>
              <w:adjustRightInd w:val="0"/>
              <w:rPr>
                <w:rFonts w:eastAsiaTheme="minorEastAsia" w:cs="Arial"/>
                <w:szCs w:val="22"/>
                <w:lang w:val="es-CL" w:eastAsia="es-CL"/>
              </w:rPr>
            </w:pP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p>
          <w:p w:rsidR="00622693" w:rsidRPr="00622693" w:rsidRDefault="00622693" w:rsidP="00622693">
            <w:pPr>
              <w:widowControl w:val="0"/>
              <w:tabs>
                <w:tab w:val="clear" w:pos="2835"/>
              </w:tabs>
              <w:autoSpaceDE w:val="0"/>
              <w:autoSpaceDN w:val="0"/>
              <w:adjustRightInd w:val="0"/>
              <w:rPr>
                <w:rFonts w:eastAsiaTheme="minorEastAsia" w:cs="Arial"/>
                <w:szCs w:val="22"/>
                <w:highlight w:val="yellow"/>
                <w:lang w:val="es-CL" w:eastAsia="es-CL"/>
              </w:rPr>
            </w:pPr>
            <w:r w:rsidRPr="00622693">
              <w:rPr>
                <w:rFonts w:eastAsiaTheme="minorEastAsia" w:cs="Arial"/>
                <w:szCs w:val="22"/>
                <w:lang w:val="es-CL" w:eastAsia="es-CL"/>
              </w:rPr>
              <w:t xml:space="preserve">    </w:t>
            </w:r>
            <w:r w:rsidRPr="00622693">
              <w:rPr>
                <w:rFonts w:eastAsiaTheme="minorEastAsia" w:cs="Arial"/>
                <w:szCs w:val="22"/>
                <w:highlight w:val="yellow"/>
                <w:lang w:val="es-CL" w:eastAsia="es-CL"/>
              </w:rPr>
              <w:t>b) El que adquiera, posea, tenga o use los referidos bienes, con ánimo de lucro, cuando al momento de recibirlos ha conocido su origen ilícito.</w:t>
            </w:r>
          </w:p>
          <w:p w:rsidR="00622693" w:rsidRPr="00622693" w:rsidRDefault="00622693" w:rsidP="00622693">
            <w:pPr>
              <w:widowControl w:val="0"/>
              <w:tabs>
                <w:tab w:val="clear" w:pos="2835"/>
              </w:tabs>
              <w:autoSpaceDE w:val="0"/>
              <w:autoSpaceDN w:val="0"/>
              <w:adjustRightInd w:val="0"/>
              <w:rPr>
                <w:rFonts w:eastAsiaTheme="minorEastAsia" w:cs="Arial"/>
                <w:szCs w:val="22"/>
                <w:highlight w:val="yellow"/>
                <w:lang w:val="es-CL" w:eastAsia="es-CL"/>
              </w:rPr>
            </w:pPr>
          </w:p>
          <w:p w:rsidR="00622693" w:rsidRPr="00622693" w:rsidRDefault="00622693" w:rsidP="00622693">
            <w:pPr>
              <w:widowControl w:val="0"/>
              <w:tabs>
                <w:tab w:val="clear" w:pos="2835"/>
              </w:tabs>
              <w:autoSpaceDE w:val="0"/>
              <w:autoSpaceDN w:val="0"/>
              <w:adjustRightInd w:val="0"/>
              <w:rPr>
                <w:rFonts w:eastAsiaTheme="minorEastAsia" w:cs="Arial"/>
                <w:szCs w:val="22"/>
                <w:highlight w:val="yellow"/>
                <w:lang w:val="es-CL" w:eastAsia="es-CL"/>
              </w:rPr>
            </w:pPr>
          </w:p>
          <w:p w:rsid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highlight w:val="yellow"/>
                <w:lang w:val="es-CL" w:eastAsia="es-CL"/>
              </w:rPr>
              <w:t>Se aplicará la misma pena a las conductas descritas en este artículo si los bienes provienen de un hecho realizado en el extranjero, que sea punible en su lugar de comisión y en Chile constituya alguno de los delitos señalados en la letra a) precedente.</w:t>
            </w: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p>
          <w:p w:rsid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lang w:val="es-CL" w:eastAsia="es-CL"/>
              </w:rPr>
              <w:t>    Para los efectos de este artículo, se entiende por bienes los objetos de cualquier clase apreciables en dinero, corporales o incorporales, muebles o inmuebles, tangibles o intangibles, como asimismo los documentos o instrumentos legales que acreditan la propiedad u otros derechos sobre los mismos.</w:t>
            </w: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p>
          <w:p w:rsid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lang w:val="es-CL" w:eastAsia="es-CL"/>
              </w:rPr>
              <w:t>    Si el autor de alguna de las conductas descritas en las letras a) o b) no ha conocido el origen de los bienes por negligencia inexcusable, la pena privativa de libertad que corresponda de acuerdo al inciso primero o final de este artículo será rebajada en dos grados.</w:t>
            </w: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p>
          <w:p w:rsid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lang w:val="es-CL" w:eastAsia="es-CL"/>
              </w:rPr>
              <w:t>    La circunstancia de que el origen de los bienes aludidos sea un hecho típico y antijurídico de los señalados en la letra a) del inciso primero no requerirá sentencia condenatoria previa, y podrá establecerse en el mismo proceso que se substancie para juzgar el delito tipificado en este artículo.</w:t>
            </w: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p>
          <w:p w:rsid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lang w:val="es-CL" w:eastAsia="es-CL"/>
              </w:rPr>
              <w:t>    Si el que participó como autor o cómplice del hecho que originó tales bienes incurre, además, en la figura penal contemplada en este artículo, será también sancionado conforme a ésta.</w:t>
            </w: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p>
          <w:p w:rsidR="00622693" w:rsidRPr="00622693" w:rsidRDefault="00622693" w:rsidP="00622693">
            <w:pPr>
              <w:widowControl w:val="0"/>
              <w:tabs>
                <w:tab w:val="clear" w:pos="2835"/>
              </w:tabs>
              <w:autoSpaceDE w:val="0"/>
              <w:autoSpaceDN w:val="0"/>
              <w:adjustRightInd w:val="0"/>
              <w:rPr>
                <w:rFonts w:eastAsiaTheme="minorEastAsia" w:cs="Arial"/>
                <w:szCs w:val="22"/>
                <w:lang w:val="es-CL" w:eastAsia="es-CL"/>
              </w:rPr>
            </w:pPr>
            <w:r w:rsidRPr="00622693">
              <w:rPr>
                <w:rFonts w:eastAsiaTheme="minorEastAsia" w:cs="Arial"/>
                <w:szCs w:val="22"/>
                <w:lang w:val="es-CL" w:eastAsia="es-CL"/>
              </w:rPr>
              <w:t>    En todo caso, la pena privativa de libertad aplicable en los casos de las letras a) y b) no podrá exceder de la pena mayor que la ley asigna al autor del crimen o simple delito del cual provienen los bienes objeto del delito contemplado en este artículo, sin perjuicio de las multas y penas accesorias que correspondan en conformidad a la ley.</w:t>
            </w:r>
          </w:p>
          <w:p w:rsidR="0045036E" w:rsidRDefault="0045036E" w:rsidP="00D51C52">
            <w:pPr>
              <w:widowControl w:val="0"/>
              <w:tabs>
                <w:tab w:val="clear" w:pos="2835"/>
              </w:tabs>
              <w:autoSpaceDE w:val="0"/>
              <w:autoSpaceDN w:val="0"/>
              <w:adjustRightInd w:val="0"/>
              <w:rPr>
                <w:rFonts w:eastAsiaTheme="minorEastAsia" w:cs="Arial"/>
                <w:szCs w:val="22"/>
                <w:lang w:val="es-ES_tradnl" w:eastAsia="es-CL"/>
              </w:rPr>
            </w:pPr>
          </w:p>
          <w:p w:rsidR="00045FFB" w:rsidRDefault="00045FFB" w:rsidP="00D51C52">
            <w:pPr>
              <w:widowControl w:val="0"/>
              <w:tabs>
                <w:tab w:val="clear" w:pos="2835"/>
              </w:tabs>
              <w:autoSpaceDE w:val="0"/>
              <w:autoSpaceDN w:val="0"/>
              <w:adjustRightInd w:val="0"/>
              <w:rPr>
                <w:rFonts w:eastAsiaTheme="minorEastAsia" w:cs="Arial"/>
                <w:szCs w:val="22"/>
                <w:lang w:val="es-ES_tradnl" w:eastAsia="es-CL"/>
              </w:rPr>
            </w:pPr>
          </w:p>
          <w:p w:rsidR="00045FFB" w:rsidRDefault="00045FFB" w:rsidP="00D51C52">
            <w:pPr>
              <w:widowControl w:val="0"/>
              <w:tabs>
                <w:tab w:val="clear" w:pos="2835"/>
              </w:tabs>
              <w:autoSpaceDE w:val="0"/>
              <w:autoSpaceDN w:val="0"/>
              <w:adjustRightInd w:val="0"/>
              <w:rPr>
                <w:rFonts w:eastAsiaTheme="minorEastAsia" w:cs="Arial"/>
                <w:szCs w:val="22"/>
                <w:lang w:val="es-ES_tradnl" w:eastAsia="es-CL"/>
              </w:rPr>
            </w:pPr>
          </w:p>
          <w:p w:rsidR="00045FFB" w:rsidRDefault="00045FFB" w:rsidP="00D51C52">
            <w:pPr>
              <w:widowControl w:val="0"/>
              <w:tabs>
                <w:tab w:val="clear" w:pos="2835"/>
              </w:tabs>
              <w:autoSpaceDE w:val="0"/>
              <w:autoSpaceDN w:val="0"/>
              <w:adjustRightInd w:val="0"/>
              <w:rPr>
                <w:rFonts w:eastAsiaTheme="minorEastAsia" w:cs="Arial"/>
                <w:szCs w:val="22"/>
                <w:lang w:val="es-ES_tradnl" w:eastAsia="es-CL"/>
              </w:rPr>
            </w:pPr>
          </w:p>
          <w:p w:rsidR="00045FFB" w:rsidRDefault="00045FFB" w:rsidP="00D51C52">
            <w:pPr>
              <w:widowControl w:val="0"/>
              <w:tabs>
                <w:tab w:val="clear" w:pos="2835"/>
              </w:tabs>
              <w:autoSpaceDE w:val="0"/>
              <w:autoSpaceDN w:val="0"/>
              <w:adjustRightInd w:val="0"/>
              <w:rPr>
                <w:rFonts w:eastAsiaTheme="minorEastAsia" w:cs="Arial"/>
                <w:szCs w:val="22"/>
                <w:lang w:val="es-ES_tradnl" w:eastAsia="es-CL"/>
              </w:rPr>
            </w:pPr>
          </w:p>
          <w:p w:rsidR="00045FFB" w:rsidRDefault="00045FFB" w:rsidP="00D51C52">
            <w:pPr>
              <w:widowControl w:val="0"/>
              <w:tabs>
                <w:tab w:val="clear" w:pos="2835"/>
              </w:tabs>
              <w:autoSpaceDE w:val="0"/>
              <w:autoSpaceDN w:val="0"/>
              <w:adjustRightInd w:val="0"/>
              <w:rPr>
                <w:rFonts w:eastAsiaTheme="minorEastAsia" w:cs="Arial"/>
                <w:szCs w:val="22"/>
                <w:lang w:val="es-ES_tradnl" w:eastAsia="es-CL"/>
              </w:rPr>
            </w:pPr>
          </w:p>
          <w:p w:rsidR="00045FFB" w:rsidRPr="001C20E4" w:rsidRDefault="00045FFB" w:rsidP="00D51C52">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785821" w:rsidRP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785821" w:rsidRDefault="00785821" w:rsidP="00785821">
            <w:pPr>
              <w:contextualSpacing/>
              <w:rPr>
                <w:rFonts w:cs="Arial"/>
                <w:szCs w:val="22"/>
              </w:rPr>
            </w:pPr>
          </w:p>
          <w:p w:rsidR="004001CA" w:rsidRDefault="004001CA" w:rsidP="00785821">
            <w:pPr>
              <w:contextualSpacing/>
              <w:rPr>
                <w:rFonts w:cs="Arial"/>
                <w:szCs w:val="22"/>
              </w:rPr>
            </w:pPr>
          </w:p>
          <w:p w:rsidR="00785821" w:rsidRPr="00785821" w:rsidRDefault="00785821" w:rsidP="00785821">
            <w:pPr>
              <w:contextualSpacing/>
              <w:rPr>
                <w:rFonts w:cs="Arial"/>
                <w:szCs w:val="22"/>
              </w:rPr>
            </w:pPr>
            <w:r w:rsidRPr="00785821">
              <w:rPr>
                <w:rFonts w:cs="Arial"/>
                <w:szCs w:val="22"/>
              </w:rPr>
              <w:t>3) Intercálase, en la letra a) del inciso primero del artículo 27, a continuación de la expresión “sobre mercado de valores;”, la siguiente frase: “en el inciso primero del artículo 39 y”.</w:t>
            </w:r>
          </w:p>
          <w:p w:rsidR="0045036E" w:rsidRPr="001C20E4" w:rsidRDefault="0045036E">
            <w:pPr>
              <w:contextualSpacing/>
              <w:rPr>
                <w:rFonts w:cs="Arial"/>
                <w:szCs w:val="22"/>
              </w:rPr>
            </w:pPr>
          </w:p>
        </w:tc>
        <w:tc>
          <w:tcPr>
            <w:tcW w:w="1674" w:type="pct"/>
          </w:tcPr>
          <w:p w:rsidR="0045036E" w:rsidRPr="001C20E4" w:rsidRDefault="0045036E" w:rsidP="006B0452">
            <w:pPr>
              <w:tabs>
                <w:tab w:val="clear" w:pos="2835"/>
              </w:tabs>
              <w:jc w:val="center"/>
              <w:rPr>
                <w:rFonts w:cs="Arial"/>
                <w:szCs w:val="22"/>
              </w:rPr>
            </w:pPr>
          </w:p>
        </w:tc>
      </w:tr>
      <w:tr w:rsidR="00D30AF0" w:rsidRPr="001C20E4" w:rsidTr="00096CE0">
        <w:trPr>
          <w:trHeight w:val="315"/>
          <w:jc w:val="center"/>
        </w:trPr>
        <w:tc>
          <w:tcPr>
            <w:tcW w:w="1661" w:type="pct"/>
          </w:tcPr>
          <w:p w:rsidR="00D30AF0" w:rsidRDefault="003D0245" w:rsidP="003D0245">
            <w:pPr>
              <w:widowControl w:val="0"/>
              <w:tabs>
                <w:tab w:val="clear" w:pos="2835"/>
              </w:tabs>
              <w:autoSpaceDE w:val="0"/>
              <w:autoSpaceDN w:val="0"/>
              <w:adjustRightInd w:val="0"/>
              <w:jc w:val="center"/>
              <w:rPr>
                <w:rFonts w:eastAsiaTheme="minorEastAsia" w:cs="Arial"/>
                <w:b/>
                <w:szCs w:val="22"/>
                <w:lang w:val="es-ES_tradnl" w:eastAsia="es-CL"/>
              </w:rPr>
            </w:pPr>
            <w:r w:rsidRPr="003D0245">
              <w:rPr>
                <w:rFonts w:eastAsiaTheme="minorEastAsia" w:cs="Arial"/>
                <w:b/>
                <w:szCs w:val="22"/>
                <w:lang w:val="es-ES_tradnl" w:eastAsia="es-CL"/>
              </w:rPr>
              <w:t>DECRETO LEY N° 3.538, DE 1980, QUE CREA LA COMISIÓN PARA EL MERCADO FINANCIERO</w:t>
            </w:r>
          </w:p>
          <w:p w:rsidR="003D0245" w:rsidRDefault="003D0245" w:rsidP="003D0245">
            <w:pPr>
              <w:widowControl w:val="0"/>
              <w:tabs>
                <w:tab w:val="clear" w:pos="2835"/>
              </w:tabs>
              <w:autoSpaceDE w:val="0"/>
              <w:autoSpaceDN w:val="0"/>
              <w:adjustRightInd w:val="0"/>
              <w:jc w:val="center"/>
              <w:rPr>
                <w:rFonts w:eastAsiaTheme="minorEastAsia" w:cs="Arial"/>
                <w:b/>
                <w:szCs w:val="22"/>
                <w:lang w:val="es-ES_tradnl" w:eastAsia="es-CL"/>
              </w:rPr>
            </w:pPr>
          </w:p>
          <w:p w:rsidR="00D610F5" w:rsidRDefault="00D610F5" w:rsidP="003D0245">
            <w:pPr>
              <w:widowControl w:val="0"/>
              <w:tabs>
                <w:tab w:val="clear" w:pos="2835"/>
              </w:tabs>
              <w:autoSpaceDE w:val="0"/>
              <w:autoSpaceDN w:val="0"/>
              <w:adjustRightInd w:val="0"/>
              <w:jc w:val="center"/>
              <w:rPr>
                <w:rFonts w:eastAsiaTheme="minorEastAsia" w:cs="Arial"/>
                <w:b/>
                <w:szCs w:val="22"/>
                <w:lang w:val="es-ES_tradnl" w:eastAsia="es-CL"/>
              </w:rPr>
            </w:pPr>
          </w:p>
          <w:p w:rsidR="00D610F5" w:rsidRDefault="00D610F5" w:rsidP="003D0245">
            <w:pPr>
              <w:widowControl w:val="0"/>
              <w:tabs>
                <w:tab w:val="clear" w:pos="2835"/>
              </w:tabs>
              <w:autoSpaceDE w:val="0"/>
              <w:autoSpaceDN w:val="0"/>
              <w:adjustRightInd w:val="0"/>
              <w:jc w:val="center"/>
              <w:rPr>
                <w:rFonts w:eastAsiaTheme="minorEastAsia" w:cs="Arial"/>
                <w:b/>
                <w:szCs w:val="22"/>
                <w:lang w:val="es-ES_tradnl" w:eastAsia="es-CL"/>
              </w:rPr>
            </w:pPr>
          </w:p>
          <w:p w:rsidR="00D610F5" w:rsidRDefault="00D610F5" w:rsidP="003D0245">
            <w:pPr>
              <w:widowControl w:val="0"/>
              <w:tabs>
                <w:tab w:val="clear" w:pos="2835"/>
              </w:tabs>
              <w:autoSpaceDE w:val="0"/>
              <w:autoSpaceDN w:val="0"/>
              <w:adjustRightInd w:val="0"/>
              <w:jc w:val="center"/>
              <w:rPr>
                <w:rFonts w:eastAsiaTheme="minorEastAsia" w:cs="Arial"/>
                <w:b/>
                <w:szCs w:val="22"/>
                <w:lang w:val="es-ES_tradnl" w:eastAsia="es-CL"/>
              </w:rPr>
            </w:pPr>
          </w:p>
          <w:p w:rsidR="00D610F5" w:rsidRDefault="00D610F5" w:rsidP="003D0245">
            <w:pPr>
              <w:widowControl w:val="0"/>
              <w:tabs>
                <w:tab w:val="clear" w:pos="2835"/>
              </w:tabs>
              <w:autoSpaceDE w:val="0"/>
              <w:autoSpaceDN w:val="0"/>
              <w:adjustRightInd w:val="0"/>
              <w:jc w:val="center"/>
              <w:rPr>
                <w:rFonts w:eastAsiaTheme="minorEastAsia" w:cs="Arial"/>
                <w:b/>
                <w:szCs w:val="22"/>
                <w:lang w:val="es-ES_tradnl" w:eastAsia="es-CL"/>
              </w:rPr>
            </w:pPr>
          </w:p>
          <w:p w:rsidR="00D610F5" w:rsidRDefault="00D610F5" w:rsidP="003D0245">
            <w:pPr>
              <w:widowControl w:val="0"/>
              <w:tabs>
                <w:tab w:val="clear" w:pos="2835"/>
              </w:tabs>
              <w:autoSpaceDE w:val="0"/>
              <w:autoSpaceDN w:val="0"/>
              <w:adjustRightInd w:val="0"/>
              <w:jc w:val="center"/>
              <w:rPr>
                <w:rFonts w:eastAsiaTheme="minorEastAsia" w:cs="Arial"/>
                <w:b/>
                <w:szCs w:val="22"/>
                <w:lang w:val="es-ES_tradnl" w:eastAsia="es-CL"/>
              </w:rPr>
            </w:pP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Artículo 5.- La Comisión está investida de las siguientes atribuciones generales, las que deberán ser ejercidas conforme a las reglas y al quórum de aprobación que determine esta ley:</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 Dictar las normas para la aplicación y cumplimiento de las leyes y reglamentos y, en general, dictar cualquier otra normativa que de conformidad con la ley le corresponda para la regulación del mercado financiero. De igual modo, corresponderá a la Comisión interpretar administrativamente las leyes, reglamentos y demás normas que rigen a las personas, entidades o actividades fiscalizadas, y podrá fijar normas, impartir instrucciones y dictar órdenes para su aplicación y cumplimiento. Estas potestades no podrán extenderse en ningún caso a las facultades normativas e interpretativas que le corresponden al Banco Central de Chile de conformidad con la ley, sin perjuicio de lo dispuesto en el artículo 82 de su ley orgánica constitucional.</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 Absolver las consultas y peticiones e investigar las denuncias o reclamos formulados por accionistas, inversionistas, asegurados, depositantes u otros legítimos interesados, en materias de su competencia, determinando los requisitos o condiciones previas que deban cumplir para conocer de ellas. Para estos efectos, la Comisión establecerá criterios y procedimientos para coordinar el trabajo entre sus diversas unidades, con el objeto de gestionar de manera eficiente las denuncias recibidas del público.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 Evacuar los informes que le requieran los fiscales del Ministerio Público que estén dirigiendo investigaciones criminales, siempre que correspondan a materias de su competencia y se refieran a información que esté disponible en sus archivos.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4. Examinar sin restricción alguna y por los medios que estime pertinentes todas las operaciones, bienes, libros, cuentas, archivos y documentos de las personas, entidades o actividades fiscalizadas o de sus matrices, filiales o coligadas, y requerir de ellas o de sus administradores, asesores o personal, los antecedentes y explicaciones que juzgue necesarios para obtener información acerca de su situación, sus recursos, de la forma en que se administran sus negocios e inversiones, de la actuación de sus personeros, del grado de seguridad y prudencia con que hayan invertido sus fondos, cuando corresponda y, en general, de cualquier otro punto que convenga esclarecer para efectos de determinar el cumplimiento de la normativa aplicable por parte de la entidad fiscalizada.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Asimismo, podrá pedir la ejecución y presentación de balances y estados financieros en las fechas que estime convenientes para comprobar la exactitud e inversión de los capitales y fondos.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Igualmente, podrá solicitar la entrega de cualquier documento, libro o antecedente que sea necesario para fines de fiscalización o estadística, sin alterar el normal desenvolvimiento de las actividades del afectado.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Salvo las excepciones autorizadas por la Comisión, todos los libros, archivos y documentos de las personas o entidades fiscalizadas deberán estar permanentemente disponibles para su examen en la sede principal de sus negocios.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A su vez, con el objeto de evaluar los riesgos de la situación financiera de las entidades sujetas a su fiscalización, la Comisión podrá requerirles a éstas antecedentes sobre la situación financiera de todas aquellas personas o entidades que pertenezcan a su mismo grupo empresarial que pudieren comprometer, en forma significativa, la situación financiera de la entidad fiscalizada, así como información conducente a determinar las relaciones de propiedad o control y operaciones entre ellas. Para efectos de lo dispuesto en este párrafo, se entenderá por grupo empresarial lo establecido en los artículos 96 y siguientes de la ley Nº 18.045, de Mercado de Valores. La información y antecedentes recabados por la Comisión en conformidad con este párrafo quedarán sujetos al régimen y a las obligaciones de reserva contemplados en esta ley.</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5. Autorizar al fiscal a que se refiere el artículo 22, para que, en el marco de investigaciones o procedimientos sancionatorios, con el voto favorable de al menos tres de sus comisionados y mediante resolución fundada, requiera información relativa a operaciones bancarias de personas determinadas, comprendiéndose todas aquellas sometidas a secreto o sujetas a reserva, que resulten indispensables para verificar la realización de conductas, por parte de personas naturales o jurídicas, que constituyan infracciones a las normas que rigen a las personas o entidades fiscalizadas por la Comisión y que, a su vez, se encuentren tipificadas como delitos en la legislación sometida a su fiscalización. El ejercicio de esta atribución sólo procederá a solicitud del antedicho fiscal, debiendo contar, además de lo anterior, con la autorización previa de un ministro de la Corte de Apelaciones de Santiago de conformidad con lo establecido en los párrafos siguientes del presente numeral.</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Igualmente se podrá autorizar al fiscal para dar cumplimiento a los requerimientos provenientes de entidades fiscalizadoras extranjeras cuando ello haya sido acordado bajo un convenio internacional de intercambio de información suscrito por la Comisión en virtud de las facultades conferidas en el numeral 23 de este artículo y en conformidad a los términos y a la reciprocidad que el convenio establezca.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Salvo los casos especialmente regulados en otras disposiciones legales, los requerimientos de información sobre operaciones bancarias sometidas a secreto o reserva que formule el fiscal en virtud de lo establecido en este numeral deberán, además, ser autorizados previamente por un ministro de la Corte de Apelaciones de Santiago. Corresponderá al presidente de dicha corte designar, una vez al año y por sorteo, a dos de sus miembros para cumplir esta labor. Si ninguno de los ministros estuviere en funciones, corresponderá otorgar la autorización al presidente de la corte o a quien lo subrogue. La solicitud deberá ser presentada por el fiscal conjuntamente con los antecedentes que sustenten el requerimiento y que justifiquen la necesidad de contar con dicha información para efectos de verificar la existencia de las infracciones materia de la investigación o procedimiento sancionatorio en curso. En el caso de requerimientos efectuados desde el extranjero, el fiscal deberá individualizar a la entidad requirente de la información y acompañar los demás antecedentes que fundamenten la solicitud respectiva.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 solicitud que haga el fiscal y la resolución que recaiga sobre ella deberán fundarse en antecedentes claros, precisos y graves acerca de la realización de conductas materia de la investigación o procedimiento sancionatorio en curso, así como el carácter indispensable de la medida solicitada para la determinación de la infracción. Por su parte, en la resolución favorable del ministro deberá especificarse la medida, el tiempo por el cual podrá ejercerse y las personas naturales o jurídicas a las que pueda afectar. Para el caso de los requerimientos de autoridades extranjeras, tanto la solicitud que haga el fiscal como la correspondiente resolución del ministro deberán fundarse en hechos graves y específicos que se ajusten a los términos del convenio internacional de intercambio de información suscrito o ratificado por la Comisión en virtud de las facultades conferidas en el numeral 23 de este artículo, de los que se dejará expresa constancia en ambos documentos.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 resolución a que se refiere el párrafo anterior deberá dictarse en un plazo de tres días, sin audiencia ni intervención de terceros.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En caso que el fiscal no cumpliere con alguno de los requisitos o formalidades referidos precedentemente o los contemplados en la autorización, los resultados derivados de dichas actuaciones no podrán ser utilizados como medios de prueba en el procedimiento sancionatorio que eventualmente se inicie con motivo de la infracción investigada, ni tampoco podrán servir de fundamento para la denuncia que formule el fiscal que señala el artículo 22 por la calidad de delito que pudiere desprenderse de los mismos hechos. Con todo, dichos antecedentes podrán ser utilizados en un proceso penal ya iniciado, sin perjuicio de lo dispuesto en el inciso tercero del artículo 276 del Código Procesal Penal. Los afectados podrán reclamar ante el ministro de corte a que se refiere el párrafo tercero, el que resolverá en el más breve plazo, en una sola audiencia, sin forma de juicio y oyendo a las partes, una vez que éstas hubieren tomado conocimiento de los hechos en el procedimiento sancionatorio correspondiente.</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Si la solicitud es rechazada por el ministro de corte, el fiscal podrá apelar ante la Corte de Apelaciones de Santiago, recurso que será conocido en cuenta y sin más trámite, tan pronto se reciban los antecedentes, los que mantendrán el carácter de secretos y serán devueltos íntegramente al fiscal, fallado que sea el recurso en última instancia.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Acogida la solicitud por sentencia judicial firme, la Comisión notificará a la entidad que corresponda entregar la información, acompañando copia autorizada de la resolución del ministro de corte o de la sala de cuenta de la Corte de Apelaciones de Santiago, en su caso. Dicha entidad dispondrá de un plazo de cinco días para la entrega de la información solicitada, cuya omisión o retardo será sancionado por el Consejo de la Comisión para el Mercado Financiero de conformidad con el artículo 37.</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 información obtenida por la Comisión bajo el procedimiento a que se refiere este número tendrá el carácter de reservada y sólo podrá ser utilizada por ella para verificar la existencia de infracciones a las normas que rigen a las personas o entidades fiscalizadas por la Comisión y que, a su vez, se encuentren tipificadas como delitos en la legislación sometida a su fiscalización, en el marco de investigaciones o procedimientos sancionatorios que estuviere conociendo y para la aplicación de las sanciones que procedan, o bien, para ser entregada a las entidades fiscalizadoras extranjeras que la hubieren solicitado en el marco de un convenio de intercambio de información suscrito por la Comisión en conformidad con la legislación vigente, sin perjuicio de lo dispuesto en el inciso final del artículo 180 del Código Procesal Penal. Para los efectos de su incorporación al proceso penal, se entenderá que las copias de los registros, evidencias y demás antecedentes que hayan sido recabados a partir de las diligencias realizadas con autorización judicial de un ministro de Corte de Apelaciones, otorgada de conformidad al presente numeral, cumplen con lo dispuesto en el artículo 9 del Código Procesal Penal. La Comisión adoptará las medidas de organización interna necesarias para garantizar su reserva y controlar su adecuado uso. La información así recabada que no dé lugar a una gestión de fiscalización o sanción posterior o al intercambio de información con una entidad fiscalizadora extranjera, conforme con lo señalado previamente, deberá ser eliminada.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Los comisionados o funcionarios de la Comisión que tomen conocimiento de la información bancaria sometida a secreto o sujeta a reserva estarán obligados a mantenerla con este carácter, sin que puedan cederla o comunicarla a terceros, salvo para cumplir con el requerimiento del tribunal ordinario que conozca de la reclamación de la sanción o de procedimientos posteriores, o de una autoridad extranjera según lo señalado anteriormente, o para fundar sus oficios de cargos y las resoluciones de término de los procedimientos sancionatorios, según sea el caso. La infracción a esta obligación se castigará con la pena de reclusión menor en cualquiera de sus grados y multa de 10 a 30 unidades tributarias mensuales. Asimismo, dicha infracción dará lugar a responsabilidad administrativa y se sancionará con destitución del cargo.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6. Fijar las normas para la confección y presentación de las memorias, balances, estados de situación y demás estados financieros de las entidades fiscalizadas y determinar los principios conforme a los cuales deberán llevar su contabilidad. En ausencia de un principio contable nacional para un caso específico, la entidad fiscalizada deberá consultar previamente a la Comisión y se estará a las normas generales que ésta determine.</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Para estos efectos podrá, asimismo, impartir instrucciones a las entidades fiscalizadas y adoptar las medidas tendientes a corregir las deficiencias que observare y, en general, las que estimare necesarias en resguardo de los accionistas, inversionistas, depositantes  y asegurados, así como del interés público.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Podrá ordenar que se rectifique o corrija el valor en que se encuentran asentadas determinadas partidas de la contabilidad, cuando establezca que dicho valor no ha sido registrado de acuerdo a normas por ella dictadas, o a normas y principios contables de general aceptación. Especialmente, podrá ordenar que se rectifique o corrija el valor en que se encuentran asentadas determinadas partidas de la contabilidad, cuando establezca que dicho valor no corresponde al real, pudiendo, además, ordenar la reversión de los estados financieros hasta por los últimos cuatro años, en la forma que ella determine.</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Con todo, para los fines de la aplicación del sistema de corrección monetaria del decreto ley N° 824, que aprueba el texto que indica de la Ley sobre Impuesto a la Renta, se estará a las pautas de valorización indicadas en el artículo 41 de la mencionada ley. Sin embargo, el Director del Servicio de Impuestos Internos podrá establecer que se esté al valor que haya determinado la Comisión.</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7. Inspeccionar, por medio de sus empleados o de empresas de auditoría externa, a las personas o entidades fiscalizadas.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En las inspecciones que la Comisión realice en el marco de la fiscalización, podrá integrar su propio personal con el de la empresa fiscalizada.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8. Requerir a las personas o entidades fiscalizadas que proporcionen al público, por las vías que señale, información veraz, suficiente y oportuna sobre sus prácticas de gobierno corporativo y su situación jurídica, económica y financiera.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 Comisión podrá efectuar directamente las publicaciones que fueren necesarias para los fines precisados en el párrafo anterior, con cargo a las personas o entidades fiscalizadas, siendo en tal caso aplicable lo dispuesto en el artículo 7.</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9. Citar a declarar a los socios, directores, administradores, representantes, empleados y personas que, a cualquier título, presten o hayan prestado servicios para las personas o entidades fiscalizadas y a toda otra persona que hubiere ejecutado y celebrado con ellas actos y convenciones de cualquier naturaleza, respecto de algún hecho cuyo conocimiento estime necesario para el cumplimiento de sus funciones. Podrán ser citadas a declarar aquellas personas que, sin ser fiscalizadas o relacionadas a ellas, ejecuten o celebren actos o convenciones cuyo objeto sean instrumentos o valores emitidos por personas o entidades fiscalizadas.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En general, podrá disponer que se cite a declarar a cualquier persona que tenga conocimiento de algún hecho que se requiera aclarar en alguna operación de las instituciones fiscalizadas o en relación con la conducta de su personal.</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No estarán obligadas a concurrir a declarar las personas indicadas en el artículo 361 del Código de Procedimiento Civil, a las cuales la Comisión, para los fines expresados en el párrafo precedente, deberá pedir declaración por escrito.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10. Dictar normas que aseguren la fidelidad de las actas, libros y documentos que determine y requerir, en su caso, que en ellos se deje testimonio o se inserten, parcial o íntegramente, sus comunicaciones.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11. Ordenar a las personas o entidades fiscalizadas que ella determine la designación de empresas de auditoría externa, las que deberán informar sus balances generales y, en su caso, reemplazarán a los auditores externos o inspectores de cuentas y estarán investidas de las atribuciones y deberes contemplados en el Título XXVIII de la ley Nº 18.045, de Mercado de Valores. La Comisión podrá fijar los requisitos que deban reunir las empresas de auditoría externa para el cumplimiento de su cometido, todo ello en relación con las características de las personas o entidades fiscalizadas.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12. Vigilar las actuaciones de las empresas de auditoría externa designadas por las personas o entidades sometidas a su fiscalización; impartirles normas respecto al contenido de sus opiniones, certificaciones, informes o dictámenes y de su trabajo de auditoría, y requerirles cualquier información o antecedente relacionado con el cumplimiento de sus funciones.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13. Designar empresas de auditoría externa en las entidades o personas fiscalizadas, para que realicen las tareas que específicamente les encomiende, con las facultades que estime necesarias. En especial, la Comisión podrá designar a una de dichas empresas para que efectúe una auditoría externa de los estados financieros de tales entidades, en forma adicional.</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Las empresas de auditoría externa designadas por la Comisión estarán afectas a la obligación de reserva establecida y sancionada en el artículo 28 y serán remuneradas por la persona o entidad fiscalizada. La remuneración gozará del privilegio establecido en el Nº 4 del artículo 2472 del Código Civil.</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14. Designar a una entidad clasificadora de riesgo para que efectúe una clasificación de riesgo respecto de una entidad fiscalizada o de los valores emitidos por un emisor de valores de oferta pública determinado.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15. Llevar los registros públicos de profesionales o de información que las leyes le encomienden.</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16. Requerir de los organismos técnicos del Estado los informes que estime necesarios y contratar o hacer contratar por las personas o entidades fiscalizadas los servicios de peritos o técnicos para los trabajos que les encomiende, los que serán de cargo de dichas personas o entidades fiscalizadas.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17. Disponer, cuando lo estime conveniente, que los documentos que mantenga en sus registros se archiven en medios distintos del papel, mediante sistemas tecnológicos que aseguren su fidelidad con el original. Asimismo, autorizar a las personas o entidades fiscalizadas para mantener su documentación en medios distintos del papel. La impresión en papel de los documentos contenidos en los referidos medios tendrá el valor probatorio de instrumento público o privado según la naturaleza del original. En caso de disconformidad de la impresión de un documento archivado tecnológicamente con el original o una copia auténtica del mismo, prevalecerán estos últimos sin necesidad de otro cotejo. Se considerará también documento original aquel que se recibiere en la Comisión por los medios tecnológicos que ésta haya establecido para dicho fin y que sean aptos para producir fe. Para efectos de lo establecido en este número, la Comisión autorizará los medios tecnológicos que cuiden la integridad, autenticidad y durabilidad de los documentos.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18. Establecer la forma, plazos y procedimientos para que las personas o entidades fiscalizadas presenten la información que la ley les exija enviar a la Comisión o divulgar al público, a través de medios magnéticos o de soporte informático o en otras formas que ésta establezca, así como la forma en que dará a conocer el contenido y detalle de la información.</w:t>
            </w:r>
          </w:p>
          <w:p w:rsid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19. Cobrar y percibir los derechos por registro, aprobaciones y certificaciones según se establezca en ésta u otras leyes.</w:t>
            </w:r>
          </w:p>
          <w:p w:rsidR="00D610F5" w:rsidRDefault="00D610F5" w:rsidP="00D610F5">
            <w:pPr>
              <w:widowControl w:val="0"/>
              <w:tabs>
                <w:tab w:val="clear" w:pos="2835"/>
              </w:tabs>
              <w:autoSpaceDE w:val="0"/>
              <w:autoSpaceDN w:val="0"/>
              <w:adjustRightInd w:val="0"/>
              <w:rPr>
                <w:rFonts w:eastAsiaTheme="minorEastAsia" w:cs="Arial"/>
                <w:szCs w:val="22"/>
                <w:lang w:val="es-CL" w:eastAsia="es-CL"/>
              </w:rPr>
            </w:pPr>
          </w:p>
          <w:p w:rsidR="00D610F5" w:rsidRDefault="00D610F5" w:rsidP="00D610F5">
            <w:pPr>
              <w:widowControl w:val="0"/>
              <w:tabs>
                <w:tab w:val="clear" w:pos="2835"/>
              </w:tabs>
              <w:autoSpaceDE w:val="0"/>
              <w:autoSpaceDN w:val="0"/>
              <w:adjustRightInd w:val="0"/>
              <w:rPr>
                <w:rFonts w:eastAsiaTheme="minorEastAsia" w:cs="Arial"/>
                <w:szCs w:val="22"/>
                <w:lang w:val="es-CL" w:eastAsia="es-CL"/>
              </w:rPr>
            </w:pPr>
          </w:p>
          <w:p w:rsidR="00FD2040" w:rsidRDefault="00FD2040" w:rsidP="00D610F5">
            <w:pPr>
              <w:widowControl w:val="0"/>
              <w:tabs>
                <w:tab w:val="clear" w:pos="2835"/>
              </w:tabs>
              <w:autoSpaceDE w:val="0"/>
              <w:autoSpaceDN w:val="0"/>
              <w:adjustRightInd w:val="0"/>
              <w:rPr>
                <w:rFonts w:eastAsiaTheme="minorEastAsia" w:cs="Arial"/>
                <w:szCs w:val="22"/>
                <w:lang w:val="es-CL" w:eastAsia="es-CL"/>
              </w:rPr>
            </w:pP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xml:space="preserve">    20. Estimar el monto de los beneficios, expresado en su equivalente en unidades de fomento, que hayan </w:t>
            </w:r>
            <w:r w:rsidRPr="00D610F5">
              <w:rPr>
                <w:rFonts w:eastAsiaTheme="minorEastAsia" w:cs="Arial"/>
                <w:szCs w:val="22"/>
                <w:u w:val="single"/>
                <w:lang w:val="es-CL" w:eastAsia="es-CL"/>
              </w:rPr>
              <w:t xml:space="preserve">percibido </w:t>
            </w:r>
            <w:r w:rsidRPr="00D610F5">
              <w:rPr>
                <w:rFonts w:eastAsiaTheme="minorEastAsia" w:cs="Arial"/>
                <w:szCs w:val="22"/>
                <w:lang w:val="es-CL" w:eastAsia="es-CL"/>
              </w:rPr>
              <w:t xml:space="preserve">los infractores al Título XXI de la ley Nº 18.045, de Mercado de Valores, señalándolo en la resolución que aplique la sanción. En la estimación de los beneficios la Comisión considerará </w:t>
            </w:r>
            <w:r w:rsidRPr="00D610F5">
              <w:rPr>
                <w:rFonts w:eastAsiaTheme="minorEastAsia" w:cs="Arial"/>
                <w:szCs w:val="22"/>
                <w:u w:val="single"/>
                <w:lang w:val="es-CL" w:eastAsia="es-CL"/>
              </w:rPr>
              <w:t>el precio de mercado promedio ponderado del valor de oferta pública en los sesenta días anteriores al de la fecha de</w:t>
            </w:r>
            <w:r w:rsidRPr="00D610F5">
              <w:rPr>
                <w:rFonts w:eastAsiaTheme="minorEastAsia" w:cs="Arial"/>
                <w:szCs w:val="22"/>
                <w:lang w:val="es-CL" w:eastAsia="es-CL"/>
              </w:rPr>
              <w:t xml:space="preserve"> las transacciones hechas con información privilegiada.</w:t>
            </w:r>
          </w:p>
          <w:p w:rsid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xml:space="preserve">  </w:t>
            </w:r>
          </w:p>
          <w:p w:rsidR="00C47FDC" w:rsidRDefault="00C47FDC" w:rsidP="00D610F5">
            <w:pPr>
              <w:widowControl w:val="0"/>
              <w:tabs>
                <w:tab w:val="clear" w:pos="2835"/>
              </w:tabs>
              <w:autoSpaceDE w:val="0"/>
              <w:autoSpaceDN w:val="0"/>
              <w:adjustRightInd w:val="0"/>
              <w:rPr>
                <w:rFonts w:eastAsiaTheme="minorEastAsia" w:cs="Arial"/>
                <w:szCs w:val="22"/>
                <w:lang w:val="es-CL" w:eastAsia="es-CL"/>
              </w:rPr>
            </w:pP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 Comisión, para el solo efecto de velar por los intereses de los terceros perjudicados según lo previsto en el artículo 172 de la ley Nº 18.045, de Mercado de Valores, podrá solicitar al tribunal competente que decrete las medidas precautorias que la ley señala.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21. Presentar a los tribunales de justicia, en asuntos civiles, informes escritos respecto de los hechos que hubiere constatado, los que se apreciarán conforme a las reglas de la sana crítica.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22. Proporcionar asistencia técnica y colaborar, dentro del ámbito de sus facultades, en la investigación de infracciones que sean de competencia de la Comisión, que le soliciten entidades reguladoras, supervisoras o autorreguladoras nacionales o extranjeras u organismos internacionales, incluyendo la entrega de información de que disponga, en virtud de convenios o memorandos de entendimiento que haya celebrado para la cooperación técnica, intercambio de información, capacitación y asistencia recíproca.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23. Suscribir convenios o memorandos de entendimiento con organismos nacionales, internacionales o extranjeros, sean estos públicos o privados. Dichos convenios o memorandos podrán versar, entre otras materias, sobre cooperación técnica, capacitación y asistencia recíproca, investigación conjunta de eventuales infracciones a la normativa correspondiente, intercambios de información, ingreso a organismos internacionales, interconexión de sistemas de información en línea o cualquier otra que estime conveniente para el ejercicio de sus atribuciones y cumplimiento de sus fines.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24. Proponer al Presidente de la República, a través del Ministerio de Hacienda, las normas legales y reglamentarias necesarias para asegurar el adecuado funcionamiento del mercado financiero y el cumplimiento por parte de las personas o entidades fiscalizadas de la normativa que las rige.</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 Comisión, a través de la facultad consagrada en este numeral, procurará evitar la existencia de vacíos regulatorios que pudieren poner en riesgo el adecuado funcionamiento del mercado financiero, así como su debida fiscalización; promoverá la coherencia regulatoria entre los distintos mercados sometidos a su competencia; y velará por la permanente actualización de la regulación del mercado financiero, con el objeto de hacer frente a los desafíos y exigencias que pudieren surgir como consecuencia de nuevas actividades, mercados, agentes o instrumentos financieros.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25. Relacionarse con los organismos públicos y demás órganos del Estado, como también con las entidades supervisoras, reguladoras, autorreguladoras o participantes del mercado financiero nacionales, extranjeras o internacionales.</w:t>
            </w:r>
          </w:p>
          <w:p w:rsid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26. Instruir, por resolución fundada, a los intermediarios de valores, a las administradoras de fondos fiscalizados, respecto de los recursos de éstos, a las compañías de seguros del segundo grupo, y a las sociedades securitizadoras, respecto de los recursos de sus patrimonios separados, que se abstengan de realizar las transacciones que específicamente determine con sus personas relacionadas o a través de ellas, hasta por un plazo de tres meses, renovable por igual período, cuando la situación financiera de ellas o de sus personas relacionadas ponga en riesgo los respectivos fondos administrados, patrimonios separados o compromisos con inversionistas o asegurados, según corresponda.</w:t>
            </w:r>
          </w:p>
          <w:p w:rsidR="00321D33" w:rsidRPr="00D610F5" w:rsidRDefault="00321D33" w:rsidP="00D610F5">
            <w:pPr>
              <w:widowControl w:val="0"/>
              <w:tabs>
                <w:tab w:val="clear" w:pos="2835"/>
              </w:tabs>
              <w:autoSpaceDE w:val="0"/>
              <w:autoSpaceDN w:val="0"/>
              <w:adjustRightInd w:val="0"/>
              <w:rPr>
                <w:rFonts w:eastAsiaTheme="minorEastAsia" w:cs="Arial"/>
                <w:szCs w:val="22"/>
                <w:lang w:val="es-CL" w:eastAsia="es-CL"/>
              </w:rPr>
            </w:pP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27. Autorizar al fiscal a que se refiere el artículo 22, con el voto favorable de al menos tres de sus Comisionados y mediante resolución fundada, para solicitar a Carabineros de Chile o a la Policía de Investigaciones de Chile, bajo la dirección del funcionario de la Comisión que indique la solicitud, que proceda a ejecutar alguna de las medidas que a continuación se indican, en el marco de investigaciones o procedimientos sancionatorios. Para el ejercicio de estas atribuciones se deberá contar, además, con la autorización previa de un ministro de la Corte de Apelaciones de Santiago, otorgada de conformidad con el procedimiento contemplado en el numeral 5 del presente artículo. Asimismo, tanto la solicitud del fiscal, la resolución del ministro de la Corte de Apelaciones de Santiago, la apelación del fiscal, la reclamación de los afectados, las obligaciones de reserva, los procedimientos y todas las demás reglas consagradas en la precitada norma, regirán íntegramente para el ejercicio de la facultad del presente numeral. Para los efectos de su incorporación al proceso penal, se entenderá que las copias de los registros, evidencias y demás antecedentes que hayan sido recabados a partir de las diligencias realizadas con la autorización precitada, cumplen con lo dispuesto en el artículo 9 del Código Procesal Penal.</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Las medidas sujetas a dicha autorización procederán en casos graves y calificados, y siempre que resulten indispensables para acreditar la realización, por parte de personas naturales o jurídicas, de conductas que constituyan infracciones a las normas que rigen a las personas o entidades fiscalizadas por la Comisión y que, a su vez, se encuentren tipificadas como delito en la legislación sometida a su fiscalización, y facultarán al fiscal, conjunta o alternativamente, para: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a) Ingresar en recintos privados y, si fuere necesario, allanar y descerrajar con el auxilio de la fuerza pública.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b) Registrar e incautar toda clase de objetos y documentos.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c) Interceptar toda clase de comunicaciones.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d) Requerir a las empresas que presten servicios de telecomunicaciones que faciliten copias y registros de las comunicaciones transmitidas o recibidas por ella.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e) Ordenar a otros organismos públicos la entrega de antecedentes, incluso cuando recaiga sobre ellos alguna causal de secreto o reserva. Para estos efectos, no regirá lo establecido en el inciso segundo del artículo 35 del Código Tributario. Asimismo, la autorización judicial precitada servirá de antecedente suficiente para configurar la excepción que contempla el inciso tercero del artículo 66 de la ley Nº 18.840, orgánica constitucional del Banco Central de Chile.</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Dichos antecedentes mantendrán el referido carácter, salvo los supuestos de excepción contemplados en el párrafo noveno del numeral 5 de este artículo, siendo igualmente aplicables los resguardos y responsabilidades vinculadas al manejo de esta información que se contemplan en el párrafo final del precitado numeral.</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28. Llevar el registro público donde consten las actividades laborales, comerciales y de prestación de servicio de los excomisionados y exfuncionarios afectos al deber de información a que se refiere el inciso primero del artículo 31, así como las sanciones que se hubieren impuesto en virtud de lo dispuesto en los incisos tercero y siguientes del precitado artículo.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29. Resolver los procedimientos sancionatorios que se originen como consecuencia de la formulación de cargos, aplicando las sanciones que correspondan, según el caso.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30. Adoptar las medidas preventivas o correctivas que se estimen necesarias para el debido resguardo de accionistas, inversionistas, depositantes y asegurados, así como del interés público y la estabilidad financiera. Dichas medidas podrán ser establecidas sin más trámite en el contexto de sus atribuciones generales de fiscalización, e impugnadas en conformidad al artículo 70.</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31. Solicitar información de otros organismos públicos. En caso que dicha información sea secreta o reservada deberá mantener dicho carácter sin perjuicio de su traspaso. A los funcionarios y personas que, a cualquier título, presten servicios en la Comisión les serán aplicables las exigencias de confidencialidad y responsabilidades establecidas en las leyes respectivas en relación con la información traspasada.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En caso que el órgano público deniegue el requerimiento, la Comisión podrá proceder de conformidad con lo establecido en el literal e) del número 27 de este artículo.</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32. Formular las denuncias que correspondieren al Ministerio Público por los hechos de que tomare conocimiento en el ejercicio de sus atribuciones y que pudieren revestir caracteres de delito, sin perjuicio de los deberes generales que sobre la materia determine la ley.</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33. Designar a un inspector delegado, a un administrador provisional o a un liquidador, de conformidad con lo dispuesto en los títulos XIV y XV del decreto con fuerza de ley N° 3, de 1997, del Ministerio de Hacienda, que fija el texto refundido, sistematizado y concordado de la Ley General de Bancos y de otros cuerpos que se indican, según corresponda.</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34. Proporcionar información sobre las entidades fiscalizadas al Ministerio de Hacienda, al Banco Central de Chile y al Consejo de Estabilidad Financiera, sin perjuicio de lo dispuesto en el artículo 28 de la presente ley y de las normas sobre secreto bancario contenidas en el artículo 154 del decreto con fuerza de ley Nº 3, del Ministerio de Hacienda, de 1997, que fija el texto refundido, sistematizado y concordado de la Ley General de Bancos y de otros cuerpos legales que se indican.</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En todo caso, para el cumplimiento de los fines de los señalados organismos, la Comisión podrá darles a conocer información sujeta a secreto bancario, siempre que se realice mediante la anonimización de los datos personales involucrados, esto es, mediante la previa modificación de los mismos para impedir la identificación de los individuos a que se refieren.</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35. Evaluar la efectividad de los controles que los bancos implementen con el fin de evitar la utilización del sistema financiero y de otros sectores de la actividad económica, para la comisión de alguno de los delitos descritos en el artículo 27 de la ley N° 19.913 y en el artículo 8º de la ley Nº 18.314. En los casos en que la Comisión advirtiere la ocurrencia de cualquier conducta u omisión que pudiere ser indiciaria de situaciones referidas en este numeral, deberá informar de ello a la Unidad de Análisis Financiero (UAF), comunicándole, además, todos los antecedentes que pudieren serle útiles para iniciar y llevar adelante una investigación respecto de dichas situaciones, incluyendo aquella información a la que se refiere el inciso segundo del artículo 154 de la Ley General de Bancos.</w:t>
            </w:r>
          </w:p>
          <w:p w:rsidR="00D610F5" w:rsidRPr="00D610F5" w:rsidRDefault="00D610F5" w:rsidP="00D610F5">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Respecto de la información recabada, así como de las comunicaciones a que se refiere el párrafo anterior, regirá el deber de reserva establecido en el inciso primero del artículo 28 de la presente ley.</w:t>
            </w:r>
          </w:p>
          <w:p w:rsidR="003D0245" w:rsidRDefault="00D610F5" w:rsidP="00321D33">
            <w:pPr>
              <w:widowControl w:val="0"/>
              <w:tabs>
                <w:tab w:val="clear" w:pos="2835"/>
              </w:tabs>
              <w:autoSpaceDE w:val="0"/>
              <w:autoSpaceDN w:val="0"/>
              <w:adjustRightInd w:val="0"/>
              <w:rPr>
                <w:rFonts w:eastAsiaTheme="minorEastAsia" w:cs="Arial"/>
                <w:szCs w:val="22"/>
                <w:lang w:val="es-CL" w:eastAsia="es-CL"/>
              </w:rPr>
            </w:pPr>
            <w:r w:rsidRPr="00D610F5">
              <w:rPr>
                <w:rFonts w:eastAsiaTheme="minorEastAsia" w:cs="Arial"/>
                <w:szCs w:val="22"/>
                <w:lang w:val="es-CL" w:eastAsia="es-CL"/>
              </w:rPr>
              <w:t>    36. Ejercer las demás facultades que otras leyes expresamente le confieran.</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p>
          <w:p w:rsidR="00C47FDC" w:rsidRDefault="00C47FDC" w:rsidP="00321D33">
            <w:pPr>
              <w:widowControl w:val="0"/>
              <w:tabs>
                <w:tab w:val="clear" w:pos="2835"/>
              </w:tabs>
              <w:autoSpaceDE w:val="0"/>
              <w:autoSpaceDN w:val="0"/>
              <w:adjustRightInd w:val="0"/>
              <w:rPr>
                <w:rFonts w:eastAsiaTheme="minorEastAsia" w:cs="Arial"/>
                <w:szCs w:val="22"/>
                <w:lang w:val="es-CL" w:eastAsia="es-CL"/>
              </w:rPr>
            </w:pPr>
          </w:p>
          <w:p w:rsidR="00045FFB" w:rsidRDefault="00045FFB" w:rsidP="00321D33">
            <w:pPr>
              <w:widowControl w:val="0"/>
              <w:tabs>
                <w:tab w:val="clear" w:pos="2835"/>
              </w:tabs>
              <w:autoSpaceDE w:val="0"/>
              <w:autoSpaceDN w:val="0"/>
              <w:adjustRightInd w:val="0"/>
              <w:rPr>
                <w:rFonts w:eastAsiaTheme="minorEastAsia" w:cs="Arial"/>
                <w:szCs w:val="22"/>
                <w:lang w:val="es-CL" w:eastAsia="es-CL"/>
              </w:rPr>
            </w:pPr>
          </w:p>
          <w:p w:rsidR="00045FFB" w:rsidRDefault="00045FFB" w:rsidP="00321D33">
            <w:pPr>
              <w:widowControl w:val="0"/>
              <w:tabs>
                <w:tab w:val="clear" w:pos="2835"/>
              </w:tabs>
              <w:autoSpaceDE w:val="0"/>
              <w:autoSpaceDN w:val="0"/>
              <w:adjustRightInd w:val="0"/>
              <w:rPr>
                <w:rFonts w:eastAsiaTheme="minorEastAsia" w:cs="Arial"/>
                <w:szCs w:val="22"/>
                <w:lang w:val="es-CL" w:eastAsia="es-CL"/>
              </w:rPr>
            </w:pP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Artículo 36.- Las sociedades anónimas y empresas bancarias sujetas a la fiscalización de la Comisión que incurrieren en infracciones a las leyes, reglamentos, estatutos y demás normas que las rijan, o en incumplimiento de las instrucciones y órdenes que les imparta la Comisión, podrán ser objeto de la aplicación por parte de ésta de una o más de las siguientes sanciones, sin perjuicio de las establecidas específicamente en otros cuerpos legales:</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    </w:t>
            </w:r>
          </w:p>
          <w:p w:rsidR="00321D33" w:rsidRPr="00321D33" w:rsidRDefault="00321D33" w:rsidP="00321D33">
            <w:pPr>
              <w:pStyle w:val="Prrafodelista"/>
              <w:widowControl w:val="0"/>
              <w:numPr>
                <w:ilvl w:val="0"/>
                <w:numId w:val="8"/>
              </w:numPr>
              <w:autoSpaceDE w:val="0"/>
              <w:autoSpaceDN w:val="0"/>
              <w:adjustRightInd w:val="0"/>
              <w:rPr>
                <w:rFonts w:ascii="Arial" w:eastAsiaTheme="minorEastAsia" w:hAnsi="Arial" w:cs="Arial"/>
                <w:szCs w:val="22"/>
                <w:lang w:val="es-CL" w:eastAsia="es-CL"/>
              </w:rPr>
            </w:pPr>
            <w:r w:rsidRPr="00321D33">
              <w:rPr>
                <w:rFonts w:ascii="Arial" w:eastAsiaTheme="minorEastAsia" w:hAnsi="Arial" w:cs="Arial"/>
                <w:szCs w:val="22"/>
                <w:lang w:val="es-CL" w:eastAsia="es-CL"/>
              </w:rPr>
              <w:t>Censura.</w:t>
            </w:r>
          </w:p>
          <w:p w:rsidR="00321D33" w:rsidRDefault="00321D33" w:rsidP="00321D33">
            <w:pPr>
              <w:widowControl w:val="0"/>
              <w:autoSpaceDE w:val="0"/>
              <w:autoSpaceDN w:val="0"/>
              <w:adjustRightInd w:val="0"/>
              <w:rPr>
                <w:rFonts w:eastAsiaTheme="minorEastAsia" w:cs="Arial"/>
                <w:szCs w:val="22"/>
                <w:lang w:val="es-CL" w:eastAsia="es-CL"/>
              </w:rPr>
            </w:pPr>
          </w:p>
          <w:p w:rsidR="00321D33" w:rsidRPr="00321D33" w:rsidRDefault="00321D33" w:rsidP="00321D33">
            <w:pPr>
              <w:widowControl w:val="0"/>
              <w:autoSpaceDE w:val="0"/>
              <w:autoSpaceDN w:val="0"/>
              <w:adjustRightInd w:val="0"/>
              <w:rPr>
                <w:rFonts w:eastAsiaTheme="minorEastAsia" w:cs="Arial"/>
                <w:szCs w:val="22"/>
                <w:lang w:val="es-CL" w:eastAsia="es-CL"/>
              </w:rPr>
            </w:pP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2. Multa a beneficio fiscal equivalente, alternativamente, a un monto global por sociedad de hasta:</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    </w:t>
            </w: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a) La suma de </w:t>
            </w:r>
            <w:r w:rsidRPr="00321D33">
              <w:rPr>
                <w:rFonts w:eastAsiaTheme="minorEastAsia" w:cs="Arial"/>
                <w:szCs w:val="22"/>
                <w:u w:val="single"/>
                <w:lang w:val="es-CL" w:eastAsia="es-CL"/>
              </w:rPr>
              <w:t>15.000</w:t>
            </w:r>
            <w:r w:rsidRPr="00321D33">
              <w:rPr>
                <w:rFonts w:eastAsiaTheme="minorEastAsia" w:cs="Arial"/>
                <w:szCs w:val="22"/>
                <w:lang w:val="es-CL" w:eastAsia="es-CL"/>
              </w:rPr>
              <w:t xml:space="preserve"> unidades de fomento. En el caso de haber sido sancionado anteriormente por infracciones de la misma naturaleza, podrá aplicarse una multa de hasta cinco veces el monto máximo antes expresado.</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 b) El 30% del valor de </w:t>
            </w:r>
            <w:r w:rsidRPr="00321D33">
              <w:rPr>
                <w:rFonts w:eastAsiaTheme="minorEastAsia" w:cs="Arial"/>
                <w:szCs w:val="22"/>
                <w:u w:val="single"/>
                <w:lang w:val="es-CL" w:eastAsia="es-CL"/>
              </w:rPr>
              <w:t>la emisión, registro contable u operación irregular</w:t>
            </w:r>
            <w:r w:rsidRPr="00321D33">
              <w:rPr>
                <w:rFonts w:eastAsiaTheme="minorEastAsia" w:cs="Arial"/>
                <w:szCs w:val="22"/>
                <w:lang w:val="es-CL" w:eastAsia="es-CL"/>
              </w:rPr>
              <w:t>.</w:t>
            </w: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    </w:t>
            </w: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c) El doble de los beneficios obtenidos producto de </w:t>
            </w:r>
            <w:r w:rsidRPr="00321D33">
              <w:rPr>
                <w:rFonts w:eastAsiaTheme="minorEastAsia" w:cs="Arial"/>
                <w:szCs w:val="22"/>
                <w:u w:val="single"/>
                <w:lang w:val="es-CL" w:eastAsia="es-CL"/>
              </w:rPr>
              <w:t>la emisión, registro contable u operación irregular</w:t>
            </w:r>
            <w:r w:rsidRPr="00321D33">
              <w:rPr>
                <w:rFonts w:eastAsiaTheme="minorEastAsia" w:cs="Arial"/>
                <w:szCs w:val="22"/>
                <w:lang w:val="es-CL" w:eastAsia="es-CL"/>
              </w:rPr>
              <w:t>.</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w:t>
            </w:r>
          </w:p>
          <w:p w:rsidR="00045FFB" w:rsidRDefault="00045FFB" w:rsidP="00321D33">
            <w:pPr>
              <w:widowControl w:val="0"/>
              <w:tabs>
                <w:tab w:val="clear" w:pos="2835"/>
              </w:tabs>
              <w:autoSpaceDE w:val="0"/>
              <w:autoSpaceDN w:val="0"/>
              <w:adjustRightInd w:val="0"/>
              <w:rPr>
                <w:rFonts w:eastAsiaTheme="minorEastAsia" w:cs="Arial"/>
                <w:szCs w:val="22"/>
                <w:lang w:val="es-CL" w:eastAsia="es-CL"/>
              </w:rPr>
            </w:pP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 En los casos de las letras b y c la Comisión expresará el monto de la multa en su equivalente en unidades de fomento, señalándolo en la resolución que aplique la sanción.</w:t>
            </w: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3. Revocación de la autorización de existencia de la sociedad, cuando proceda.</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w:t>
            </w: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 Las sanciones señaladas en los números 1 y 2 podrán ser aplicadas a la sociedad, directores, gerentes, dependientes, empresas de auditoría externa o liquidadores, según lo determine la Comisión.</w:t>
            </w:r>
          </w:p>
          <w:p w:rsid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w:t>
            </w:r>
          </w:p>
          <w:p w:rsidR="00321D33" w:rsidRPr="00321D33" w:rsidRDefault="00321D33" w:rsidP="00321D33">
            <w:pPr>
              <w:widowControl w:val="0"/>
              <w:tabs>
                <w:tab w:val="clear" w:pos="2835"/>
              </w:tabs>
              <w:autoSpaceDE w:val="0"/>
              <w:autoSpaceDN w:val="0"/>
              <w:adjustRightInd w:val="0"/>
              <w:rPr>
                <w:rFonts w:eastAsiaTheme="minorEastAsia" w:cs="Arial"/>
                <w:szCs w:val="22"/>
                <w:lang w:val="es-CL" w:eastAsia="es-CL"/>
              </w:rPr>
            </w:pPr>
            <w:r w:rsidRPr="00321D33">
              <w:rPr>
                <w:rFonts w:eastAsiaTheme="minorEastAsia" w:cs="Arial"/>
                <w:szCs w:val="22"/>
                <w:lang w:val="es-CL" w:eastAsia="es-CL"/>
              </w:rPr>
              <w:t xml:space="preserve"> Cuando se apliquen las sanciones de los números 1 y 2 de este artículo, la Comisión deberá poner en conocimiento de la junta de accionistas las infracciones, incumplimientos o actos en que hayan incurrido los directores, gerentes, empresas de auditoría externa o liquidadores, a fin de que aquélla pueda removerlos de sus cargos si lo estima conveniente, sin perjuicio de ejercer las acciones judiciales que crea pertinentes. La convocatoria a esta junta de accionistas deberá hacerla el directorio dentro del plazo que fije la Comisión, y podrá ser citada por ella misma si lo estima necesario.</w:t>
            </w:r>
          </w:p>
          <w:p w:rsidR="00321D33" w:rsidRDefault="00321D33"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Default="00064502" w:rsidP="00321D33">
            <w:pPr>
              <w:widowControl w:val="0"/>
              <w:tabs>
                <w:tab w:val="clear" w:pos="2835"/>
              </w:tabs>
              <w:autoSpaceDE w:val="0"/>
              <w:autoSpaceDN w:val="0"/>
              <w:adjustRightInd w:val="0"/>
              <w:rPr>
                <w:rFonts w:eastAsiaTheme="minorEastAsia" w:cs="Arial"/>
                <w:szCs w:val="22"/>
                <w:lang w:val="es-ES_tradnl" w:eastAsia="es-CL"/>
              </w:rPr>
            </w:pP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Artículo 37.- Las personas o entidades diversas de aquéllas a que se refiere el inciso primero del artículo anterior que incurrieren en infracciones a las leyes, reglamentos, estatutos y demás normas que las rijan, o en incumplimiento de las instrucciones y órdenes que les imparta la Comisión, podrán ser objeto de la aplicación por parte de ésta de una o más de las siguientes sanciones, sin perjuicio de las establecidas específicamente en otros cuerpos legales o reglamentarios:</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w:t>
            </w: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1. Censura.</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Pr>
                <w:rFonts w:eastAsiaTheme="minorEastAsia" w:cs="Arial"/>
                <w:szCs w:val="22"/>
                <w:lang w:val="es-CL" w:eastAsia="es-CL"/>
              </w:rPr>
              <w:t xml:space="preserve"> </w:t>
            </w:r>
            <w:r w:rsidRPr="00064502">
              <w:rPr>
                <w:rFonts w:eastAsiaTheme="minorEastAsia" w:cs="Arial"/>
                <w:szCs w:val="22"/>
                <w:lang w:val="es-CL" w:eastAsia="es-CL"/>
              </w:rPr>
              <w:t>2. Multa a beneficio fiscal equivalente, alternativamente, a un monto global por persona o entidad de hasta:</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w:t>
            </w: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a) La suma de </w:t>
            </w:r>
            <w:r w:rsidRPr="00064502">
              <w:rPr>
                <w:rFonts w:eastAsiaTheme="minorEastAsia" w:cs="Arial"/>
                <w:szCs w:val="22"/>
                <w:u w:val="single"/>
                <w:lang w:val="es-CL" w:eastAsia="es-CL"/>
              </w:rPr>
              <w:t>15.000</w:t>
            </w:r>
            <w:r w:rsidRPr="00064502">
              <w:rPr>
                <w:rFonts w:eastAsiaTheme="minorEastAsia" w:cs="Arial"/>
                <w:szCs w:val="22"/>
                <w:lang w:val="es-CL" w:eastAsia="es-CL"/>
              </w:rPr>
              <w:t xml:space="preserve"> unidades de fomento. En el caso de haber sido sancionado anteriormente por infracciones de la misma naturaleza, podrá aplicarse una multa de hasta cinco veces el monto máximo antes expresado.</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w:t>
            </w: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b) El 30% del valor </w:t>
            </w:r>
            <w:r w:rsidRPr="00C47FDC">
              <w:rPr>
                <w:rFonts w:eastAsiaTheme="minorEastAsia" w:cs="Arial"/>
                <w:szCs w:val="22"/>
                <w:lang w:val="es-CL" w:eastAsia="es-CL"/>
              </w:rPr>
              <w:t xml:space="preserve">de </w:t>
            </w:r>
            <w:r w:rsidRPr="00064502">
              <w:rPr>
                <w:rFonts w:eastAsiaTheme="minorEastAsia" w:cs="Arial"/>
                <w:szCs w:val="22"/>
                <w:u w:val="single"/>
                <w:lang w:val="es-CL" w:eastAsia="es-CL"/>
              </w:rPr>
              <w:t>la emisión, registro contable u operación irregular</w:t>
            </w:r>
            <w:r w:rsidRPr="00064502">
              <w:rPr>
                <w:rFonts w:eastAsiaTheme="minorEastAsia" w:cs="Arial"/>
                <w:szCs w:val="22"/>
                <w:lang w:val="es-CL" w:eastAsia="es-CL"/>
              </w:rPr>
              <w:t>.</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c) El doble de los beneficios obtenidos producto de </w:t>
            </w:r>
            <w:r w:rsidRPr="00064502">
              <w:rPr>
                <w:rFonts w:eastAsiaTheme="minorEastAsia" w:cs="Arial"/>
                <w:szCs w:val="22"/>
                <w:u w:val="single"/>
                <w:lang w:val="es-CL" w:eastAsia="es-CL"/>
              </w:rPr>
              <w:t>la emisión, registro contable u operación irregular</w:t>
            </w:r>
            <w:r w:rsidRPr="00064502">
              <w:rPr>
                <w:rFonts w:eastAsiaTheme="minorEastAsia" w:cs="Arial"/>
                <w:szCs w:val="22"/>
                <w:lang w:val="es-CL" w:eastAsia="es-CL"/>
              </w:rPr>
              <w:t>.</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w:t>
            </w:r>
          </w:p>
          <w:p w:rsidR="00045FFB" w:rsidRDefault="00045FFB" w:rsidP="00064502">
            <w:pPr>
              <w:widowControl w:val="0"/>
              <w:tabs>
                <w:tab w:val="clear" w:pos="2835"/>
              </w:tabs>
              <w:autoSpaceDE w:val="0"/>
              <w:autoSpaceDN w:val="0"/>
              <w:adjustRightInd w:val="0"/>
              <w:rPr>
                <w:rFonts w:eastAsiaTheme="minorEastAsia" w:cs="Arial"/>
                <w:szCs w:val="22"/>
                <w:lang w:val="es-CL" w:eastAsia="es-CL"/>
              </w:rPr>
            </w:pPr>
          </w:p>
          <w:p w:rsidR="003F2291" w:rsidRDefault="003F2291" w:rsidP="00064502">
            <w:pPr>
              <w:widowControl w:val="0"/>
              <w:tabs>
                <w:tab w:val="clear" w:pos="2835"/>
              </w:tabs>
              <w:autoSpaceDE w:val="0"/>
              <w:autoSpaceDN w:val="0"/>
              <w:adjustRightInd w:val="0"/>
              <w:rPr>
                <w:rFonts w:eastAsiaTheme="minorEastAsia" w:cs="Arial"/>
                <w:szCs w:val="22"/>
                <w:lang w:val="es-CL" w:eastAsia="es-CL"/>
              </w:rPr>
            </w:pPr>
          </w:p>
          <w:p w:rsidR="003F2291" w:rsidRDefault="003F2291" w:rsidP="00064502">
            <w:pPr>
              <w:widowControl w:val="0"/>
              <w:tabs>
                <w:tab w:val="clear" w:pos="2835"/>
              </w:tabs>
              <w:autoSpaceDE w:val="0"/>
              <w:autoSpaceDN w:val="0"/>
              <w:adjustRightInd w:val="0"/>
              <w:rPr>
                <w:rFonts w:eastAsiaTheme="minorEastAsia" w:cs="Arial"/>
                <w:szCs w:val="22"/>
                <w:lang w:val="es-CL" w:eastAsia="es-CL"/>
              </w:rPr>
            </w:pPr>
          </w:p>
          <w:p w:rsidR="00045FFB" w:rsidRDefault="00045FFB" w:rsidP="00064502">
            <w:pPr>
              <w:widowControl w:val="0"/>
              <w:tabs>
                <w:tab w:val="clear" w:pos="2835"/>
              </w:tabs>
              <w:autoSpaceDE w:val="0"/>
              <w:autoSpaceDN w:val="0"/>
              <w:adjustRightInd w:val="0"/>
              <w:rPr>
                <w:rFonts w:eastAsiaTheme="minorEastAsia" w:cs="Arial"/>
                <w:szCs w:val="22"/>
                <w:lang w:val="es-CL" w:eastAsia="es-CL"/>
              </w:rPr>
            </w:pP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En los casos de las letras b y c la Comisión expresará el monto de la multa en su equivalente en unidades de fomento, señalándolo en la resolución que aplique la sanción.</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w:t>
            </w: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3. Tratándose de personas nombradas o autorizadas por la Comisión para ejercer determinadas funciones o actuaciones, ésta podrá aplicarles también las sanciones de:</w:t>
            </w: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a) Suspensión de su cargo hasta por un año.</w:t>
            </w: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b) Revocación de su autorización o nombramiento por causa grave.</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w:t>
            </w:r>
          </w:p>
          <w:p w:rsidR="00064502" w:rsidRP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xml:space="preserve"> Sin perjuicio de lo establecido en el artículo anterior y en los incisos precedentes, el Consejo podrá aplicar como sanción accesoria la de inhabilidad temporal, hasta por cinco años, para el ejercicio del cargo de director o ejecutivo principal de las entidades descritas en el artículo anterior y en el inciso primero del presente artículo, a aquellas personas que hubiesen incurrido en las conductas descritas en los artículos 59, 60 y 61 de la ley Nº 18.045, de Mercado de Valores, en los artículos 157, 158, 159 y 160 del decreto con fuerza de ley N° 3, de 1997, del Ministerio de Hacienda, que fija el texto refundido, sistematizado y concordado de la Ley General de Bancos y de otros cuerpos legales que se indican, y en los artículos 41 y 49 del decreto con fuerza de ley Nº 251, de 1931, del Ministerio de Hacienda, de Compañías de Seguros, Sociedades Anónimas y Bolsas de Comercio.</w:t>
            </w:r>
          </w:p>
          <w:p w:rsidR="00064502" w:rsidRDefault="00064502" w:rsidP="00064502">
            <w:pPr>
              <w:widowControl w:val="0"/>
              <w:tabs>
                <w:tab w:val="clear" w:pos="2835"/>
              </w:tabs>
              <w:autoSpaceDE w:val="0"/>
              <w:autoSpaceDN w:val="0"/>
              <w:adjustRightInd w:val="0"/>
              <w:rPr>
                <w:rFonts w:eastAsiaTheme="minorEastAsia" w:cs="Arial"/>
                <w:szCs w:val="22"/>
                <w:lang w:val="es-CL" w:eastAsia="es-CL"/>
              </w:rPr>
            </w:pPr>
            <w:r w:rsidRPr="00064502">
              <w:rPr>
                <w:rFonts w:eastAsiaTheme="minorEastAsia" w:cs="Arial"/>
                <w:szCs w:val="22"/>
                <w:lang w:val="es-CL" w:eastAsia="es-CL"/>
              </w:rPr>
              <w:t>   </w:t>
            </w:r>
          </w:p>
          <w:p w:rsidR="00064502" w:rsidRPr="00E74EE9" w:rsidRDefault="00064502" w:rsidP="00045FFB">
            <w:pPr>
              <w:widowControl w:val="0"/>
              <w:tabs>
                <w:tab w:val="clear" w:pos="2835"/>
              </w:tabs>
              <w:autoSpaceDE w:val="0"/>
              <w:autoSpaceDN w:val="0"/>
              <w:adjustRightInd w:val="0"/>
              <w:rPr>
                <w:rFonts w:eastAsiaTheme="minorEastAsia" w:cs="Arial"/>
                <w:szCs w:val="22"/>
                <w:lang w:val="es-ES_tradnl" w:eastAsia="es-CL"/>
              </w:rPr>
            </w:pPr>
            <w:r w:rsidRPr="00064502">
              <w:rPr>
                <w:rFonts w:eastAsiaTheme="minorEastAsia" w:cs="Arial"/>
                <w:szCs w:val="22"/>
                <w:lang w:val="es-CL" w:eastAsia="es-CL"/>
              </w:rPr>
              <w:t xml:space="preserve"> Las sanciones establecidas en el presente artículo podrán ser aplicadas a la sociedad, empresa, entidad, personas jurídicas o naturales, administradores o representantes, según lo determine la Comisión.</w:t>
            </w:r>
          </w:p>
        </w:tc>
        <w:tc>
          <w:tcPr>
            <w:tcW w:w="1665" w:type="pct"/>
          </w:tcPr>
          <w:p w:rsidR="00D30AF0" w:rsidRPr="00405CEC" w:rsidRDefault="00D30AF0" w:rsidP="00405CEC">
            <w:pPr>
              <w:contextualSpacing/>
              <w:jc w:val="center"/>
              <w:rPr>
                <w:rFonts w:cs="Arial"/>
                <w:szCs w:val="22"/>
              </w:rPr>
            </w:pPr>
          </w:p>
        </w:tc>
        <w:tc>
          <w:tcPr>
            <w:tcW w:w="1674" w:type="pct"/>
          </w:tcPr>
          <w:p w:rsidR="00D30AF0" w:rsidRDefault="00D30AF0" w:rsidP="00D30AF0">
            <w:pPr>
              <w:jc w:val="center"/>
              <w:rPr>
                <w:rFonts w:cs="Arial"/>
                <w:b/>
                <w:szCs w:val="22"/>
                <w:u w:val="single"/>
                <w:lang w:val="es-ES_tradnl"/>
              </w:rPr>
            </w:pPr>
            <w:r w:rsidRPr="00D30AF0">
              <w:rPr>
                <w:rFonts w:cs="Arial"/>
                <w:b/>
                <w:szCs w:val="22"/>
                <w:u w:val="single"/>
                <w:lang w:val="es-ES_tradnl"/>
              </w:rPr>
              <w:t>ARTÍCULO 7, NUEVO</w:t>
            </w:r>
          </w:p>
          <w:p w:rsidR="00D30AF0" w:rsidRPr="00D30AF0" w:rsidRDefault="00D30AF0" w:rsidP="00D30AF0">
            <w:pPr>
              <w:jc w:val="center"/>
              <w:rPr>
                <w:rFonts w:cs="Arial"/>
                <w:b/>
                <w:szCs w:val="22"/>
                <w:u w:val="single"/>
                <w:lang w:val="es-ES_tradnl"/>
              </w:rPr>
            </w:pPr>
          </w:p>
          <w:p w:rsidR="00D30AF0" w:rsidRDefault="00D30AF0" w:rsidP="00D30AF0">
            <w:pPr>
              <w:rPr>
                <w:rFonts w:cs="Arial"/>
                <w:szCs w:val="22"/>
                <w:lang w:val="es-ES_tradnl"/>
              </w:rPr>
            </w:pPr>
            <w:r w:rsidRPr="00D30AF0">
              <w:rPr>
                <w:rFonts w:cs="Arial"/>
                <w:szCs w:val="22"/>
                <w:lang w:val="es-ES_tradnl"/>
              </w:rPr>
              <w:t>Ha incorporado el siguiente artículo 7°:</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“Artículo 7°.- Modifícase el decreto ley N° 3.538, de 1980, que crea la Comisión para el Mercado Financiero, en el siguiente sentido:</w:t>
            </w:r>
          </w:p>
          <w:p w:rsidR="00D30AF0" w:rsidRDefault="00D30AF0"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FD2040" w:rsidRDefault="00FD2040"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Pr="00D30AF0" w:rsidRDefault="00D610F5"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1. Modifícase el numeral 20 del artículo 5 en el siguiente sentido:</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a) Reemplázase la palabra “percibido” por “obtenido”.</w:t>
            </w:r>
          </w:p>
          <w:p w:rsidR="00D30AF0" w:rsidRDefault="00D30AF0" w:rsidP="00D30AF0">
            <w:pPr>
              <w:rPr>
                <w:rFonts w:cs="Arial"/>
                <w:szCs w:val="22"/>
                <w:lang w:val="es-ES_tradnl"/>
              </w:rPr>
            </w:pPr>
          </w:p>
          <w:p w:rsidR="00C47FDC" w:rsidRDefault="00C47FDC"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b) Reemplázase la frase “el precio de mercado promedio ponderado del valor de oferta pública en los sesenta días anteriores al de la fecha de” por “tanto las ganancias que se hayan producido como las pérdidas que se hubieren evitado mediante”.</w:t>
            </w:r>
          </w:p>
          <w:p w:rsidR="00D30AF0" w:rsidRDefault="00D30AF0"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Pr="00D30AF0" w:rsidRDefault="00DE3974"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D610F5" w:rsidRDefault="00D610F5"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045FFB" w:rsidRDefault="00045FFB" w:rsidP="00D30AF0">
            <w:pPr>
              <w:rPr>
                <w:rFonts w:cs="Arial"/>
                <w:szCs w:val="22"/>
                <w:lang w:val="es-ES_tradnl"/>
              </w:rPr>
            </w:pPr>
          </w:p>
          <w:p w:rsidR="00045FFB" w:rsidRDefault="00045FFB" w:rsidP="00D30AF0">
            <w:pPr>
              <w:rPr>
                <w:rFonts w:cs="Arial"/>
                <w:szCs w:val="22"/>
                <w:lang w:val="es-ES_tradnl"/>
              </w:rPr>
            </w:pPr>
          </w:p>
          <w:p w:rsidR="00045FFB" w:rsidRDefault="00045FFB" w:rsidP="00D30AF0">
            <w:pPr>
              <w:rPr>
                <w:rFonts w:cs="Arial"/>
                <w:szCs w:val="22"/>
                <w:lang w:val="es-ES_tradnl"/>
              </w:rPr>
            </w:pPr>
          </w:p>
          <w:p w:rsidR="00321D33" w:rsidRDefault="00321D33"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2. Modifícase el numeral 2 del inciso primero del artículo 36 en el siguiente sentido:</w:t>
            </w:r>
          </w:p>
          <w:p w:rsidR="00D30AF0" w:rsidRDefault="00D30AF0" w:rsidP="00D30AF0">
            <w:pPr>
              <w:rPr>
                <w:rFonts w:cs="Arial"/>
                <w:szCs w:val="22"/>
                <w:lang w:val="es-ES_tradnl"/>
              </w:rPr>
            </w:pPr>
          </w:p>
          <w:p w:rsidR="00321D33" w:rsidRDefault="00321D33" w:rsidP="00D30AF0">
            <w:pPr>
              <w:rPr>
                <w:rFonts w:cs="Arial"/>
                <w:szCs w:val="22"/>
                <w:lang w:val="es-ES_tradnl"/>
              </w:rPr>
            </w:pPr>
          </w:p>
          <w:p w:rsidR="00045FFB" w:rsidRPr="00D30AF0" w:rsidRDefault="00045FFB"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a) Reemplázase en su literal a) el guarismo “15.000” por “100.000”.</w:t>
            </w:r>
          </w:p>
          <w:p w:rsidR="00D30AF0" w:rsidRDefault="00D30AF0" w:rsidP="00D30AF0">
            <w:pPr>
              <w:rPr>
                <w:rFonts w:cs="Arial"/>
                <w:szCs w:val="22"/>
                <w:lang w:val="es-ES_tradnl"/>
              </w:rPr>
            </w:pPr>
          </w:p>
          <w:p w:rsidR="00321D33" w:rsidRDefault="00321D33" w:rsidP="00D30AF0">
            <w:pPr>
              <w:rPr>
                <w:rFonts w:cs="Arial"/>
                <w:szCs w:val="22"/>
                <w:lang w:val="es-ES_tradnl"/>
              </w:rPr>
            </w:pPr>
          </w:p>
          <w:p w:rsidR="00045FFB" w:rsidRDefault="00045FFB" w:rsidP="00D30AF0">
            <w:pPr>
              <w:rPr>
                <w:rFonts w:cs="Arial"/>
                <w:szCs w:val="22"/>
                <w:lang w:val="es-ES_tradnl"/>
              </w:rPr>
            </w:pPr>
          </w:p>
          <w:p w:rsidR="00321D33" w:rsidRPr="00D30AF0" w:rsidRDefault="00321D33"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b) Reemplázase en su literal b) la frase “la emisión, registro contable u operación irregular” por la expresión “las operaciones sancionadas”.</w:t>
            </w:r>
          </w:p>
          <w:p w:rsidR="00DE3974" w:rsidRDefault="00DE3974" w:rsidP="00D30AF0">
            <w:pPr>
              <w:rPr>
                <w:rFonts w:cs="Arial"/>
                <w:szCs w:val="22"/>
                <w:lang w:val="es-ES_tradnl"/>
              </w:rPr>
            </w:pPr>
          </w:p>
          <w:p w:rsidR="00321D33" w:rsidRPr="00D30AF0" w:rsidRDefault="00321D33"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c) Reemplázase en su literal c) la frase “la emisión, registro contable u operación irregular” por la expresión “las operaciones sancionadas”.</w:t>
            </w:r>
          </w:p>
          <w:p w:rsidR="00D30AF0" w:rsidRDefault="00D30AF0"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321D33" w:rsidRDefault="00321D33" w:rsidP="00D30AF0">
            <w:pPr>
              <w:rPr>
                <w:rFonts w:cs="Arial"/>
                <w:szCs w:val="22"/>
                <w:lang w:val="es-ES_tradnl"/>
              </w:rPr>
            </w:pPr>
          </w:p>
          <w:p w:rsidR="00DE3974" w:rsidRPr="00D30AF0" w:rsidRDefault="00DE3974"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3. Modifícase el numeral 2 del inciso primero del artículo 37 en el siguiente sentido:</w:t>
            </w:r>
          </w:p>
          <w:p w:rsidR="00D30AF0" w:rsidRDefault="00D30AF0" w:rsidP="00D30AF0">
            <w:pPr>
              <w:rPr>
                <w:rFonts w:cs="Arial"/>
                <w:szCs w:val="22"/>
                <w:lang w:val="es-ES_tradnl"/>
              </w:rPr>
            </w:pPr>
          </w:p>
          <w:p w:rsidR="00045FFB" w:rsidRDefault="00045FFB" w:rsidP="00D30AF0">
            <w:pPr>
              <w:rPr>
                <w:rFonts w:cs="Arial"/>
                <w:szCs w:val="22"/>
                <w:lang w:val="es-ES_tradnl"/>
              </w:rPr>
            </w:pPr>
          </w:p>
          <w:p w:rsidR="00045FFB" w:rsidRDefault="00045FFB" w:rsidP="00D30AF0">
            <w:pPr>
              <w:rPr>
                <w:rFonts w:cs="Arial"/>
                <w:szCs w:val="22"/>
                <w:lang w:val="es-ES_tradnl"/>
              </w:rPr>
            </w:pPr>
          </w:p>
          <w:p w:rsidR="00045FFB" w:rsidRPr="00D30AF0" w:rsidRDefault="00045FFB"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a) Reemplázase en su literal a) el guarismo “15.000” por “100.000”.</w:t>
            </w:r>
          </w:p>
          <w:p w:rsidR="00D30AF0" w:rsidRDefault="00D30AF0" w:rsidP="00D30AF0">
            <w:pPr>
              <w:rPr>
                <w:rFonts w:cs="Arial"/>
                <w:szCs w:val="22"/>
                <w:lang w:val="es-ES_tradnl"/>
              </w:rPr>
            </w:pPr>
          </w:p>
          <w:p w:rsidR="00064502" w:rsidRDefault="00064502" w:rsidP="00D30AF0">
            <w:pPr>
              <w:rPr>
                <w:rFonts w:cs="Arial"/>
                <w:szCs w:val="22"/>
                <w:lang w:val="es-ES_tradnl"/>
              </w:rPr>
            </w:pPr>
          </w:p>
          <w:p w:rsidR="003F2291" w:rsidRDefault="003F2291" w:rsidP="00D30AF0">
            <w:pPr>
              <w:rPr>
                <w:rFonts w:cs="Arial"/>
                <w:szCs w:val="22"/>
                <w:lang w:val="es-ES_tradnl"/>
              </w:rPr>
            </w:pPr>
          </w:p>
          <w:p w:rsidR="00064502" w:rsidRDefault="00064502"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b) Reemplázase en su literal b) la frase “la emisión, registro contable u operación irregular” por la expresión “las operaciones sancionadas”.</w:t>
            </w:r>
          </w:p>
          <w:p w:rsidR="00D30AF0" w:rsidRDefault="00D30AF0" w:rsidP="00D30AF0">
            <w:pPr>
              <w:rPr>
                <w:rFonts w:cs="Arial"/>
                <w:szCs w:val="22"/>
                <w:lang w:val="es-ES_tradnl"/>
              </w:rPr>
            </w:pPr>
          </w:p>
          <w:p w:rsidR="00045FFB" w:rsidRDefault="00045FFB"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c) Reemplázase en su literal c) la frase “la emisión, registro contable u operación irregular” por la expresión “las operaciones sancionadas”.</w:t>
            </w:r>
          </w:p>
          <w:p w:rsidR="00DE3974" w:rsidRDefault="00DE3974" w:rsidP="00D30AF0">
            <w:pPr>
              <w:rPr>
                <w:rFonts w:cs="Arial"/>
                <w:szCs w:val="22"/>
                <w:lang w:val="es-ES_tradnl"/>
              </w:rPr>
            </w:pPr>
          </w:p>
          <w:p w:rsidR="00DE3974" w:rsidRDefault="00DE3974" w:rsidP="00D30AF0">
            <w:pPr>
              <w:rPr>
                <w:rFonts w:cs="Arial"/>
                <w:szCs w:val="22"/>
                <w:lang w:val="es-ES_tradnl"/>
              </w:rPr>
            </w:pPr>
          </w:p>
          <w:p w:rsidR="00DE3974" w:rsidRDefault="00DE3974"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064502" w:rsidRDefault="00064502" w:rsidP="00D30AF0">
            <w:pPr>
              <w:rPr>
                <w:rFonts w:cs="Arial"/>
                <w:szCs w:val="22"/>
                <w:lang w:val="es-ES_tradnl"/>
              </w:rPr>
            </w:pPr>
          </w:p>
          <w:p w:rsidR="00505286" w:rsidRDefault="00505286" w:rsidP="00D30AF0">
            <w:pPr>
              <w:rPr>
                <w:rFonts w:cs="Arial"/>
                <w:szCs w:val="22"/>
                <w:lang w:val="es-ES_tradnl"/>
              </w:rPr>
            </w:pPr>
          </w:p>
          <w:p w:rsidR="003F2291" w:rsidRDefault="003F2291" w:rsidP="00D30AF0">
            <w:pPr>
              <w:rPr>
                <w:rFonts w:cs="Arial"/>
                <w:szCs w:val="22"/>
                <w:lang w:val="es-ES_tradnl"/>
              </w:rPr>
            </w:pPr>
          </w:p>
          <w:p w:rsidR="003F2291" w:rsidRDefault="003F2291" w:rsidP="00D30AF0">
            <w:pPr>
              <w:rPr>
                <w:rFonts w:cs="Arial"/>
                <w:szCs w:val="22"/>
                <w:lang w:val="es-ES_tradnl"/>
              </w:rPr>
            </w:pPr>
          </w:p>
          <w:p w:rsidR="003F2291" w:rsidRDefault="003F2291" w:rsidP="00D30AF0">
            <w:pPr>
              <w:rPr>
                <w:rFonts w:cs="Arial"/>
                <w:szCs w:val="22"/>
                <w:lang w:val="es-ES_tradnl"/>
              </w:rPr>
            </w:pPr>
          </w:p>
          <w:p w:rsidR="003F2291" w:rsidRDefault="003F2291" w:rsidP="00D30AF0">
            <w:pPr>
              <w:rPr>
                <w:rFonts w:cs="Arial"/>
                <w:szCs w:val="22"/>
                <w:lang w:val="es-ES_tradnl"/>
              </w:rPr>
            </w:pPr>
          </w:p>
          <w:p w:rsidR="00064502" w:rsidRDefault="00064502"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4. Agrégase el siguiente Título VII, nuevo:</w:t>
            </w:r>
          </w:p>
          <w:p w:rsidR="00D30AF0" w:rsidRDefault="00D30AF0" w:rsidP="00D30AF0">
            <w:pPr>
              <w:rPr>
                <w:rFonts w:cs="Arial"/>
                <w:szCs w:val="22"/>
                <w:lang w:val="es-ES_tradnl"/>
              </w:rPr>
            </w:pPr>
          </w:p>
          <w:p w:rsidR="00D30AF0" w:rsidRPr="00D30AF0" w:rsidRDefault="00D30AF0" w:rsidP="00D30AF0">
            <w:pPr>
              <w:jc w:val="center"/>
              <w:rPr>
                <w:rFonts w:cs="Arial"/>
                <w:szCs w:val="22"/>
                <w:lang w:val="es-ES_tradnl"/>
              </w:rPr>
            </w:pPr>
            <w:r w:rsidRPr="00D30AF0">
              <w:rPr>
                <w:rFonts w:cs="Arial"/>
                <w:szCs w:val="22"/>
                <w:lang w:val="es-ES_tradnl"/>
              </w:rPr>
              <w:t>“Título VII</w:t>
            </w:r>
          </w:p>
          <w:p w:rsidR="00D30AF0" w:rsidRPr="00D30AF0" w:rsidRDefault="00D30AF0" w:rsidP="00D30AF0">
            <w:pPr>
              <w:jc w:val="center"/>
              <w:rPr>
                <w:rFonts w:cs="Arial"/>
                <w:szCs w:val="22"/>
                <w:lang w:val="es-ES_tradnl"/>
              </w:rPr>
            </w:pPr>
            <w:r w:rsidRPr="00D30AF0">
              <w:rPr>
                <w:rFonts w:cs="Arial"/>
                <w:szCs w:val="22"/>
                <w:lang w:val="es-ES_tradnl"/>
              </w:rPr>
              <w:t>Del Denunciante Anónimo</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Artículo 82.- Tendrán la calidad de denunciantes anónimos y podrán acogerse a las disposiciones del presente Título, siempre y cuando así lo soliciten a la Comisión de manera expresa, quienes, de manera voluntaria y en la forma establecida por la Comisión mediante norma de carácter general, colaboren con investigaciones aportando antecedentes sustanciales, precisos, veraces, comprobables y desconocidos por ésta para la detección, constatación o acreditación de infracciones de las leyes que sean materia de competencia de la Comisión, o de la participación del presunto infractor de dichas infracciones. Esta norma de carácter general deberá contener parámetros objetivos para determinar el carácter sustancial, preciso, veraz, comprobable y desconocido de los antecedentes aportados.</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No obstante lo anterior, no tendrán la calidad de denunciantes anónimos quienes hayan incurrido en la conducta sancionada o tengan la calidad de víctima de la misma.</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 xml:space="preserve">Quien solicite que se le otorgue la calidad de denunciante anónimo, aportando antecedentes a sabiendas de que éstos son falsos o fraudulentos, será sancionado con las penas de presidio menor en sus grados mínimo a medio y multa de 6 a 10 unidades tributarias mensuales. </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Artículo 83.- La calidad de denunciante anónimo se adquiere a partir de la dictación de la resolución fundada que emita la Comisión en la que ésta manifieste que se cumple con las condiciones exigidas en el artículo 82.</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Esta resolución podrá dictarse en el momento que la Comisión lo estime conveniente, incluso antes del inicio de la investigación y deberá ser notificada al denunciante.</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La resolución de la Comisión a que se refiere el inciso primero, así como la identidad del denunciante anónimo, tendrán el carácter de secreto, salvo que el mismo denunciante renuncie a dicho anonimato.</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 xml:space="preserve">No obstante lo anterior, la identidad de aquellas personas que soliciten la calidad de denunciante anónimo y entreguen antecedentes relativos a infracciones legales de materias de competencia de la Comisión tendrá el carácter de secreto, aun cuando tales antecedentes no sean suficientes para dictar la </w:t>
            </w:r>
          </w:p>
          <w:p w:rsidR="00D30AF0" w:rsidRPr="00D30AF0" w:rsidRDefault="00D30AF0" w:rsidP="00D30AF0">
            <w:pPr>
              <w:rPr>
                <w:rFonts w:cs="Arial"/>
                <w:szCs w:val="22"/>
                <w:lang w:val="es-ES_tradnl"/>
              </w:rPr>
            </w:pPr>
            <w:r w:rsidRPr="00D30AF0">
              <w:rPr>
                <w:rFonts w:cs="Arial"/>
                <w:szCs w:val="22"/>
                <w:lang w:val="es-ES_tradnl"/>
              </w:rPr>
              <w:t>resolución referida en el inciso primero de este artículo.</w:t>
            </w:r>
          </w:p>
          <w:p w:rsidR="00D30AF0" w:rsidRDefault="00D30AF0" w:rsidP="00D30AF0">
            <w:pPr>
              <w:rPr>
                <w:rFonts w:cs="Arial"/>
                <w:szCs w:val="22"/>
                <w:lang w:val="es-ES_tradnl"/>
              </w:rPr>
            </w:pPr>
          </w:p>
          <w:p w:rsidR="00D30AF0" w:rsidRDefault="00D30AF0" w:rsidP="00D30AF0">
            <w:pPr>
              <w:rPr>
                <w:rFonts w:cs="Arial"/>
                <w:szCs w:val="22"/>
                <w:lang w:val="es-ES_tradnl"/>
              </w:rPr>
            </w:pPr>
            <w:r w:rsidRPr="00505286">
              <w:rPr>
                <w:rFonts w:cs="Arial"/>
                <w:szCs w:val="22"/>
                <w:lang w:val="es-ES_tradnl"/>
              </w:rPr>
              <w:t>Toda persona</w:t>
            </w:r>
            <w:r w:rsidRPr="00D30AF0">
              <w:rPr>
                <w:rFonts w:cs="Arial"/>
                <w:szCs w:val="22"/>
                <w:lang w:val="es-ES_tradnl"/>
              </w:rPr>
              <w:t xml:space="preserve"> que haya tomado conocimiento de la identidad de un denunciante anónimo o de quien haya solicitado tal calidad de conformidad al inciso anterior, tendrá el deber de guardar secreto respecto de cualquier antecedente que permita identificar a dicho denunciante, siéndole aplicable la facultad de abstenerse de declarar conferida por el artículo 303 del Código Procesal Penal y la de no ser obligado a declarar conforme al artículo 360 del Código de Procedimiento Civil.</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La infracción del deber de guardar secreto establecida en el presente artículo se castigará con multa de 10 a 30 unidades tributarias mensuales. En caso de que el infractor desempeñare funciones en la Comisión u otro organismo público, dicha infracción será sancionada, además, con la pena de reclusión menor en cualquiera de sus grados. Asimismo, dará lugar a responsabilidad administrativa y se sancionará con destitución del cargo.</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Artículo 84.- El denunciante anónimo tendrá derecho a recibir un porcentaje de la multa que se aplique como consecuencia de la investigación y procedimiento en los cuales colaboró.</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 xml:space="preserve">Dicho porcentaje será definido por la Comisión en la resolución sancionatoria, conforme a parámetros objetivos establecidos en una norma de carácter general y lo dispuesto en el inciso siguiente. </w:t>
            </w:r>
          </w:p>
          <w:p w:rsidR="00D30AF0" w:rsidRDefault="00D30AF0" w:rsidP="00D30AF0">
            <w:pPr>
              <w:rPr>
                <w:rFonts w:cs="Arial"/>
                <w:szCs w:val="22"/>
                <w:lang w:val="es-ES_tradnl"/>
              </w:rPr>
            </w:pPr>
            <w:r w:rsidRPr="00D30AF0">
              <w:rPr>
                <w:rFonts w:cs="Arial"/>
                <w:szCs w:val="22"/>
                <w:lang w:val="es-ES_tradnl"/>
              </w:rPr>
              <w:t>Con todo, el denunciante no podrá recibir un monto menor al 10 por ciento de la multa aplicada, y en ningún caso un monto superior al menor valor entre el 30 por ciento de la multa aplicada o 25.000 unidades de fomento.</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La normativa señalada en el inciso segundo de este artículo establecerá la forma de distribución de dicho monto cuando distintos denunciantes anónimos hubieren colaborado en las mismas conductas sancionadas.</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Artículo 85.- Una vez que la resolución sancionatoria respectiva se encuentre firme y la multa haya sido enterada por el infractor en la Tesorería General de la República, corresponderá a esta institución entregar a cada denunciante anónimo el monto a que se refiere el artículo anterior. La Tesorería General de la República deberá comunicar tal hecho a la Comisión tan pronto ello haya ocurrido.</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El monto percibido por el denunciante anónimo en virtud del presente Título no constituirá renta y las operaciones necesarias para efectuar el pago correspondiente gozarán de secreto bancario.</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Artículo 86.- No se podrá poner término a contratos de prestación de servicios con un denunciante anónimo, o suspender el inicio de éstos, motivado en el hecho de que éste hubiere colaborado con una investigación.</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Todo acto en contravención al presente artículo será nulo y, en caso de que el denunciante anónimo demandare alegando infracción de este artículo, corresponderá a la parte demandada probar que el acto no estuvo motivado por esa causa.</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Para efectos de acreditar la calidad de denunciante anónimo, la Comisión emitirá el certificado correspondiente a petición del tribunal en que el denunciante alega infracción a este artículo.</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El juicio en que se alegue contravención del presente artículo deberá someterse a los trámites del procedimiento sumario.</w:t>
            </w:r>
          </w:p>
          <w:p w:rsidR="00D30AF0" w:rsidRPr="00D30AF0" w:rsidRDefault="00D30AF0" w:rsidP="00D30AF0">
            <w:pPr>
              <w:rPr>
                <w:rFonts w:cs="Arial"/>
                <w:szCs w:val="22"/>
                <w:lang w:val="es-ES_tradnl"/>
              </w:rPr>
            </w:pPr>
          </w:p>
          <w:p w:rsidR="00D30AF0" w:rsidRDefault="00D30AF0" w:rsidP="00D30AF0">
            <w:pPr>
              <w:rPr>
                <w:rFonts w:cs="Arial"/>
                <w:szCs w:val="22"/>
                <w:lang w:val="es-ES_tradnl"/>
              </w:rPr>
            </w:pPr>
            <w:r w:rsidRPr="00D30AF0">
              <w:rPr>
                <w:rFonts w:cs="Arial"/>
                <w:szCs w:val="22"/>
                <w:lang w:val="es-ES_tradnl"/>
              </w:rPr>
              <w:t>No se podrá alegar contravención de este artículo por haberse puesto término a un contrato de prestación de servicios, después de transcurridos cinco años contados desde la fecha en que la resolución que aplicó la sanción de multa, en el proceso administrativo para el cual el denunciante anónimo colaboró, se encuentre firme.</w:t>
            </w:r>
          </w:p>
          <w:p w:rsidR="00D30AF0" w:rsidRPr="00D30AF0" w:rsidRDefault="00D30AF0" w:rsidP="00D30AF0">
            <w:pPr>
              <w:rPr>
                <w:rFonts w:cs="Arial"/>
                <w:szCs w:val="22"/>
                <w:lang w:val="es-ES_tradnl"/>
              </w:rPr>
            </w:pPr>
          </w:p>
          <w:p w:rsidR="00D30AF0" w:rsidRPr="00D30AF0" w:rsidRDefault="00D30AF0" w:rsidP="00D30AF0">
            <w:pPr>
              <w:rPr>
                <w:rFonts w:cs="Arial"/>
                <w:szCs w:val="22"/>
                <w:lang w:val="es-ES_tradnl"/>
              </w:rPr>
            </w:pPr>
            <w:r w:rsidRPr="00D30AF0">
              <w:rPr>
                <w:rFonts w:cs="Arial"/>
                <w:szCs w:val="22"/>
                <w:lang w:val="es-ES_tradnl"/>
              </w:rPr>
              <w:t>El denunciante anónimo que colabore con la Comisión, de conformidad al artículo 82, no será penal ni administrativamente responsable por efectuar dicha colaboración. Asimismo, tampoco será civilmente responsable por los perjuicios que se produzcan por el sólo hecho de realizar la referida colaboración.”.</w:t>
            </w:r>
          </w:p>
          <w:p w:rsidR="00D30AF0" w:rsidRPr="001C20E4" w:rsidRDefault="00D30AF0" w:rsidP="00D30AF0">
            <w:pPr>
              <w:rPr>
                <w:rFonts w:cs="Arial"/>
                <w:szCs w:val="22"/>
              </w:rPr>
            </w:pPr>
          </w:p>
        </w:tc>
      </w:tr>
      <w:tr w:rsidR="00D30AF0" w:rsidRPr="001C20E4" w:rsidTr="00096CE0">
        <w:trPr>
          <w:trHeight w:val="315"/>
          <w:jc w:val="center"/>
        </w:trPr>
        <w:tc>
          <w:tcPr>
            <w:tcW w:w="1661" w:type="pct"/>
          </w:tcPr>
          <w:p w:rsidR="00D30AF0" w:rsidRDefault="00DE3974" w:rsidP="00DE3974">
            <w:pPr>
              <w:widowControl w:val="0"/>
              <w:tabs>
                <w:tab w:val="clear" w:pos="2835"/>
              </w:tabs>
              <w:autoSpaceDE w:val="0"/>
              <w:autoSpaceDN w:val="0"/>
              <w:adjustRightInd w:val="0"/>
              <w:jc w:val="center"/>
              <w:rPr>
                <w:rFonts w:eastAsiaTheme="minorEastAsia" w:cs="Arial"/>
                <w:b/>
                <w:szCs w:val="22"/>
                <w:lang w:val="es-ES_tradnl" w:eastAsia="es-CL"/>
              </w:rPr>
            </w:pPr>
            <w:r w:rsidRPr="00DE3974">
              <w:rPr>
                <w:rFonts w:eastAsiaTheme="minorEastAsia" w:cs="Arial"/>
                <w:b/>
                <w:szCs w:val="22"/>
                <w:lang w:val="es-ES_tradnl" w:eastAsia="es-CL"/>
              </w:rPr>
              <w:t>CÓDIGO DE COMERCIO</w:t>
            </w:r>
          </w:p>
          <w:p w:rsidR="002513FD" w:rsidRDefault="002513FD" w:rsidP="00DE3974">
            <w:pPr>
              <w:widowControl w:val="0"/>
              <w:tabs>
                <w:tab w:val="clear" w:pos="2835"/>
              </w:tabs>
              <w:autoSpaceDE w:val="0"/>
              <w:autoSpaceDN w:val="0"/>
              <w:adjustRightInd w:val="0"/>
              <w:jc w:val="center"/>
              <w:rPr>
                <w:rFonts w:eastAsiaTheme="minorEastAsia" w:cs="Arial"/>
                <w:szCs w:val="22"/>
                <w:lang w:val="es-ES_tradnl" w:eastAsia="es-CL"/>
              </w:rPr>
            </w:pPr>
          </w:p>
          <w:p w:rsidR="002513FD" w:rsidRDefault="002513FD" w:rsidP="00DE3974">
            <w:pPr>
              <w:widowControl w:val="0"/>
              <w:tabs>
                <w:tab w:val="clear" w:pos="2835"/>
              </w:tabs>
              <w:autoSpaceDE w:val="0"/>
              <w:autoSpaceDN w:val="0"/>
              <w:adjustRightInd w:val="0"/>
              <w:jc w:val="center"/>
              <w:rPr>
                <w:rFonts w:eastAsiaTheme="minorEastAsia" w:cs="Arial"/>
                <w:szCs w:val="22"/>
                <w:lang w:val="es-ES_tradnl" w:eastAsia="es-CL"/>
              </w:rPr>
            </w:pPr>
          </w:p>
          <w:p w:rsidR="002513FD" w:rsidRDefault="002513FD" w:rsidP="00DE3974">
            <w:pPr>
              <w:widowControl w:val="0"/>
              <w:tabs>
                <w:tab w:val="clear" w:pos="2835"/>
              </w:tabs>
              <w:autoSpaceDE w:val="0"/>
              <w:autoSpaceDN w:val="0"/>
              <w:adjustRightInd w:val="0"/>
              <w:jc w:val="center"/>
              <w:rPr>
                <w:rFonts w:eastAsiaTheme="minorEastAsia" w:cs="Arial"/>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ES_tradnl" w:eastAsia="es-CL"/>
              </w:rPr>
            </w:pPr>
          </w:p>
          <w:p w:rsidR="002513FD" w:rsidRDefault="002513FD" w:rsidP="00DE3974">
            <w:pPr>
              <w:widowControl w:val="0"/>
              <w:tabs>
                <w:tab w:val="clear" w:pos="2835"/>
              </w:tabs>
              <w:autoSpaceDE w:val="0"/>
              <w:autoSpaceDN w:val="0"/>
              <w:adjustRightInd w:val="0"/>
              <w:jc w:val="center"/>
              <w:rPr>
                <w:rFonts w:eastAsiaTheme="minorEastAsia" w:cs="Arial"/>
                <w:szCs w:val="22"/>
                <w:lang w:val="es-ES_tradnl" w:eastAsia="es-CL"/>
              </w:rPr>
            </w:pPr>
          </w:p>
          <w:p w:rsidR="002513FD" w:rsidRDefault="002513FD" w:rsidP="00DE3974">
            <w:pPr>
              <w:widowControl w:val="0"/>
              <w:tabs>
                <w:tab w:val="clear" w:pos="2835"/>
              </w:tabs>
              <w:autoSpaceDE w:val="0"/>
              <w:autoSpaceDN w:val="0"/>
              <w:adjustRightInd w:val="0"/>
              <w:jc w:val="center"/>
              <w:rPr>
                <w:rFonts w:eastAsiaTheme="minorEastAsia" w:cs="Arial"/>
                <w:szCs w:val="22"/>
                <w:lang w:val="es-ES_tradnl" w:eastAsia="es-CL"/>
              </w:rPr>
            </w:pPr>
          </w:p>
          <w:p w:rsidR="002513FD" w:rsidRPr="002513FD" w:rsidRDefault="002513FD" w:rsidP="00DE3974">
            <w:pPr>
              <w:widowControl w:val="0"/>
              <w:tabs>
                <w:tab w:val="clear" w:pos="2835"/>
              </w:tabs>
              <w:autoSpaceDE w:val="0"/>
              <w:autoSpaceDN w:val="0"/>
              <w:adjustRightInd w:val="0"/>
              <w:jc w:val="center"/>
              <w:rPr>
                <w:rFonts w:eastAsiaTheme="minorEastAsia" w:cs="Arial"/>
                <w:szCs w:val="22"/>
                <w:lang w:val="es-ES_tradnl" w:eastAsia="es-CL"/>
              </w:rPr>
            </w:pP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Art. 520. Interés asegurable. El asegurado debe tener un interés asegurable, actual o futuro, respecto al objeto del seguro. En todo caso es preciso que tal interés exista al momento de ocurrir el siniestro.</w:t>
            </w: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Si el interés no llegare a existir, o cesare durante la vigencia del seguro, el contrato terminará y el asegurado tendrá derecho a la restitución de la parte de la prima no ganada por el asegurador correspondiente al tiempo no corrido.</w:t>
            </w: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F312C6" w:rsidRDefault="00F312C6" w:rsidP="002513FD">
            <w:pPr>
              <w:widowControl w:val="0"/>
              <w:tabs>
                <w:tab w:val="clear" w:pos="2835"/>
              </w:tabs>
              <w:autoSpaceDE w:val="0"/>
              <w:autoSpaceDN w:val="0"/>
              <w:adjustRightInd w:val="0"/>
              <w:rPr>
                <w:rFonts w:eastAsiaTheme="minorEastAsia" w:cs="Arial"/>
                <w:b/>
                <w:szCs w:val="22"/>
                <w:lang w:val="es-ES_tradnl" w:eastAsia="es-CL"/>
              </w:rPr>
            </w:pPr>
          </w:p>
          <w:p w:rsidR="00F312C6" w:rsidRDefault="00F312C6"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b/>
                <w:szCs w:val="22"/>
                <w:lang w:val="es-CL" w:eastAsia="es-CL"/>
              </w:rPr>
              <w:t xml:space="preserve">  </w:t>
            </w:r>
            <w:r w:rsidRPr="002513FD">
              <w:rPr>
                <w:rFonts w:eastAsiaTheme="minorEastAsia" w:cs="Arial"/>
                <w:szCs w:val="22"/>
                <w:lang w:val="es-CL" w:eastAsia="es-CL"/>
              </w:rPr>
              <w:t>Art. 538. Retracto de un contrato de seguro celebrado a distancia. En los contratos de seguro celebrados a distancia, el contratante o asegurado tendrá la facultad de retractarse dentro del plazo de diez días, contado desde que reciba la póliza, sin expresión de causa ni cargo alguno, teniendo el derecho a la devolución de la prima que hubiere pagado.</w:t>
            </w: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Este derecho no podrá ser ejercido si se hubiere verificado un siniestro, ni en el caso de los contratos de seguro cuyos efectos terminen antes del plazo señalado en el inciso precedente.</w:t>
            </w:r>
          </w:p>
          <w:p w:rsidR="002513FD" w:rsidRPr="00DE3974" w:rsidRDefault="002513FD" w:rsidP="002513FD">
            <w:pPr>
              <w:widowControl w:val="0"/>
              <w:tabs>
                <w:tab w:val="clear" w:pos="2835"/>
              </w:tabs>
              <w:autoSpaceDE w:val="0"/>
              <w:autoSpaceDN w:val="0"/>
              <w:adjustRightInd w:val="0"/>
              <w:rPr>
                <w:rFonts w:eastAsiaTheme="minorEastAsia" w:cs="Arial"/>
                <w:b/>
                <w:szCs w:val="22"/>
                <w:lang w:val="es-ES_tradnl" w:eastAsia="es-CL"/>
              </w:rPr>
            </w:pPr>
          </w:p>
        </w:tc>
        <w:tc>
          <w:tcPr>
            <w:tcW w:w="1665" w:type="pct"/>
          </w:tcPr>
          <w:p w:rsidR="00D30AF0" w:rsidRPr="00405CEC" w:rsidRDefault="00D30AF0" w:rsidP="00405CEC">
            <w:pPr>
              <w:contextualSpacing/>
              <w:jc w:val="center"/>
              <w:rPr>
                <w:rFonts w:cs="Arial"/>
                <w:szCs w:val="22"/>
              </w:rPr>
            </w:pPr>
          </w:p>
        </w:tc>
        <w:tc>
          <w:tcPr>
            <w:tcW w:w="1674" w:type="pct"/>
          </w:tcPr>
          <w:p w:rsidR="00986CA8" w:rsidRPr="00986CA8" w:rsidRDefault="00986CA8" w:rsidP="00986CA8">
            <w:pPr>
              <w:rPr>
                <w:rFonts w:cs="Arial"/>
                <w:szCs w:val="22"/>
                <w:lang w:val="es-ES_tradnl"/>
              </w:rPr>
            </w:pPr>
          </w:p>
          <w:p w:rsidR="00986CA8" w:rsidRPr="00986CA8" w:rsidRDefault="00986CA8" w:rsidP="00986CA8">
            <w:pPr>
              <w:jc w:val="center"/>
              <w:rPr>
                <w:rFonts w:cs="Arial"/>
                <w:b/>
                <w:szCs w:val="22"/>
                <w:u w:val="single"/>
                <w:lang w:val="es-ES_tradnl"/>
              </w:rPr>
            </w:pPr>
            <w:r w:rsidRPr="00986CA8">
              <w:rPr>
                <w:rFonts w:cs="Arial"/>
                <w:b/>
                <w:szCs w:val="22"/>
                <w:u w:val="single"/>
                <w:lang w:val="es-ES_tradnl"/>
              </w:rPr>
              <w:t>ARTÍCULO 8°, NUEVO</w:t>
            </w:r>
          </w:p>
          <w:p w:rsidR="00986CA8" w:rsidRPr="00986CA8" w:rsidRDefault="00986CA8" w:rsidP="00986CA8">
            <w:pPr>
              <w:rPr>
                <w:rFonts w:cs="Arial"/>
                <w:b/>
                <w:szCs w:val="22"/>
                <w:u w:val="single"/>
                <w:lang w:val="es-ES_tradnl"/>
              </w:rPr>
            </w:pPr>
          </w:p>
          <w:p w:rsidR="00986CA8" w:rsidRPr="00986CA8" w:rsidRDefault="00986CA8" w:rsidP="00986CA8">
            <w:pPr>
              <w:rPr>
                <w:rFonts w:cs="Arial"/>
                <w:szCs w:val="22"/>
                <w:lang w:val="es-ES_tradnl"/>
              </w:rPr>
            </w:pPr>
            <w:r w:rsidRPr="00986CA8">
              <w:rPr>
                <w:rFonts w:cs="Arial"/>
                <w:szCs w:val="22"/>
                <w:lang w:val="es-ES_tradnl"/>
              </w:rPr>
              <w:t>Ha incorporado el siguiente artículo 8°:</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“Artículo 8°.- Introdúcense en el Código de Comercio las siguientes modificaciones:</w:t>
            </w: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Pr="00986CA8" w:rsidRDefault="002513FD"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1. Agrégase a continuación del artículo 520, el siguiente artículo 520 bis, del siguiente tenor:</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“Artículo 520 bis.- Interés asegurable en los seguros asociados a obligaciones de crédito de dinero. Los seguros de daños, personas o cualquier otro tipo contratados con el objeto de proteger los bienes dados en garantía o asegurar el pago de una obligación de crédito de dinero otorgada por un banco o institución financiera podrán ser contratados por el deudor o por cualquiera que tenga interés en el pago final de la deuda. Para los efectos de este artículo, se considerará que los bancos o instituciones financieras que otorguen dichos créditos tendrán un interés asegurable sobre el pago de la deuda o los bienes dados en garantía.</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En todo préstamo de dinero otorgado por un banco o institución financiera se entenderá que tanto éste como el deudor tienen un interés asegurable en el pago del crédito. En la contratación de los seguros asociados a mutuos o préstamos de dinero otorgados a personas naturales o personas jurídicas de aquellas mencionadas en el inciso cuarto del artículo 40 del decreto con fuerza de ley N° 251, de 1931, del Ministerio de Hacienda, el pago de la prima será en partes iguales por el banco o institución financiera otorgante del crédito y el deudor.</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Sin perjuicio de lo anterior, será de cargo exclusivo del banco aquella porción de la prima que corresponda a la comisión por licitación según lo establecido en el artículo 40 del decreto con fuerza de ley N° 251, de 1931, del Ministerio de Hacienda.</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Los seguros contratados en contravención de estas normas serán absolutamente nulos y el asegurador estará obligado a restituir las primas percibidas, pudiendo retener el importe de sus gastos, si ha actuado de buena fe.”.</w:t>
            </w:r>
          </w:p>
          <w:p w:rsidR="00986CA8" w:rsidRPr="00986CA8" w:rsidRDefault="00986CA8"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F312C6" w:rsidRDefault="00F312C6"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2513FD" w:rsidRDefault="002513FD" w:rsidP="00986CA8">
            <w:pPr>
              <w:rPr>
                <w:rFonts w:cs="Arial"/>
                <w:szCs w:val="22"/>
                <w:lang w:val="es-ES_tradnl"/>
              </w:rPr>
            </w:pPr>
          </w:p>
          <w:p w:rsidR="00986CA8" w:rsidRDefault="00986CA8" w:rsidP="00986CA8">
            <w:pPr>
              <w:rPr>
                <w:rFonts w:cs="Arial"/>
                <w:szCs w:val="22"/>
                <w:lang w:val="es-ES_tradnl"/>
              </w:rPr>
            </w:pPr>
            <w:r w:rsidRPr="00986CA8">
              <w:rPr>
                <w:rFonts w:cs="Arial"/>
                <w:szCs w:val="22"/>
                <w:lang w:val="es-ES_tradnl"/>
              </w:rPr>
              <w:t>2. Intercálase, a continuación del artículo 538, los siguientes artículos 538 bis y 538 ter:</w:t>
            </w:r>
          </w:p>
          <w:p w:rsidR="00BF18BE" w:rsidRPr="00986CA8" w:rsidRDefault="00BF18BE"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“Artículo 538 bis. Seguros asociados a productos o servicios financieros. Con ocasión del otorgamiento, renegociación o repactación de productos o servicios financieros, no se podrá contratar seguros distintos de aquellos en que el beneficiario de la indemnización sea el acreedor de la operación crediticia a la cual se vincule la contratación del seguro y que diga relación a esa operación. Tampoco podrán celebrarse junto a los contratos de crédito, contratos de seguro que no digan estricta relación a los riesgos propios del endeudamiento. Los seguros ofrecidos y contratados en infracción de esta disposición serán especialmente sancionados con la nulidad de los cobros realizados, la devolución de dichos cobros reajustados y de las comisiones de uso que pudieren haberse derivado de ellos.</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En los seguros asociados a productos o servicios financieros, el pago de la prima se pagará por partes iguales entre el banco o institución financiera otorgante del crédito y el deudor.</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Para los efectos de este artículo, el contratante siempre tendrá la facultad de retractarse, dentro del plazo de diez días, contado desde que reciba la póliza, sin expresión de causa ni cargo alguno, teniendo derecho a la devolución de la prima que hubiere pagado.</w:t>
            </w:r>
          </w:p>
          <w:p w:rsidR="00986CA8" w:rsidRPr="00986CA8" w:rsidRDefault="00986CA8" w:rsidP="00986CA8">
            <w:pPr>
              <w:rPr>
                <w:rFonts w:cs="Arial"/>
                <w:szCs w:val="22"/>
                <w:lang w:val="es-ES_tradnl"/>
              </w:rPr>
            </w:pPr>
          </w:p>
          <w:p w:rsidR="00986CA8" w:rsidRDefault="00986CA8" w:rsidP="00986CA8">
            <w:pPr>
              <w:rPr>
                <w:rFonts w:cs="Arial"/>
                <w:szCs w:val="22"/>
                <w:lang w:val="es-ES_tradnl"/>
              </w:rPr>
            </w:pPr>
            <w:r w:rsidRPr="00986CA8">
              <w:rPr>
                <w:rFonts w:cs="Arial"/>
                <w:szCs w:val="22"/>
                <w:lang w:val="es-ES_tradnl"/>
              </w:rPr>
              <w:t>El derecho de retracto no podrá ser ejercido si se hubiere verificado un siniestro o en seguros en que, por su naturaleza, los efectos del contrato terminen antes del plazo para ejercer el derecho a retracto.</w:t>
            </w:r>
          </w:p>
          <w:p w:rsidR="00F312C6" w:rsidRDefault="00F312C6" w:rsidP="00986CA8">
            <w:pPr>
              <w:rPr>
                <w:rFonts w:cs="Arial"/>
                <w:szCs w:val="22"/>
                <w:lang w:val="es-ES_tradnl"/>
              </w:rPr>
            </w:pPr>
          </w:p>
          <w:p w:rsidR="00F312C6" w:rsidRPr="00986CA8" w:rsidRDefault="00F312C6" w:rsidP="00986CA8">
            <w:pPr>
              <w:rPr>
                <w:rFonts w:cs="Arial"/>
                <w:szCs w:val="22"/>
                <w:lang w:val="es-ES_tradnl"/>
              </w:rPr>
            </w:pP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Artículo 538 ter. Los bancos e instituciones financieras no podrán pagar incentivos económicos de ninguna índole, con el fin de estimular la contratación de seguros asociados a operaciones de crédito, que induzcan a sus trabajadores o a los de empresas relacionadas a incluir productos que no estén directamente vinculados con el riesgo asegurado o aquellos que la ley exija como obligatorios para la contratación del crédito.</w:t>
            </w:r>
          </w:p>
          <w:p w:rsidR="00986CA8" w:rsidRPr="00986CA8" w:rsidRDefault="00986CA8" w:rsidP="00986CA8">
            <w:pPr>
              <w:rPr>
                <w:rFonts w:cs="Arial"/>
                <w:szCs w:val="22"/>
                <w:lang w:val="es-ES_tradnl"/>
              </w:rPr>
            </w:pPr>
          </w:p>
          <w:p w:rsidR="00986CA8" w:rsidRPr="00986CA8" w:rsidRDefault="00986CA8" w:rsidP="00986CA8">
            <w:pPr>
              <w:rPr>
                <w:rFonts w:cs="Arial"/>
                <w:szCs w:val="22"/>
                <w:lang w:val="es-ES_tradnl"/>
              </w:rPr>
            </w:pPr>
            <w:r w:rsidRPr="00986CA8">
              <w:rPr>
                <w:rFonts w:cs="Arial"/>
                <w:szCs w:val="22"/>
                <w:lang w:val="es-ES_tradnl"/>
              </w:rPr>
              <w:t>Se entenderá por incentivo cualquier pago, regalo, servicio o beneficio económico entregado o realizado a las personas señaladas en el inciso anterior.”.”.</w:t>
            </w:r>
          </w:p>
          <w:p w:rsidR="002513FD" w:rsidRPr="001C20E4" w:rsidRDefault="002513FD" w:rsidP="00986CA8">
            <w:pPr>
              <w:rPr>
                <w:rFonts w:cs="Arial"/>
                <w:szCs w:val="22"/>
              </w:rPr>
            </w:pPr>
          </w:p>
        </w:tc>
      </w:tr>
      <w:tr w:rsidR="00F312C6" w:rsidRPr="001C20E4" w:rsidTr="00096CE0">
        <w:trPr>
          <w:trHeight w:val="315"/>
          <w:jc w:val="center"/>
        </w:trPr>
        <w:tc>
          <w:tcPr>
            <w:tcW w:w="1661" w:type="pct"/>
          </w:tcPr>
          <w:p w:rsidR="00F312C6" w:rsidRPr="00F312C6" w:rsidRDefault="00F312C6" w:rsidP="00F312C6">
            <w:pPr>
              <w:widowControl w:val="0"/>
              <w:tabs>
                <w:tab w:val="clear" w:pos="2835"/>
              </w:tabs>
              <w:autoSpaceDE w:val="0"/>
              <w:autoSpaceDN w:val="0"/>
              <w:adjustRightInd w:val="0"/>
              <w:rPr>
                <w:rFonts w:eastAsiaTheme="minorEastAsia" w:cs="Arial"/>
                <w:b/>
                <w:szCs w:val="22"/>
                <w:lang w:val="es-ES_tradnl" w:eastAsia="es-CL"/>
              </w:rPr>
            </w:pPr>
            <w:r w:rsidRPr="00F312C6">
              <w:rPr>
                <w:rFonts w:eastAsiaTheme="minorEastAsia" w:cs="Arial"/>
                <w:b/>
                <w:szCs w:val="22"/>
                <w:lang w:val="es-ES_tradnl" w:eastAsia="es-CL"/>
              </w:rPr>
              <w:t>LEY N° 18.010 QUE ESTABLECE NORMAS PARA LAS OPERACIONES DE CRÉDITO Y OTRAS OBLIGACIONES DE DINERO QUE INDICA</w:t>
            </w:r>
          </w:p>
          <w:p w:rsidR="00F312C6" w:rsidRPr="00A06682" w:rsidRDefault="00F312C6" w:rsidP="00F312C6">
            <w:pPr>
              <w:widowControl w:val="0"/>
              <w:tabs>
                <w:tab w:val="clear" w:pos="2835"/>
              </w:tabs>
              <w:autoSpaceDE w:val="0"/>
              <w:autoSpaceDN w:val="0"/>
              <w:adjustRightInd w:val="0"/>
              <w:rPr>
                <w:rFonts w:eastAsiaTheme="minorEastAsia" w:cs="Arial"/>
                <w:b/>
                <w:szCs w:val="22"/>
                <w:lang w:val="es-ES_tradnl" w:eastAsia="es-CL"/>
              </w:rPr>
            </w:pPr>
          </w:p>
        </w:tc>
        <w:tc>
          <w:tcPr>
            <w:tcW w:w="1665" w:type="pct"/>
          </w:tcPr>
          <w:p w:rsidR="00F312C6" w:rsidRPr="00405CEC" w:rsidRDefault="00F312C6" w:rsidP="00405CEC">
            <w:pPr>
              <w:contextualSpacing/>
              <w:jc w:val="center"/>
              <w:rPr>
                <w:rFonts w:cs="Arial"/>
                <w:szCs w:val="22"/>
              </w:rPr>
            </w:pPr>
          </w:p>
        </w:tc>
        <w:tc>
          <w:tcPr>
            <w:tcW w:w="1674" w:type="pct"/>
          </w:tcPr>
          <w:p w:rsidR="00F312C6" w:rsidRPr="00F312C6" w:rsidRDefault="00F312C6" w:rsidP="00F312C6">
            <w:pPr>
              <w:jc w:val="center"/>
              <w:rPr>
                <w:rFonts w:cs="Arial"/>
                <w:b/>
                <w:szCs w:val="22"/>
                <w:u w:val="single"/>
                <w:lang w:val="es-ES_tradnl"/>
              </w:rPr>
            </w:pPr>
            <w:r w:rsidRPr="00F312C6">
              <w:rPr>
                <w:rFonts w:cs="Arial"/>
                <w:b/>
                <w:szCs w:val="22"/>
                <w:u w:val="single"/>
                <w:lang w:val="es-ES_tradnl"/>
              </w:rPr>
              <w:t>ARTÍCULO 9°, NUEVO</w:t>
            </w:r>
          </w:p>
          <w:p w:rsidR="00F312C6" w:rsidRPr="00F312C6" w:rsidRDefault="00F312C6" w:rsidP="00F312C6">
            <w:pPr>
              <w:rPr>
                <w:rFonts w:cs="Arial"/>
                <w:b/>
                <w:szCs w:val="22"/>
                <w:u w:val="single"/>
                <w:lang w:val="es-ES_tradnl"/>
              </w:rPr>
            </w:pPr>
          </w:p>
          <w:p w:rsidR="00F312C6" w:rsidRPr="00F312C6" w:rsidRDefault="00F312C6" w:rsidP="00F312C6">
            <w:pPr>
              <w:rPr>
                <w:rFonts w:cs="Arial"/>
                <w:szCs w:val="22"/>
                <w:lang w:val="es-ES_tradnl"/>
              </w:rPr>
            </w:pPr>
            <w:r w:rsidRPr="00F312C6">
              <w:rPr>
                <w:rFonts w:cs="Arial"/>
                <w:szCs w:val="22"/>
                <w:lang w:val="es-ES_tradnl"/>
              </w:rPr>
              <w:t>Ha incorporado el siguiente artículo 9°:</w:t>
            </w:r>
          </w:p>
          <w:p w:rsidR="00F312C6" w:rsidRPr="00F312C6" w:rsidRDefault="00F312C6" w:rsidP="00F312C6">
            <w:pPr>
              <w:rPr>
                <w:rFonts w:cs="Arial"/>
                <w:szCs w:val="22"/>
                <w:lang w:val="es-ES_tradnl"/>
              </w:rPr>
            </w:pPr>
          </w:p>
          <w:p w:rsidR="00F312C6" w:rsidRPr="00F312C6" w:rsidRDefault="00F312C6" w:rsidP="00F312C6">
            <w:pPr>
              <w:rPr>
                <w:rFonts w:cs="Arial"/>
                <w:szCs w:val="22"/>
                <w:lang w:val="es-ES_tradnl"/>
              </w:rPr>
            </w:pPr>
            <w:r w:rsidRPr="00F312C6">
              <w:rPr>
                <w:rFonts w:cs="Arial"/>
                <w:szCs w:val="22"/>
                <w:lang w:val="es-ES_tradnl"/>
              </w:rPr>
              <w:t>“Artículo 9°.- Modifícase la ley N° 18.010 que establece normas para las operaciones de crédito y otras obligaciones de dinero que indica, en el siguiente sentido:</w:t>
            </w:r>
          </w:p>
          <w:p w:rsidR="00F312C6" w:rsidRPr="00F312C6" w:rsidRDefault="00F312C6" w:rsidP="00F312C6">
            <w:pPr>
              <w:rPr>
                <w:rFonts w:cs="Arial"/>
                <w:szCs w:val="22"/>
                <w:lang w:val="es-ES_tradnl"/>
              </w:rPr>
            </w:pPr>
          </w:p>
          <w:p w:rsidR="00F312C6" w:rsidRPr="00F312C6" w:rsidRDefault="00F312C6" w:rsidP="00F312C6">
            <w:pPr>
              <w:rPr>
                <w:rFonts w:cs="Arial"/>
                <w:szCs w:val="22"/>
                <w:lang w:val="es-ES_tradnl"/>
              </w:rPr>
            </w:pPr>
            <w:r w:rsidRPr="00F312C6">
              <w:rPr>
                <w:rFonts w:cs="Arial"/>
                <w:szCs w:val="22"/>
                <w:lang w:val="es-ES_tradnl"/>
              </w:rPr>
              <w:t>1. Reemplázase la expresión “Superintendencia de Bancos e Instituciones Financieras” por “Comisión para el Mercado Financiero”, todas las veces que aparece en el texto de la ley.</w:t>
            </w:r>
          </w:p>
          <w:p w:rsidR="00F312C6" w:rsidRPr="00F312C6" w:rsidRDefault="00F312C6" w:rsidP="00F312C6">
            <w:pPr>
              <w:rPr>
                <w:rFonts w:cs="Arial"/>
                <w:szCs w:val="22"/>
                <w:lang w:val="es-ES_tradnl"/>
              </w:rPr>
            </w:pPr>
          </w:p>
        </w:tc>
      </w:tr>
      <w:tr w:rsidR="00F312C6" w:rsidRPr="001C20E4" w:rsidTr="00096CE0">
        <w:trPr>
          <w:trHeight w:val="315"/>
          <w:jc w:val="center"/>
        </w:trPr>
        <w:tc>
          <w:tcPr>
            <w:tcW w:w="1661" w:type="pct"/>
          </w:tcPr>
          <w:p w:rsidR="00F312C6" w:rsidRPr="00A06682" w:rsidRDefault="00F312C6" w:rsidP="00A06682">
            <w:pPr>
              <w:widowControl w:val="0"/>
              <w:tabs>
                <w:tab w:val="clear" w:pos="2835"/>
              </w:tabs>
              <w:autoSpaceDE w:val="0"/>
              <w:autoSpaceDN w:val="0"/>
              <w:adjustRightInd w:val="0"/>
              <w:jc w:val="center"/>
              <w:rPr>
                <w:rFonts w:eastAsiaTheme="minorEastAsia" w:cs="Arial"/>
                <w:b/>
                <w:szCs w:val="22"/>
                <w:lang w:val="es-ES_tradnl" w:eastAsia="es-CL"/>
              </w:rPr>
            </w:pPr>
          </w:p>
        </w:tc>
        <w:tc>
          <w:tcPr>
            <w:tcW w:w="1665" w:type="pct"/>
          </w:tcPr>
          <w:p w:rsidR="00F312C6" w:rsidRPr="00405CEC" w:rsidRDefault="00F312C6" w:rsidP="00405CEC">
            <w:pPr>
              <w:contextualSpacing/>
              <w:jc w:val="center"/>
              <w:rPr>
                <w:rFonts w:cs="Arial"/>
                <w:szCs w:val="22"/>
              </w:rPr>
            </w:pPr>
          </w:p>
        </w:tc>
        <w:tc>
          <w:tcPr>
            <w:tcW w:w="1674" w:type="pct"/>
          </w:tcPr>
          <w:p w:rsidR="00F312C6" w:rsidRPr="00F312C6" w:rsidRDefault="00F312C6" w:rsidP="00F312C6">
            <w:pPr>
              <w:rPr>
                <w:rFonts w:cs="Arial"/>
                <w:szCs w:val="22"/>
                <w:lang w:val="es-ES_tradnl"/>
              </w:rPr>
            </w:pPr>
            <w:r w:rsidRPr="00F312C6">
              <w:rPr>
                <w:rFonts w:cs="Arial"/>
                <w:szCs w:val="22"/>
                <w:lang w:val="es-ES_tradnl"/>
              </w:rPr>
              <w:t>2. Reemplázase el término “Superintendencia” por la palabra “Comisión”, todas las veces que aparece en el texto de la ley.</w:t>
            </w:r>
          </w:p>
          <w:p w:rsidR="00F312C6" w:rsidRPr="00F312C6" w:rsidRDefault="00F312C6" w:rsidP="00F312C6">
            <w:pPr>
              <w:rPr>
                <w:rFonts w:cs="Arial"/>
                <w:szCs w:val="22"/>
                <w:lang w:val="es-ES_tradnl"/>
              </w:rPr>
            </w:pPr>
          </w:p>
        </w:tc>
      </w:tr>
      <w:tr w:rsidR="00BF18BE" w:rsidRPr="001C20E4" w:rsidTr="00096CE0">
        <w:trPr>
          <w:trHeight w:val="315"/>
          <w:jc w:val="center"/>
        </w:trPr>
        <w:tc>
          <w:tcPr>
            <w:tcW w:w="1661" w:type="pct"/>
          </w:tcPr>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b/>
                <w:szCs w:val="22"/>
                <w:lang w:val="es-ES_tradn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Artículo 10.- Los pagos anticipados de una operación de crédito de dinero, serán convenidos libremente entre acreedor y deudor.</w:t>
            </w: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xml:space="preserve">    Sin embargo, en las operaciones de crédito de dinero cuyo importe en capital no supere el equivalente a 5.000 unidades de fomento, el deudor que no sea una institución fiscalizada por la </w:t>
            </w:r>
            <w:r w:rsidRPr="002513FD">
              <w:rPr>
                <w:rFonts w:eastAsiaTheme="minorEastAsia" w:cs="Arial"/>
                <w:szCs w:val="22"/>
                <w:u w:val="single"/>
                <w:lang w:val="es-CL" w:eastAsia="es-CL"/>
              </w:rPr>
              <w:t>Superintendencia de Bancos</w:t>
            </w:r>
            <w:r w:rsidRPr="002513FD">
              <w:rPr>
                <w:rFonts w:eastAsiaTheme="minorEastAsia" w:cs="Arial"/>
                <w:szCs w:val="22"/>
                <w:lang w:val="es-CL" w:eastAsia="es-CL"/>
              </w:rPr>
              <w:t xml:space="preserve"> o el Fisco o el Banco Central de Chile, podrá anticipar su pago, aun contra la voluntad del acreedor, siempre que:</w:t>
            </w: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a) Tratándose de operaciones no reajustables, pague el capital que se anticipa y los intereses pactados calculados hasta la fecha de pago efectivo, más la comisión de prepago. Dicha comisión, no podrá exceder el valor de un mes de intereses pactados calculados sobre el capital que se prepaga.</w:t>
            </w: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b) Tratándose de operaciones reajustables, pague el capital que se anticipa y los intereses pactados calculados hasta la fecha de pago efectivo, más la comisión de prepago. Dicha comisión, no podrá exceder el valor de un mes y medio de intereses pactados calculados sobre el capital que se prepaga.</w:t>
            </w: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3711B8" w:rsidRDefault="003711B8" w:rsidP="002513FD">
            <w:pPr>
              <w:widowControl w:val="0"/>
              <w:tabs>
                <w:tab w:val="clear" w:pos="2835"/>
              </w:tabs>
              <w:autoSpaceDE w:val="0"/>
              <w:autoSpaceDN w:val="0"/>
              <w:adjustRightInd w:val="0"/>
              <w:rPr>
                <w:rFonts w:eastAsiaTheme="minorEastAsia" w:cs="Arial"/>
                <w:szCs w:val="22"/>
                <w:lang w:val="es-CL" w:eastAsia="es-CL"/>
              </w:rPr>
            </w:pPr>
          </w:p>
          <w:p w:rsidR="003F2291" w:rsidRDefault="003F2291" w:rsidP="002513FD">
            <w:pPr>
              <w:widowControl w:val="0"/>
              <w:tabs>
                <w:tab w:val="clear" w:pos="2835"/>
              </w:tabs>
              <w:autoSpaceDE w:val="0"/>
              <w:autoSpaceDN w:val="0"/>
              <w:adjustRightInd w:val="0"/>
              <w:rPr>
                <w:rFonts w:eastAsiaTheme="minorEastAsia" w:cs="Arial"/>
                <w:szCs w:val="22"/>
                <w:lang w:val="es-CL" w:eastAsia="es-CL"/>
              </w:rPr>
            </w:pP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Los pagos anticipados que sean inferiores al 20% del saldo de la obligación, requerirán siempre del consentimiento del acreedor.</w:t>
            </w: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r w:rsidRPr="002513FD">
              <w:rPr>
                <w:rFonts w:eastAsiaTheme="minorEastAsia" w:cs="Arial"/>
                <w:szCs w:val="22"/>
                <w:lang w:val="es-CL" w:eastAsia="es-CL"/>
              </w:rPr>
              <w:t>    El derecho a pagar anticipadamente en los términos de este artículo, es irrenunciable.</w:t>
            </w:r>
          </w:p>
          <w:p w:rsid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3711B8" w:rsidRDefault="003711B8" w:rsidP="002513FD">
            <w:pPr>
              <w:widowControl w:val="0"/>
              <w:tabs>
                <w:tab w:val="clear" w:pos="2835"/>
              </w:tabs>
              <w:autoSpaceDE w:val="0"/>
              <w:autoSpaceDN w:val="0"/>
              <w:adjustRightInd w:val="0"/>
              <w:rPr>
                <w:rFonts w:eastAsiaTheme="minorEastAsia" w:cs="Arial"/>
                <w:szCs w:val="22"/>
                <w:lang w:val="es-CL" w:eastAsia="es-CL"/>
              </w:rPr>
            </w:pPr>
          </w:p>
          <w:p w:rsidR="002513FD" w:rsidRPr="002513FD" w:rsidRDefault="002513FD" w:rsidP="002513FD">
            <w:pPr>
              <w:widowControl w:val="0"/>
              <w:tabs>
                <w:tab w:val="clear" w:pos="2835"/>
              </w:tabs>
              <w:autoSpaceDE w:val="0"/>
              <w:autoSpaceDN w:val="0"/>
              <w:adjustRightInd w:val="0"/>
              <w:rPr>
                <w:rFonts w:eastAsiaTheme="minorEastAsia" w:cs="Arial"/>
                <w:szCs w:val="22"/>
                <w:lang w:val="es-CL"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2513FD" w:rsidRDefault="007A2CD7" w:rsidP="002513FD">
            <w:pPr>
              <w:widowControl w:val="0"/>
              <w:tabs>
                <w:tab w:val="clear" w:pos="2835"/>
              </w:tabs>
              <w:autoSpaceDE w:val="0"/>
              <w:autoSpaceDN w:val="0"/>
              <w:adjustRightInd w:val="0"/>
              <w:rPr>
                <w:rFonts w:eastAsiaTheme="minorEastAsia" w:cs="Arial"/>
                <w:szCs w:val="22"/>
                <w:lang w:eastAsia="es-CL"/>
              </w:rPr>
            </w:pPr>
            <w:r w:rsidRPr="007A2CD7">
              <w:rPr>
                <w:rFonts w:eastAsiaTheme="minorEastAsia" w:cs="Arial"/>
                <w:szCs w:val="22"/>
                <w:lang w:eastAsia="es-CL"/>
              </w:rPr>
              <w:t>Artículo 16.- El deudor de una operación de crédito de dinero que retarda el cumplimiento de su obligación, debe intereses corrientes desde la fecha del retardo y a las tasas que rijan durante ese retardo, salvo estipulación en contrario o que se haya pactado legalmente un interés superior.</w:t>
            </w: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Pr="007D1147" w:rsidRDefault="007D1147" w:rsidP="007D1147">
            <w:pPr>
              <w:widowControl w:val="0"/>
              <w:tabs>
                <w:tab w:val="clear" w:pos="2835"/>
              </w:tabs>
              <w:autoSpaceDE w:val="0"/>
              <w:autoSpaceDN w:val="0"/>
              <w:adjustRightInd w:val="0"/>
              <w:jc w:val="center"/>
              <w:rPr>
                <w:rFonts w:eastAsiaTheme="minorEastAsia" w:cs="Arial"/>
                <w:b/>
                <w:szCs w:val="22"/>
                <w:lang w:val="es-CL" w:eastAsia="es-CL"/>
              </w:rPr>
            </w:pPr>
            <w:r w:rsidRPr="007D1147">
              <w:rPr>
                <w:rFonts w:eastAsiaTheme="minorEastAsia" w:cs="Arial"/>
                <w:b/>
                <w:szCs w:val="22"/>
                <w:lang w:val="es-CL" w:eastAsia="es-CL"/>
              </w:rPr>
              <w:t>TITULO I</w:t>
            </w:r>
          </w:p>
          <w:p w:rsidR="007D1147" w:rsidRPr="007D1147" w:rsidRDefault="007D1147" w:rsidP="007D1147">
            <w:pPr>
              <w:widowControl w:val="0"/>
              <w:tabs>
                <w:tab w:val="clear" w:pos="2835"/>
              </w:tabs>
              <w:autoSpaceDE w:val="0"/>
              <w:autoSpaceDN w:val="0"/>
              <w:adjustRightInd w:val="0"/>
              <w:jc w:val="center"/>
              <w:rPr>
                <w:rFonts w:eastAsiaTheme="minorEastAsia" w:cs="Arial"/>
                <w:b/>
                <w:szCs w:val="22"/>
                <w:lang w:val="es-CL" w:eastAsia="es-CL"/>
              </w:rPr>
            </w:pPr>
            <w:r w:rsidRPr="007D1147">
              <w:rPr>
                <w:rFonts w:eastAsiaTheme="minorEastAsia" w:cs="Arial"/>
                <w:b/>
                <w:szCs w:val="22"/>
                <w:lang w:val="es-CL" w:eastAsia="es-CL"/>
              </w:rPr>
              <w:t>De las Operaciones de Crédito de Dinero</w:t>
            </w: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E76911" w:rsidRDefault="00E76911"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3711B8" w:rsidRDefault="003711B8" w:rsidP="002513FD">
            <w:pPr>
              <w:widowControl w:val="0"/>
              <w:tabs>
                <w:tab w:val="clear" w:pos="2835"/>
              </w:tabs>
              <w:autoSpaceDE w:val="0"/>
              <w:autoSpaceDN w:val="0"/>
              <w:adjustRightInd w:val="0"/>
              <w:rPr>
                <w:rFonts w:eastAsiaTheme="minorEastAsia" w:cs="Arial"/>
                <w:szCs w:val="22"/>
                <w:lang w:eastAsia="es-CL"/>
              </w:rPr>
            </w:pP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Artículo 31.- Son instituciones que colocan fondos por medio de operaciones de crédito de dinero de manera masiva aquellas que, habiendo realizado operaciones sujetas a un interés máximo convencional durante el año calendario anterior, cumplan con las condiciones y requisitos que se establezcan mediante decreto supremo del Ministerio de Hacienda, emitido bajo la fórmula "Por orden del Presidente de la República" y suscrito, además, por el Ministro de Economía, Fomento y Turismo. Dicho decreto no podrá establecer requisitos que importen sumas totales por montos globales anuales de operaciones de crédito de dinero inferiores a 100.000 unidades de fomento o un número inferior o igual a mil operaciones anuales, sin perjuicio de que a su respecto establezca que dichos montos globales deban ser determinados para conjuntos de personas relacionadas, según este término es definido en el artículo 100 de la ley Nº 18.045. Las señaladas instituciones estarán sometidas a la fiscalización de la Superintendencia de Bancos e Instituciones Financieras, exclusivamente en lo que se refiere al cumplimiento de lo dispuesto en esta ley y solamente en relación a las operaciones a que se refieren los artículos 6º bis y 6º ter, y de lo dispuesto en los incisos segundo y tercero de este artículo. Ello, sin perjuicio de las demás funciones y facultades que otras disposiciones de esta ley otorgan a la mencionada Superintendencia.</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xml:space="preserve">    La Superintendencia deberá solicitar a todas las instituciones mencionadas en este artículo, información de todas las operaciones sujetas a un interés máximo convencional de acuerdo a las disposiciones de esta ley, disociada de los datos que permitan la identificación del deudor respectivo, con las periodicidades y en los formatos que determine mediante norma de carácter general, pudiendo distinguir entre tipos de instituciones colocadoras de fondos por medio de operaciones de crédito de dinero de manera masiva. Esta información incluirá también </w:t>
            </w:r>
            <w:r w:rsidRPr="003711B8">
              <w:rPr>
                <w:rFonts w:eastAsiaTheme="minorEastAsia" w:cs="Arial"/>
                <w:b/>
                <w:szCs w:val="22"/>
                <w:u w:val="single"/>
                <w:lang w:val="es-CL" w:eastAsia="es-CL"/>
              </w:rPr>
              <w:t>toda suma que</w:t>
            </w:r>
            <w:r w:rsidRPr="00E76911">
              <w:rPr>
                <w:rFonts w:eastAsiaTheme="minorEastAsia" w:cs="Arial"/>
                <w:b/>
                <w:szCs w:val="22"/>
                <w:lang w:val="es-CL" w:eastAsia="es-CL"/>
              </w:rPr>
              <w:t>,</w:t>
            </w:r>
            <w:r w:rsidRPr="00E76911">
              <w:rPr>
                <w:rFonts w:eastAsiaTheme="minorEastAsia" w:cs="Arial"/>
                <w:szCs w:val="22"/>
                <w:lang w:val="es-CL" w:eastAsia="es-CL"/>
              </w:rPr>
              <w:t xml:space="preserve"> en forma periódica, esporádica, o por una sola vez, recibe o tiene derecho a recibir del deudor, la institución cuando presta servicios por actos complejos, complementarios a la operación de crédito de dinero o diferentes de tal operación. Con todo, cuando la Superintendencia detectare una posible infracción a las disposiciones referidas en el inciso primero, ésta podrá requerir la información que permita identificar al deudor, para efectos de fiscalizar el cumplimiento de dichas normas. La Superintendencia deberá elaborar y publicar un compendio estadístico semestral que resuma la información recolectada en virtud del presente inciso.</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Asimismo, sobre la base de la información señalada en el inciso anterior, y utilizando parámetros objetivos y comparables, la Superintendencia deberá elaborar y publicar, al menos semestralmente, índices que permitan al público comparar los precios entre los principales productos de crédito de dinero o vinculados a ellos que adquieran grupos significativos de personas naturales y empresas de menor tamaño que realizan las operaciones de crédito de dinero identificadas en los artículos 6º bis y 6º ter. Para tal efecto, la Superintendencia deberá precisar la información que deberán entregarle las instituciones oferentes de dichos créditos sujetas a las disposiciones del presente artículo, las variables que se considerarán en cada índice, la periodicidad de las mediciones, las metodologías de apoyo, la forma de comunicación de los resultados y las demás materias que estime necesarias para el cumplimiento de esta función.</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La Superintendencia y el Servicio Nacional del Consumidor podrán intercambiar información relativa a las operaciones de crédito de dinero afectas al cumplimiento de las disposiciones de la presente ley y de la ley Nº 19.496, sobre protección de los derechos de los consumidores, para lo cual deberán suscribir un convenio de intercambio de información. Para dichos efectos, los datos deberán entregarse siempre disociados de los titulares a que dichos datos se refieren y con pleno respeto a lo establecido en la ley Nº 19.628, sobre protección de la vida privada.</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El Servicio de Impuestos Internos comunicará a la Superintendencia, antes del 30 de junio de cada año, según la información de que disponga, el volumen y número de operaciones realizadas, así como la identidad de cada una de las instituciones colocadoras de fondos que cumplan las condiciones establecidas en el inciso primero. La Superintendencia confeccionará anualmente la nómina de las instituciones colocadoras de fondos por medio de operaciones de crédito de dinero de manera masiva que quedarán sujetas a lo dispuesto en este artículo durante el año calendario siguiente, y notificará a cada una de dichas instituciones de la circunstancia de estar incluidas en la referida nómina antes del 30 de julio de cada año.</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Los funcionarios de la Superintendencia de Bancos e Instituciones Financieras y toda otra persona que, con ocasión de lo dispuesto en la presente ley, haya tenido acceso a la información a que se refiere el presente artículo, deberán mantener absoluta reserva de la misma y no podrán darla a conocer a terceros ni aún después de haber cesado en sus cargos. La infracción a esta prohibición será sancionada con la pena señalada en los artículos 246 y 247 del Código Penal.</w:t>
            </w:r>
          </w:p>
          <w:p w:rsidR="007D1147" w:rsidRDefault="007D1147" w:rsidP="002513FD">
            <w:pPr>
              <w:widowControl w:val="0"/>
              <w:tabs>
                <w:tab w:val="clear" w:pos="2835"/>
              </w:tabs>
              <w:autoSpaceDE w:val="0"/>
              <w:autoSpaceDN w:val="0"/>
              <w:adjustRightInd w:val="0"/>
              <w:rPr>
                <w:rFonts w:eastAsiaTheme="minorEastAsia" w:cs="Arial"/>
                <w:szCs w:val="22"/>
                <w:lang w:eastAsia="es-CL"/>
              </w:rPr>
            </w:pPr>
          </w:p>
          <w:p w:rsidR="007D1147" w:rsidRDefault="007D1147" w:rsidP="002513FD">
            <w:pPr>
              <w:widowControl w:val="0"/>
              <w:tabs>
                <w:tab w:val="clear" w:pos="2835"/>
              </w:tabs>
              <w:autoSpaceDE w:val="0"/>
              <w:autoSpaceDN w:val="0"/>
              <w:adjustRightInd w:val="0"/>
              <w:rPr>
                <w:rFonts w:eastAsiaTheme="minorEastAsia" w:cs="Arial"/>
                <w:szCs w:val="22"/>
                <w:lang w:val="es-ES_tradnl" w:eastAsia="es-CL"/>
              </w:rPr>
            </w:pPr>
          </w:p>
          <w:p w:rsidR="00E76911" w:rsidRDefault="00E76911" w:rsidP="002513FD">
            <w:pPr>
              <w:widowControl w:val="0"/>
              <w:tabs>
                <w:tab w:val="clear" w:pos="2835"/>
              </w:tabs>
              <w:autoSpaceDE w:val="0"/>
              <w:autoSpaceDN w:val="0"/>
              <w:adjustRightInd w:val="0"/>
              <w:rPr>
                <w:rFonts w:eastAsiaTheme="minorEastAsia" w:cs="Arial"/>
                <w:szCs w:val="22"/>
                <w:lang w:val="es-ES_tradnl" w:eastAsia="es-CL"/>
              </w:rPr>
            </w:pPr>
          </w:p>
          <w:p w:rsidR="00E76911" w:rsidRDefault="00E76911" w:rsidP="002513FD">
            <w:pPr>
              <w:widowControl w:val="0"/>
              <w:tabs>
                <w:tab w:val="clear" w:pos="2835"/>
              </w:tabs>
              <w:autoSpaceDE w:val="0"/>
              <w:autoSpaceDN w:val="0"/>
              <w:adjustRightInd w:val="0"/>
              <w:rPr>
                <w:rFonts w:eastAsiaTheme="minorEastAsia" w:cs="Arial"/>
                <w:szCs w:val="22"/>
                <w:lang w:val="es-ES_tradnl" w:eastAsia="es-CL"/>
              </w:rPr>
            </w:pP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Artículo 34.- La entidad afectada podrá reclamar de la aplicación de la multa establecida en el numeral 2) del artículo anterior o de su monto ante la Corte de Apelaciones correspondiente a su domicilio dentro del plazo de diez días hábiles contado desde que la Superintendencia notifique su resolución mediante el envío de carta certificada.</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xml:space="preserve">    Una vez presentada la reclamación, la Corte dará traslado </w:t>
            </w:r>
            <w:r w:rsidRPr="00741101">
              <w:rPr>
                <w:rFonts w:eastAsiaTheme="minorEastAsia" w:cs="Arial"/>
                <w:szCs w:val="22"/>
                <w:u w:val="single"/>
                <w:lang w:val="es-CL" w:eastAsia="es-CL"/>
              </w:rPr>
              <w:t>al Superintendente</w:t>
            </w:r>
            <w:r w:rsidRPr="00E76911">
              <w:rPr>
                <w:rFonts w:eastAsiaTheme="minorEastAsia" w:cs="Arial"/>
                <w:szCs w:val="22"/>
                <w:lang w:val="es-CL" w:eastAsia="es-CL"/>
              </w:rPr>
              <w:t xml:space="preserve"> por diez días hábiles y, evacuado dicho trámite o acusada la correspondiente rebeldía, la Corte dictará sentencia sin ulterior recurso.</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Luego de ejecutoriada la sentencia de la Corte, en el caso de que ésta confirme la sanción aplicada, o transcurrido el plazo del inciso primero sin que la entidad afectada efectúe la reclamación pertinente, deberá procederse al entero de la multa en la Tesorería General de la República.</w:t>
            </w:r>
          </w:p>
          <w:p w:rsidR="00E76911" w:rsidRPr="00E76911" w:rsidRDefault="00E76911" w:rsidP="00E76911">
            <w:pPr>
              <w:widowControl w:val="0"/>
              <w:tabs>
                <w:tab w:val="clear" w:pos="2835"/>
              </w:tabs>
              <w:autoSpaceDE w:val="0"/>
              <w:autoSpaceDN w:val="0"/>
              <w:adjustRightInd w:val="0"/>
              <w:rPr>
                <w:rFonts w:eastAsiaTheme="minorEastAsia" w:cs="Arial"/>
                <w:szCs w:val="22"/>
                <w:lang w:val="es-CL" w:eastAsia="es-CL"/>
              </w:rPr>
            </w:pPr>
            <w:r w:rsidRPr="00E76911">
              <w:rPr>
                <w:rFonts w:eastAsiaTheme="minorEastAsia" w:cs="Arial"/>
                <w:szCs w:val="22"/>
                <w:lang w:val="es-CL" w:eastAsia="es-CL"/>
              </w:rPr>
              <w:t>     </w:t>
            </w:r>
          </w:p>
          <w:p w:rsidR="00C93341" w:rsidRPr="007A2CD7" w:rsidRDefault="00E76911" w:rsidP="00835505">
            <w:pPr>
              <w:widowControl w:val="0"/>
              <w:tabs>
                <w:tab w:val="clear" w:pos="2835"/>
              </w:tabs>
              <w:autoSpaceDE w:val="0"/>
              <w:autoSpaceDN w:val="0"/>
              <w:adjustRightInd w:val="0"/>
              <w:rPr>
                <w:rFonts w:eastAsiaTheme="minorEastAsia" w:cs="Arial"/>
                <w:szCs w:val="22"/>
                <w:lang w:val="es-ES_tradnl" w:eastAsia="es-CL"/>
              </w:rPr>
            </w:pPr>
            <w:r w:rsidRPr="00E76911">
              <w:rPr>
                <w:rFonts w:eastAsiaTheme="minorEastAsia" w:cs="Arial"/>
                <w:szCs w:val="22"/>
                <w:lang w:val="es-CL" w:eastAsia="es-CL"/>
              </w:rPr>
              <w:t>    Si la multa no fuere pagada, la Superintendencia podrá demandar ejecutivamente al infractor ante el juzgado de letras en lo civil competente, acompañando copia de la resolución que aplicó la sanción o de la sentencia ejecutoriada en su caso, la que tendrá por sí sola mérito ejecutivo.</w:t>
            </w:r>
          </w:p>
        </w:tc>
        <w:tc>
          <w:tcPr>
            <w:tcW w:w="1665" w:type="pct"/>
          </w:tcPr>
          <w:p w:rsidR="00BF18BE" w:rsidRPr="00405CEC" w:rsidRDefault="00BF18BE" w:rsidP="00405CEC">
            <w:pPr>
              <w:contextualSpacing/>
              <w:jc w:val="center"/>
              <w:rPr>
                <w:rFonts w:cs="Arial"/>
                <w:szCs w:val="22"/>
              </w:rPr>
            </w:pPr>
          </w:p>
        </w:tc>
        <w:tc>
          <w:tcPr>
            <w:tcW w:w="1674" w:type="pct"/>
          </w:tcPr>
          <w:p w:rsidR="00464A47" w:rsidRPr="00464A47" w:rsidRDefault="00464A47"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3. En su artículo 10:</w:t>
            </w:r>
          </w:p>
          <w:p w:rsidR="00464A47" w:rsidRDefault="00464A47"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3711B8" w:rsidRPr="00464A47" w:rsidRDefault="003711B8"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a) Reemplázase en el encabezado de su inciso segundo la expresión “Superintendencia de Bancos” por “Comisión para el Mercado Financiero”.</w:t>
            </w:r>
          </w:p>
          <w:p w:rsidR="00464A47" w:rsidRDefault="00464A47"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Pr="00464A47" w:rsidRDefault="002513FD"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b) Agrégase el siguiente inciso tercero, nuevo, pasando los actuales incisos tercero y cuarto a ser cuarto y quinto, respectivamente:</w:t>
            </w:r>
          </w:p>
          <w:p w:rsidR="00464A47" w:rsidRPr="00464A47" w:rsidRDefault="00464A47"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“En estos casos sólo podrán cobrarse los intereses que proporcionalmente haya generado el capital, en las condiciones pactadas, hasta la fecha en que se realiza el pre pago. Lo que el deudor hubiere pagado en exceso de dicho monto se imputará al capital que se anticipa.”.</w:t>
            </w:r>
          </w:p>
          <w:p w:rsidR="00464A47" w:rsidRDefault="00464A47"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Default="002513FD" w:rsidP="00464A47">
            <w:pPr>
              <w:rPr>
                <w:rFonts w:cs="Arial"/>
                <w:szCs w:val="22"/>
                <w:lang w:val="es-ES_tradnl"/>
              </w:rPr>
            </w:pPr>
          </w:p>
          <w:p w:rsidR="002513FD" w:rsidRPr="00464A47" w:rsidRDefault="002513FD" w:rsidP="00464A47">
            <w:pPr>
              <w:rPr>
                <w:rFonts w:cs="Arial"/>
                <w:szCs w:val="22"/>
                <w:lang w:val="es-ES_tradnl"/>
              </w:rPr>
            </w:pPr>
          </w:p>
          <w:p w:rsidR="007A2CD7" w:rsidRDefault="007A2CD7" w:rsidP="00464A47">
            <w:pPr>
              <w:rPr>
                <w:rFonts w:cs="Arial"/>
                <w:szCs w:val="22"/>
                <w:lang w:val="es-ES_tradnl"/>
              </w:rPr>
            </w:pPr>
          </w:p>
          <w:p w:rsidR="007A2CD7" w:rsidRDefault="007A2CD7" w:rsidP="00464A47">
            <w:pPr>
              <w:rPr>
                <w:rFonts w:cs="Arial"/>
                <w:szCs w:val="22"/>
                <w:lang w:val="es-ES_tradnl"/>
              </w:rPr>
            </w:pPr>
          </w:p>
          <w:p w:rsidR="007A2CD7" w:rsidRDefault="007A2CD7" w:rsidP="00464A47">
            <w:pPr>
              <w:rPr>
                <w:rFonts w:cs="Arial"/>
                <w:szCs w:val="22"/>
                <w:lang w:val="es-ES_tradnl"/>
              </w:rPr>
            </w:pPr>
          </w:p>
          <w:p w:rsidR="007A2CD7" w:rsidRDefault="007A2CD7" w:rsidP="00464A47">
            <w:pPr>
              <w:rPr>
                <w:rFonts w:cs="Arial"/>
                <w:szCs w:val="22"/>
                <w:lang w:val="es-ES_tradnl"/>
              </w:rPr>
            </w:pPr>
          </w:p>
          <w:p w:rsidR="007A2CD7" w:rsidRDefault="007A2CD7" w:rsidP="00464A47">
            <w:pPr>
              <w:rPr>
                <w:rFonts w:cs="Arial"/>
                <w:szCs w:val="22"/>
                <w:lang w:val="es-ES_tradnl"/>
              </w:rPr>
            </w:pPr>
          </w:p>
          <w:p w:rsidR="007A2CD7" w:rsidRDefault="007A2CD7" w:rsidP="00464A47">
            <w:pPr>
              <w:rPr>
                <w:rFonts w:cs="Arial"/>
                <w:szCs w:val="22"/>
                <w:lang w:val="es-ES_tradnl"/>
              </w:rPr>
            </w:pPr>
          </w:p>
          <w:p w:rsidR="003711B8" w:rsidRDefault="003711B8" w:rsidP="00464A47">
            <w:pPr>
              <w:rPr>
                <w:rFonts w:cs="Arial"/>
                <w:szCs w:val="22"/>
                <w:lang w:val="es-ES_tradnl"/>
              </w:rPr>
            </w:pPr>
          </w:p>
          <w:p w:rsidR="003711B8" w:rsidRDefault="003711B8" w:rsidP="00464A47">
            <w:pPr>
              <w:rPr>
                <w:rFonts w:cs="Arial"/>
                <w:szCs w:val="22"/>
                <w:lang w:val="es-ES_tradnl"/>
              </w:rPr>
            </w:pPr>
          </w:p>
          <w:p w:rsidR="003F2291" w:rsidRDefault="003F2291" w:rsidP="00464A47">
            <w:pPr>
              <w:rPr>
                <w:rFonts w:cs="Arial"/>
                <w:szCs w:val="22"/>
                <w:lang w:val="es-ES_tradnl"/>
              </w:rPr>
            </w:pPr>
          </w:p>
          <w:p w:rsidR="003711B8" w:rsidRDefault="003711B8" w:rsidP="00464A47">
            <w:pPr>
              <w:rPr>
                <w:rFonts w:cs="Arial"/>
                <w:szCs w:val="22"/>
                <w:lang w:val="es-ES_tradnl"/>
              </w:rPr>
            </w:pPr>
          </w:p>
          <w:p w:rsidR="007A2CD7" w:rsidRDefault="007A2CD7" w:rsidP="00464A47">
            <w:pPr>
              <w:rPr>
                <w:rFonts w:cs="Arial"/>
                <w:szCs w:val="22"/>
                <w:lang w:val="es-ES_tradnl"/>
              </w:rPr>
            </w:pPr>
          </w:p>
          <w:p w:rsidR="007A2CD7" w:rsidRDefault="007A2CD7"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4. Incorpórase en el artículo 16 el siguiente inciso segundo:</w:t>
            </w:r>
          </w:p>
          <w:p w:rsidR="00464A47" w:rsidRPr="00464A47" w:rsidRDefault="00464A47"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“Con todo, en obligaciones de hasta 5.000 unidades de fomento en las que el acreedor realice profesionalmente este tipo de operaciones, salvo disposición legal en contrario, el interés pactado para el caso de retardo en las obligaciones del deudor no podrá exceder el interés corriente que rija a la fecha de la convención. Este interés sólo podrá devengarse sobre aquella parte del capital que se encuentre efectivamente vencida, no podrá acumularse con los intereses remuneratorios y no podrá ser capitalizada para el cálculo de intereses de ningún tipo. En caso de contravención se aplicará lo dispuesto en el artículo 8°, y en caso de que corresponda se podrá pedir la nulidad contemplada en el artículo 17 E de la ley N° 19.496.”.</w:t>
            </w:r>
          </w:p>
          <w:p w:rsidR="00464A47" w:rsidRDefault="00464A47" w:rsidP="00464A47">
            <w:pPr>
              <w:rPr>
                <w:rFonts w:cs="Arial"/>
                <w:szCs w:val="22"/>
                <w:lang w:val="es-ES_tradnl"/>
              </w:rPr>
            </w:pPr>
          </w:p>
          <w:p w:rsidR="007D1147" w:rsidRDefault="007D1147" w:rsidP="00464A47">
            <w:pPr>
              <w:rPr>
                <w:rFonts w:cs="Arial"/>
                <w:szCs w:val="22"/>
                <w:lang w:val="es-ES_tradnl"/>
              </w:rPr>
            </w:pPr>
          </w:p>
          <w:p w:rsidR="007D1147" w:rsidRDefault="007D1147" w:rsidP="00464A47">
            <w:pPr>
              <w:rPr>
                <w:rFonts w:cs="Arial"/>
                <w:szCs w:val="22"/>
                <w:lang w:val="es-ES_tradnl"/>
              </w:rPr>
            </w:pPr>
          </w:p>
          <w:p w:rsidR="007D1147" w:rsidRDefault="007D1147" w:rsidP="00464A47">
            <w:pPr>
              <w:rPr>
                <w:rFonts w:cs="Arial"/>
                <w:szCs w:val="22"/>
                <w:lang w:val="es-ES_tradnl"/>
              </w:rPr>
            </w:pPr>
          </w:p>
          <w:p w:rsidR="007D1147" w:rsidRDefault="007D1147"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3711B8" w:rsidRDefault="003711B8" w:rsidP="00464A47">
            <w:pPr>
              <w:rPr>
                <w:rFonts w:cs="Arial"/>
                <w:szCs w:val="22"/>
                <w:lang w:val="es-ES_tradnl"/>
              </w:rPr>
            </w:pPr>
          </w:p>
          <w:p w:rsidR="003711B8" w:rsidRDefault="003711B8" w:rsidP="00464A47">
            <w:pPr>
              <w:rPr>
                <w:rFonts w:cs="Arial"/>
                <w:szCs w:val="22"/>
                <w:lang w:val="es-ES_tradnl"/>
              </w:rPr>
            </w:pPr>
          </w:p>
          <w:p w:rsidR="00E76911" w:rsidRDefault="00E76911"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5. Agrégase al final del Título I, De las Operaciones de Crédito de Dinero, el siguiente artículo 19 ter:</w:t>
            </w:r>
          </w:p>
          <w:p w:rsidR="00464A47" w:rsidRPr="00464A47" w:rsidRDefault="00464A47"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“Artículo 19 ter.- La Comisión determinará, mediante norma de carácter general, los requisitos, reglas y condiciones que deberán cumplir las comisiones que se cobren respecto de las operaciones de crédito de dinero otorgadas por las entidades supervisadas por la Comisión y de aquellas sometidas a su fiscalización, conforme a lo establecido en el artículo 31 de esta ley, debiendo corresponder a contraprestaciones por servicios reales y efectivamente prestados.</w:t>
            </w:r>
          </w:p>
          <w:p w:rsidR="00464A47" w:rsidRPr="00464A47" w:rsidRDefault="00464A47"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Asimismo, dicha normativa deberá establecer criterios objetivos para la determinación de tales comisiones, los cuales deberán calcularse en base al costo de prestación del servicio.”.</w:t>
            </w:r>
          </w:p>
          <w:p w:rsidR="00464A47" w:rsidRDefault="00464A47"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Pr="00464A47"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3711B8" w:rsidRDefault="003711B8" w:rsidP="00464A47">
            <w:pPr>
              <w:rPr>
                <w:rFonts w:cs="Arial"/>
                <w:szCs w:val="22"/>
                <w:lang w:val="es-ES_tradnl"/>
              </w:rPr>
            </w:pPr>
          </w:p>
          <w:p w:rsidR="003711B8" w:rsidRDefault="003711B8" w:rsidP="00464A47">
            <w:pPr>
              <w:rPr>
                <w:rFonts w:cs="Arial"/>
                <w:szCs w:val="22"/>
                <w:lang w:val="es-ES_tradnl"/>
              </w:rPr>
            </w:pPr>
          </w:p>
          <w:p w:rsidR="003711B8" w:rsidRDefault="003711B8" w:rsidP="00464A47">
            <w:pPr>
              <w:rPr>
                <w:rFonts w:cs="Arial"/>
                <w:szCs w:val="22"/>
                <w:lang w:val="es-ES_tradnl"/>
              </w:rPr>
            </w:pPr>
          </w:p>
          <w:p w:rsidR="003711B8" w:rsidRDefault="003711B8" w:rsidP="00464A47">
            <w:pPr>
              <w:rPr>
                <w:rFonts w:cs="Arial"/>
                <w:szCs w:val="22"/>
                <w:lang w:val="es-ES_tradnl"/>
              </w:rPr>
            </w:pPr>
          </w:p>
          <w:p w:rsidR="003711B8" w:rsidRDefault="003711B8"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3711B8" w:rsidRDefault="003711B8" w:rsidP="00464A47">
            <w:pPr>
              <w:rPr>
                <w:rFonts w:cs="Arial"/>
                <w:szCs w:val="22"/>
                <w:lang w:val="es-ES_tradnl"/>
              </w:rPr>
            </w:pPr>
          </w:p>
          <w:p w:rsidR="003F2291" w:rsidRDefault="003F2291" w:rsidP="00464A47">
            <w:pPr>
              <w:rPr>
                <w:rFonts w:cs="Arial"/>
                <w:szCs w:val="22"/>
                <w:lang w:val="es-ES_tradnl"/>
              </w:rPr>
            </w:pPr>
          </w:p>
          <w:p w:rsidR="003F2291" w:rsidRDefault="003F2291" w:rsidP="00464A47">
            <w:pPr>
              <w:rPr>
                <w:rFonts w:cs="Arial"/>
                <w:szCs w:val="22"/>
                <w:lang w:val="es-ES_tradnl"/>
              </w:rPr>
            </w:pPr>
          </w:p>
          <w:p w:rsidR="003711B8" w:rsidRDefault="003711B8"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6. Intercálase en el inciso segundo del artículo 31, entre la expresión “toda suma que” y la coma que le sigue, la frase “se ajuste a los términos contemplados en el artículo 19 ter y aquellas sumas que”.</w:t>
            </w:r>
          </w:p>
          <w:p w:rsidR="00464A47" w:rsidRDefault="00464A47"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E76911" w:rsidRDefault="00E76911" w:rsidP="00464A47">
            <w:pPr>
              <w:rPr>
                <w:rFonts w:cs="Arial"/>
                <w:szCs w:val="22"/>
                <w:lang w:val="es-ES_tradnl"/>
              </w:rPr>
            </w:pPr>
          </w:p>
          <w:p w:rsidR="00741101" w:rsidRDefault="00741101" w:rsidP="00464A47">
            <w:pPr>
              <w:rPr>
                <w:rFonts w:cs="Arial"/>
                <w:szCs w:val="22"/>
                <w:lang w:val="es-ES_tradnl"/>
              </w:rPr>
            </w:pPr>
          </w:p>
          <w:p w:rsidR="003F2291" w:rsidRDefault="003F2291" w:rsidP="00464A47">
            <w:pPr>
              <w:rPr>
                <w:rFonts w:cs="Arial"/>
                <w:szCs w:val="22"/>
                <w:lang w:val="es-ES_tradnl"/>
              </w:rPr>
            </w:pPr>
          </w:p>
          <w:p w:rsidR="00741101" w:rsidRDefault="00741101" w:rsidP="00464A47">
            <w:pPr>
              <w:rPr>
                <w:rFonts w:cs="Arial"/>
                <w:szCs w:val="22"/>
                <w:lang w:val="es-ES_tradnl"/>
              </w:rPr>
            </w:pPr>
          </w:p>
          <w:p w:rsidR="00741101" w:rsidRDefault="00741101" w:rsidP="00464A47">
            <w:pPr>
              <w:rPr>
                <w:rFonts w:cs="Arial"/>
                <w:szCs w:val="22"/>
                <w:lang w:val="es-ES_tradnl"/>
              </w:rPr>
            </w:pPr>
          </w:p>
          <w:p w:rsidR="00741101" w:rsidRDefault="00741101" w:rsidP="00464A47">
            <w:pPr>
              <w:rPr>
                <w:rFonts w:cs="Arial"/>
                <w:szCs w:val="22"/>
                <w:lang w:val="es-ES_tradnl"/>
              </w:rPr>
            </w:pPr>
          </w:p>
          <w:p w:rsidR="00741101" w:rsidRDefault="00741101" w:rsidP="00464A47">
            <w:pPr>
              <w:rPr>
                <w:rFonts w:cs="Arial"/>
                <w:szCs w:val="22"/>
                <w:lang w:val="es-ES_tradnl"/>
              </w:rPr>
            </w:pPr>
          </w:p>
          <w:p w:rsidR="00741101" w:rsidRDefault="00741101" w:rsidP="00464A47">
            <w:pPr>
              <w:rPr>
                <w:rFonts w:cs="Arial"/>
                <w:szCs w:val="22"/>
                <w:lang w:val="es-ES_tradnl"/>
              </w:rPr>
            </w:pPr>
          </w:p>
          <w:p w:rsidR="00464A47" w:rsidRPr="00464A47" w:rsidRDefault="00464A47" w:rsidP="00464A47">
            <w:pPr>
              <w:rPr>
                <w:rFonts w:cs="Arial"/>
                <w:szCs w:val="22"/>
                <w:lang w:val="es-ES_tradnl"/>
              </w:rPr>
            </w:pPr>
            <w:r w:rsidRPr="00464A47">
              <w:rPr>
                <w:rFonts w:cs="Arial"/>
                <w:szCs w:val="22"/>
                <w:lang w:val="es-ES_tradnl"/>
              </w:rPr>
              <w:t>7. Reemplázanse en el artículo 34 las palabras “al Superintendente” por la expresión “a la Comisión”.</w:t>
            </w:r>
          </w:p>
          <w:p w:rsidR="00BF18BE" w:rsidRDefault="00BF18BE" w:rsidP="00464A47">
            <w:pPr>
              <w:rPr>
                <w:rFonts w:cs="Arial"/>
                <w:szCs w:val="22"/>
              </w:rPr>
            </w:pPr>
          </w:p>
          <w:p w:rsidR="001130D2" w:rsidRDefault="001130D2" w:rsidP="00464A47">
            <w:pPr>
              <w:rPr>
                <w:rFonts w:cs="Arial"/>
                <w:szCs w:val="22"/>
              </w:rPr>
            </w:pPr>
          </w:p>
          <w:p w:rsidR="001130D2" w:rsidRDefault="001130D2" w:rsidP="00464A47">
            <w:pPr>
              <w:rPr>
                <w:rFonts w:cs="Arial"/>
                <w:szCs w:val="22"/>
              </w:rPr>
            </w:pPr>
          </w:p>
          <w:p w:rsidR="001130D2" w:rsidRDefault="001130D2" w:rsidP="00464A47">
            <w:pPr>
              <w:rPr>
                <w:rFonts w:cs="Arial"/>
                <w:szCs w:val="22"/>
              </w:rPr>
            </w:pPr>
          </w:p>
          <w:p w:rsidR="001130D2" w:rsidRDefault="001130D2" w:rsidP="00464A47">
            <w:pPr>
              <w:rPr>
                <w:rFonts w:cs="Arial"/>
                <w:szCs w:val="22"/>
              </w:rPr>
            </w:pPr>
          </w:p>
          <w:p w:rsidR="001130D2" w:rsidRDefault="001130D2" w:rsidP="00464A47">
            <w:pPr>
              <w:rPr>
                <w:rFonts w:cs="Arial"/>
                <w:szCs w:val="22"/>
              </w:rPr>
            </w:pPr>
          </w:p>
          <w:p w:rsidR="001130D2" w:rsidRPr="001C20E4" w:rsidRDefault="001130D2" w:rsidP="00464A47">
            <w:pPr>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405CEC" w:rsidRPr="00405CEC" w:rsidRDefault="00405CEC" w:rsidP="00405CEC">
            <w:pPr>
              <w:contextualSpacing/>
              <w:jc w:val="center"/>
              <w:rPr>
                <w:rFonts w:cs="Arial"/>
                <w:szCs w:val="22"/>
              </w:rPr>
            </w:pPr>
            <w:r w:rsidRPr="00405CEC">
              <w:rPr>
                <w:rFonts w:cs="Arial"/>
                <w:szCs w:val="22"/>
              </w:rPr>
              <w:t>ARTÍCULOS TRANSITORIOS</w:t>
            </w:r>
          </w:p>
          <w:p w:rsidR="00405CEC" w:rsidRPr="00405CEC" w:rsidRDefault="00405CEC" w:rsidP="00405CEC">
            <w:pPr>
              <w:contextualSpacing/>
              <w:rPr>
                <w:rFonts w:cs="Arial"/>
                <w:szCs w:val="22"/>
              </w:rPr>
            </w:pPr>
          </w:p>
          <w:p w:rsidR="00405CEC" w:rsidRDefault="00405CEC" w:rsidP="00405CEC">
            <w:pPr>
              <w:contextualSpacing/>
              <w:rPr>
                <w:rFonts w:cs="Arial"/>
                <w:szCs w:val="22"/>
              </w:rPr>
            </w:pPr>
          </w:p>
          <w:p w:rsidR="00045FFB" w:rsidRPr="00405CEC" w:rsidRDefault="00045FFB" w:rsidP="00405CEC">
            <w:pPr>
              <w:contextualSpacing/>
              <w:rPr>
                <w:rFonts w:cs="Arial"/>
                <w:szCs w:val="22"/>
              </w:rPr>
            </w:pPr>
          </w:p>
          <w:p w:rsidR="00405CEC" w:rsidRPr="00871BDD" w:rsidRDefault="00405CEC" w:rsidP="00405CEC">
            <w:pPr>
              <w:contextualSpacing/>
              <w:rPr>
                <w:rFonts w:cs="Arial"/>
                <w:b/>
                <w:szCs w:val="22"/>
              </w:rPr>
            </w:pPr>
            <w:r w:rsidRPr="00871BDD">
              <w:rPr>
                <w:rFonts w:cs="Arial"/>
                <w:b/>
                <w:szCs w:val="22"/>
              </w:rPr>
              <w:t>Artículo primero.- Las modificaciones contenidas en los numerales 2); 8), letra b), ordinal ii); 12); 13); 14); 15), y 16) del artículo 1°, que enmienda la ley N° 18.045, sobre Mercado de Valores, y las modificaciones contenidas en los numerales 2); 4), y 5) del artículo 2°, que enmienda la ley N° 18.046, sobre Sociedades Anónimas, comenzarán a regir en la fecha en que la Comisión para el Mercado Financiero asuma las competencias de la Superintendencia de Bancos e Instituciones Financieras, según lo establezca el decreto con fuerza de ley a que se refiere el artículo noveno transitorio de la ley N° 21.130.</w:t>
            </w:r>
          </w:p>
          <w:p w:rsidR="00405CEC" w:rsidRPr="00405CEC" w:rsidRDefault="00405CEC" w:rsidP="00405CEC">
            <w:pPr>
              <w:contextualSpacing/>
              <w:rPr>
                <w:rFonts w:cs="Arial"/>
                <w:szCs w:val="22"/>
              </w:rPr>
            </w:pPr>
          </w:p>
          <w:p w:rsidR="0045036E" w:rsidRPr="001C20E4" w:rsidRDefault="0045036E">
            <w:pPr>
              <w:contextualSpacing/>
              <w:rPr>
                <w:rFonts w:cs="Arial"/>
                <w:szCs w:val="22"/>
              </w:rPr>
            </w:pPr>
          </w:p>
        </w:tc>
        <w:tc>
          <w:tcPr>
            <w:tcW w:w="1674" w:type="pct"/>
          </w:tcPr>
          <w:p w:rsidR="00871BDD" w:rsidRPr="00871BDD" w:rsidRDefault="00871BDD" w:rsidP="00871BDD">
            <w:pPr>
              <w:jc w:val="center"/>
              <w:rPr>
                <w:rFonts w:cs="Arial"/>
                <w:b/>
                <w:bCs/>
                <w:szCs w:val="22"/>
                <w:u w:val="single"/>
                <w:lang w:val="es-ES_tradnl"/>
              </w:rPr>
            </w:pPr>
            <w:r w:rsidRPr="00871BDD">
              <w:rPr>
                <w:rFonts w:cs="Arial"/>
                <w:b/>
                <w:bCs/>
                <w:szCs w:val="22"/>
                <w:u w:val="single"/>
                <w:lang w:val="es-ES_tradnl"/>
              </w:rPr>
              <w:t>DISPOSICIONES TRANSITORIAS</w:t>
            </w:r>
          </w:p>
          <w:p w:rsidR="00871BDD" w:rsidRPr="00871BDD" w:rsidRDefault="00871BDD" w:rsidP="00871BDD">
            <w:pPr>
              <w:jc w:val="center"/>
              <w:rPr>
                <w:rFonts w:cs="Arial"/>
                <w:b/>
                <w:bCs/>
                <w:szCs w:val="22"/>
                <w:lang w:val="es-ES_tradnl"/>
              </w:rPr>
            </w:pPr>
          </w:p>
          <w:p w:rsidR="00871BDD" w:rsidRPr="00871BDD" w:rsidRDefault="00871BDD" w:rsidP="00871BDD">
            <w:pPr>
              <w:jc w:val="center"/>
              <w:rPr>
                <w:rFonts w:cs="Arial"/>
                <w:b/>
                <w:szCs w:val="22"/>
                <w:u w:val="single"/>
                <w:lang w:val="es-ES_tradnl"/>
              </w:rPr>
            </w:pPr>
            <w:r w:rsidRPr="00871BDD">
              <w:rPr>
                <w:rFonts w:cs="Arial"/>
                <w:b/>
                <w:szCs w:val="22"/>
                <w:u w:val="single"/>
                <w:lang w:val="es-ES_tradnl"/>
              </w:rPr>
              <w:t>Artículo primero transitorio</w:t>
            </w:r>
          </w:p>
          <w:p w:rsidR="00835505" w:rsidRDefault="00835505" w:rsidP="00835505">
            <w:pPr>
              <w:rPr>
                <w:rFonts w:cs="Arial"/>
                <w:szCs w:val="22"/>
                <w:lang w:val="es-ES_tradnl"/>
              </w:rPr>
            </w:pPr>
          </w:p>
          <w:p w:rsidR="00871BDD" w:rsidRPr="00871BDD" w:rsidRDefault="00871BDD" w:rsidP="00835505">
            <w:pPr>
              <w:rPr>
                <w:rFonts w:cs="Arial"/>
                <w:szCs w:val="22"/>
                <w:lang w:val="es-ES_tradnl"/>
              </w:rPr>
            </w:pPr>
            <w:r w:rsidRPr="00871BDD">
              <w:rPr>
                <w:rFonts w:cs="Arial"/>
                <w:szCs w:val="22"/>
                <w:lang w:val="es-ES_tradnl"/>
              </w:rPr>
              <w:t>Lo ha suprimido.</w:t>
            </w:r>
          </w:p>
          <w:p w:rsidR="00871BDD" w:rsidRPr="00871BDD" w:rsidRDefault="00871BDD" w:rsidP="00871BDD">
            <w:pPr>
              <w:jc w:val="center"/>
              <w:rPr>
                <w:rFonts w:cs="Arial"/>
                <w:szCs w:val="22"/>
                <w:u w:val="single"/>
                <w:lang w:val="es-ES_tradnl"/>
              </w:rPr>
            </w:pPr>
          </w:p>
          <w:p w:rsidR="0045036E" w:rsidRPr="001C20E4" w:rsidRDefault="0045036E" w:rsidP="000369E2">
            <w:pPr>
              <w:jc w:val="center"/>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E14DFE" w:rsidRDefault="00E14DFE" w:rsidP="00405CEC">
            <w:pPr>
              <w:contextualSpacing/>
              <w:rPr>
                <w:rFonts w:cs="Arial"/>
                <w:b/>
                <w:szCs w:val="22"/>
              </w:rPr>
            </w:pPr>
          </w:p>
          <w:p w:rsidR="00E14DFE" w:rsidRDefault="00E14DFE" w:rsidP="00405CEC">
            <w:pPr>
              <w:contextualSpacing/>
              <w:rPr>
                <w:rFonts w:cs="Arial"/>
                <w:b/>
                <w:szCs w:val="22"/>
              </w:rPr>
            </w:pPr>
          </w:p>
          <w:p w:rsidR="00E14DFE" w:rsidRDefault="00E14DFE" w:rsidP="00405CEC">
            <w:pPr>
              <w:contextualSpacing/>
              <w:rPr>
                <w:rFonts w:cs="Arial"/>
                <w:b/>
                <w:szCs w:val="22"/>
              </w:rPr>
            </w:pPr>
          </w:p>
          <w:p w:rsidR="00E14DFE" w:rsidRDefault="00E14DFE" w:rsidP="00405CEC">
            <w:pPr>
              <w:contextualSpacing/>
              <w:rPr>
                <w:rFonts w:cs="Arial"/>
                <w:b/>
                <w:szCs w:val="22"/>
              </w:rPr>
            </w:pPr>
          </w:p>
          <w:p w:rsidR="00E14DFE" w:rsidRDefault="00E14DFE" w:rsidP="00405CEC">
            <w:pPr>
              <w:contextualSpacing/>
              <w:rPr>
                <w:rFonts w:cs="Arial"/>
                <w:b/>
                <w:szCs w:val="22"/>
              </w:rPr>
            </w:pPr>
          </w:p>
          <w:p w:rsidR="00405CEC" w:rsidRPr="00E14DFE" w:rsidRDefault="00405CEC" w:rsidP="00405CEC">
            <w:pPr>
              <w:contextualSpacing/>
              <w:rPr>
                <w:rFonts w:cs="Arial"/>
                <w:b/>
                <w:szCs w:val="22"/>
              </w:rPr>
            </w:pPr>
            <w:r w:rsidRPr="00E14DFE">
              <w:rPr>
                <w:rFonts w:cs="Arial"/>
                <w:b/>
                <w:szCs w:val="22"/>
              </w:rPr>
              <w:t>Artículo segundo.- Las modificaciones contenidas en el numeral 6) del artículo 1°, que enmienda el artículo 44 bis de la ley N° 18.045, comenzarán a regir el primer día del séptimo mes posterior a la publicación de la presente ley.</w:t>
            </w:r>
          </w:p>
          <w:p w:rsidR="0045036E" w:rsidRPr="00E14DFE" w:rsidRDefault="0045036E">
            <w:pPr>
              <w:contextualSpacing/>
              <w:rPr>
                <w:rFonts w:cs="Arial"/>
                <w:b/>
                <w:szCs w:val="22"/>
              </w:rPr>
            </w:pPr>
          </w:p>
        </w:tc>
        <w:tc>
          <w:tcPr>
            <w:tcW w:w="1674" w:type="pct"/>
          </w:tcPr>
          <w:p w:rsidR="00E14DFE" w:rsidRPr="00E14DFE" w:rsidRDefault="00E14DFE" w:rsidP="00E14DFE">
            <w:pPr>
              <w:tabs>
                <w:tab w:val="clear" w:pos="2835"/>
              </w:tabs>
              <w:jc w:val="center"/>
              <w:rPr>
                <w:rFonts w:cs="Arial"/>
                <w:b/>
                <w:szCs w:val="22"/>
                <w:u w:val="single"/>
                <w:lang w:val="es-ES_tradnl"/>
              </w:rPr>
            </w:pPr>
            <w:r w:rsidRPr="00E14DFE">
              <w:rPr>
                <w:rFonts w:cs="Arial"/>
                <w:b/>
                <w:szCs w:val="22"/>
                <w:u w:val="single"/>
                <w:lang w:val="es-ES_tradnl"/>
              </w:rPr>
              <w:t>Artículo segundo transitorio</w:t>
            </w:r>
          </w:p>
          <w:p w:rsidR="00E14DFE" w:rsidRPr="00E14DFE" w:rsidRDefault="00E14DFE" w:rsidP="00E14DFE">
            <w:pPr>
              <w:tabs>
                <w:tab w:val="clear" w:pos="2835"/>
              </w:tabs>
              <w:rPr>
                <w:rFonts w:cs="Arial"/>
                <w:b/>
                <w:szCs w:val="22"/>
                <w:u w:val="single"/>
                <w:lang w:val="es-ES_tradnl"/>
              </w:rPr>
            </w:pPr>
          </w:p>
          <w:p w:rsidR="00E14DFE" w:rsidRPr="00E14DFE" w:rsidRDefault="00E14DFE" w:rsidP="00E14DFE">
            <w:pPr>
              <w:tabs>
                <w:tab w:val="clear" w:pos="2835"/>
              </w:tabs>
              <w:rPr>
                <w:rFonts w:cs="Arial"/>
                <w:szCs w:val="22"/>
                <w:lang w:val="es-ES_tradnl"/>
              </w:rPr>
            </w:pPr>
            <w:r w:rsidRPr="00E14DFE">
              <w:rPr>
                <w:rFonts w:cs="Arial"/>
                <w:szCs w:val="22"/>
                <w:lang w:val="es-ES_tradnl"/>
              </w:rPr>
              <w:t>Ha pasado a ser artículo primero transitorio, sustituido por el siguiente:</w:t>
            </w:r>
          </w:p>
          <w:p w:rsidR="00E14DFE" w:rsidRPr="00E14DFE" w:rsidRDefault="00E14DFE" w:rsidP="00E14DFE">
            <w:pPr>
              <w:tabs>
                <w:tab w:val="clear" w:pos="2835"/>
              </w:tabs>
              <w:rPr>
                <w:rFonts w:cs="Arial"/>
                <w:szCs w:val="22"/>
                <w:u w:val="single"/>
                <w:lang w:val="es-ES_tradnl"/>
              </w:rPr>
            </w:pPr>
          </w:p>
          <w:p w:rsidR="00E14DFE" w:rsidRPr="00E14DFE" w:rsidRDefault="00E14DFE" w:rsidP="00E14DFE">
            <w:pPr>
              <w:tabs>
                <w:tab w:val="clear" w:pos="2835"/>
              </w:tabs>
              <w:rPr>
                <w:rFonts w:cs="Arial"/>
                <w:szCs w:val="22"/>
                <w:lang w:val="es-ES_tradnl"/>
              </w:rPr>
            </w:pPr>
            <w:r w:rsidRPr="00E14DFE">
              <w:rPr>
                <w:rFonts w:cs="Arial"/>
                <w:szCs w:val="22"/>
                <w:lang w:val="es-ES_tradnl"/>
              </w:rPr>
              <w:t>“Artículo primero.- Las modificaciones contenidas en los numerales 9) y 10) del artículo 1°, que enmiendan los artículos 44 y 44 bis de la ley N° 18.045, comenzarán a regir el primer día del décimo mes posterior a la publicación de la presente ley.</w:t>
            </w:r>
          </w:p>
          <w:p w:rsidR="00E14DFE" w:rsidRPr="00E14DFE" w:rsidRDefault="00E14DFE" w:rsidP="00E14DFE">
            <w:pPr>
              <w:tabs>
                <w:tab w:val="clear" w:pos="2835"/>
              </w:tabs>
              <w:rPr>
                <w:rFonts w:cs="Arial"/>
                <w:szCs w:val="22"/>
                <w:lang w:val="es-ES_tradnl"/>
              </w:rPr>
            </w:pPr>
          </w:p>
          <w:p w:rsidR="00E14DFE" w:rsidRPr="00E14DFE" w:rsidRDefault="00E14DFE" w:rsidP="00E14DFE">
            <w:pPr>
              <w:tabs>
                <w:tab w:val="clear" w:pos="2835"/>
              </w:tabs>
              <w:rPr>
                <w:rFonts w:cs="Arial"/>
                <w:szCs w:val="22"/>
                <w:lang w:val="es-ES_tradnl"/>
              </w:rPr>
            </w:pPr>
            <w:r w:rsidRPr="00E14DFE">
              <w:rPr>
                <w:rFonts w:cs="Arial"/>
                <w:szCs w:val="22"/>
                <w:lang w:val="es-ES_tradnl"/>
              </w:rPr>
              <w:t>Las bolsas de valores que se encuentren en funcionamiento a la fecha de publicación de la presente ley, deberán adecuar su reglamentación interna, de conformidad al artículo 44 de la ley N° 18.045, modificado por el numeral 9) del artículo 1 de esta ley, y presentar tales modificaciones para aprobación de la Comisión para el Mercado Financiero, dentro del plazo de tres meses contado desde la publicación de esta ley. Para la referida aprobación, se dispondrá de un plazo de ciento veinte días corridos, el que se suspenderá si la Comisión para el Mercado Financiero solicita información adicional, realiza observaciones o instruye alguna modificación por no ajustarse a las disposiciones legales o administrativas aplicables, reanudándose el transcurso del plazo cuando se haya subsanado o cumplido con la observación o trámite respectivo. Para que las bolsas de valores puedan subsanar o cumplir con la observación o trámite solicitado, la Comisión para el Mercado Financiero les fijará un plazo que no podrá ser mayor a los treinta días corridos, sin perjuicio de que dicha institución podrá prorrogar el señalado plazo por un máximo de treinta días corridos, cuantas veces lo estime necesario.”</w:t>
            </w:r>
          </w:p>
          <w:p w:rsidR="0045036E" w:rsidRPr="001C20E4" w:rsidRDefault="0045036E" w:rsidP="001343CB">
            <w:pPr>
              <w:tabs>
                <w:tab w:val="clear" w:pos="2835"/>
              </w:tabs>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5A4BD3" w:rsidRDefault="005A4BD3" w:rsidP="00405CEC">
            <w:pPr>
              <w:contextualSpacing/>
              <w:rPr>
                <w:rFonts w:cs="Arial"/>
                <w:b/>
                <w:szCs w:val="22"/>
              </w:rPr>
            </w:pPr>
          </w:p>
          <w:p w:rsidR="005A4BD3" w:rsidRDefault="005A4BD3" w:rsidP="00405CEC">
            <w:pPr>
              <w:contextualSpacing/>
              <w:rPr>
                <w:rFonts w:cs="Arial"/>
                <w:b/>
                <w:szCs w:val="22"/>
              </w:rPr>
            </w:pPr>
          </w:p>
          <w:p w:rsidR="00405CEC" w:rsidRPr="00405CEC" w:rsidRDefault="00405CEC" w:rsidP="00405CEC">
            <w:pPr>
              <w:contextualSpacing/>
              <w:rPr>
                <w:rFonts w:cs="Arial"/>
                <w:szCs w:val="22"/>
              </w:rPr>
            </w:pPr>
            <w:r w:rsidRPr="005F61EE">
              <w:rPr>
                <w:rFonts w:cs="Arial"/>
                <w:b/>
                <w:szCs w:val="22"/>
              </w:rPr>
              <w:t>Artículo tercero</w:t>
            </w:r>
            <w:r w:rsidRPr="00405CEC">
              <w:rPr>
                <w:rFonts w:cs="Arial"/>
                <w:szCs w:val="22"/>
              </w:rPr>
              <w:t>.- Las regulaciones contenidas en el artículo 3° de esta ley comenzarán a regir noventa días después de dictada la norma de carácter general por parte de la Comisión para el Mercado Financiero. Dicha norma deberá ser dictada dentro de los doce meses siguientes a la publicación de la presente ley.</w:t>
            </w:r>
          </w:p>
          <w:p w:rsidR="0045036E" w:rsidRPr="001C20E4" w:rsidRDefault="0045036E">
            <w:pPr>
              <w:contextualSpacing/>
              <w:rPr>
                <w:rFonts w:cs="Arial"/>
                <w:szCs w:val="22"/>
              </w:rPr>
            </w:pPr>
          </w:p>
        </w:tc>
        <w:tc>
          <w:tcPr>
            <w:tcW w:w="1674" w:type="pct"/>
          </w:tcPr>
          <w:p w:rsidR="005F61EE" w:rsidRDefault="005F61EE" w:rsidP="005F61EE">
            <w:pPr>
              <w:jc w:val="center"/>
              <w:rPr>
                <w:rFonts w:cs="Arial"/>
                <w:b/>
                <w:szCs w:val="22"/>
                <w:u w:val="single"/>
                <w:lang w:val="es-ES_tradnl"/>
              </w:rPr>
            </w:pPr>
            <w:r w:rsidRPr="005F61EE">
              <w:rPr>
                <w:rFonts w:cs="Arial"/>
                <w:b/>
                <w:szCs w:val="22"/>
                <w:u w:val="single"/>
                <w:lang w:val="es-ES_tradnl"/>
              </w:rPr>
              <w:t>Artículo tercero transitorio</w:t>
            </w:r>
          </w:p>
          <w:p w:rsidR="005F61EE" w:rsidRPr="005F61EE" w:rsidRDefault="005F61EE" w:rsidP="005F61EE">
            <w:pPr>
              <w:rPr>
                <w:rFonts w:cs="Arial"/>
                <w:b/>
                <w:szCs w:val="22"/>
                <w:u w:val="single"/>
                <w:lang w:val="es-ES_tradnl"/>
              </w:rPr>
            </w:pPr>
          </w:p>
          <w:p w:rsidR="005F61EE" w:rsidRPr="005F61EE" w:rsidRDefault="005F61EE" w:rsidP="005F61EE">
            <w:pPr>
              <w:rPr>
                <w:rFonts w:cs="Arial"/>
                <w:szCs w:val="22"/>
                <w:lang w:val="es-ES_tradnl"/>
              </w:rPr>
            </w:pPr>
            <w:r w:rsidRPr="005F61EE">
              <w:rPr>
                <w:rFonts w:cs="Arial"/>
                <w:szCs w:val="22"/>
                <w:lang w:val="es-ES_tradnl"/>
              </w:rPr>
              <w:t>Ha pasado a ser artículo segundo transitorio, sin enmiendas.</w:t>
            </w:r>
          </w:p>
          <w:p w:rsidR="0045036E" w:rsidRPr="001C20E4" w:rsidRDefault="0045036E" w:rsidP="00CE7328">
            <w:pPr>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FE4D3B" w:rsidRDefault="00FE4D3B" w:rsidP="00405CEC">
            <w:pPr>
              <w:contextualSpacing/>
              <w:rPr>
                <w:rFonts w:cs="Arial"/>
                <w:szCs w:val="22"/>
              </w:rPr>
            </w:pPr>
          </w:p>
          <w:p w:rsidR="00FE4D3B" w:rsidRDefault="00FE4D3B" w:rsidP="00405CEC">
            <w:pPr>
              <w:contextualSpacing/>
              <w:rPr>
                <w:rFonts w:cs="Arial"/>
                <w:szCs w:val="22"/>
              </w:rPr>
            </w:pPr>
          </w:p>
          <w:p w:rsidR="00FE4D3B" w:rsidRDefault="00FE4D3B" w:rsidP="00405CEC">
            <w:pPr>
              <w:contextualSpacing/>
              <w:rPr>
                <w:rFonts w:cs="Arial"/>
                <w:szCs w:val="22"/>
              </w:rPr>
            </w:pPr>
          </w:p>
          <w:p w:rsidR="00FE4D3B" w:rsidRDefault="00FE4D3B" w:rsidP="00405CEC">
            <w:pPr>
              <w:contextualSpacing/>
              <w:rPr>
                <w:rFonts w:cs="Arial"/>
                <w:szCs w:val="22"/>
              </w:rPr>
            </w:pPr>
          </w:p>
          <w:p w:rsidR="00FE4D3B" w:rsidRPr="00FE4D3B" w:rsidRDefault="00FE4D3B" w:rsidP="00405CEC">
            <w:pPr>
              <w:contextualSpacing/>
              <w:rPr>
                <w:rFonts w:cs="Arial"/>
                <w:b/>
                <w:szCs w:val="22"/>
              </w:rPr>
            </w:pPr>
          </w:p>
          <w:p w:rsidR="00405CEC" w:rsidRPr="00FE4D3B" w:rsidRDefault="00405CEC" w:rsidP="00405CEC">
            <w:pPr>
              <w:contextualSpacing/>
              <w:rPr>
                <w:rFonts w:cs="Arial"/>
                <w:b/>
                <w:szCs w:val="22"/>
              </w:rPr>
            </w:pPr>
            <w:r w:rsidRPr="00FE4D3B">
              <w:rPr>
                <w:rFonts w:cs="Arial"/>
                <w:b/>
                <w:szCs w:val="22"/>
              </w:rPr>
              <w:t>Artículo cuarto.- Las modificaciones contenidas en los numerales 1); 2); 3); 5); 6); 7); 8); 9); 10), y 11), y en la letra b) del numeral 12), que el artículo 4° de esta ley introduce en el decreto ley N° 3.500, del Ministerio del Trabajo y Previsión Social, de 1980, comenzarán a regir el primer día del séptimo mes posterior a la publicación de la presente ley.</w:t>
            </w:r>
          </w:p>
          <w:p w:rsidR="00405CEC" w:rsidRPr="00FE4D3B" w:rsidRDefault="00405CEC" w:rsidP="00405CEC">
            <w:pPr>
              <w:contextualSpacing/>
              <w:rPr>
                <w:rFonts w:cs="Arial"/>
                <w:b/>
                <w:szCs w:val="22"/>
              </w:rPr>
            </w:pPr>
          </w:p>
          <w:p w:rsidR="00405CEC" w:rsidRPr="00FE4D3B" w:rsidRDefault="00405CEC" w:rsidP="00405CEC">
            <w:pPr>
              <w:contextualSpacing/>
              <w:rPr>
                <w:rFonts w:cs="Arial"/>
                <w:b/>
                <w:szCs w:val="22"/>
              </w:rPr>
            </w:pPr>
            <w:r w:rsidRPr="00FE4D3B">
              <w:rPr>
                <w:rFonts w:cs="Arial"/>
                <w:b/>
                <w:szCs w:val="22"/>
              </w:rPr>
              <w:t>Las restantes modificaciones que dicho artículo introduce comenzarán a regir el primer día del decimotercer mes posterior a la publicación de la presente ley.</w:t>
            </w:r>
          </w:p>
          <w:p w:rsidR="0045036E" w:rsidRPr="001C20E4" w:rsidRDefault="0045036E">
            <w:pPr>
              <w:contextualSpacing/>
              <w:rPr>
                <w:rFonts w:cs="Arial"/>
                <w:szCs w:val="22"/>
              </w:rPr>
            </w:pPr>
          </w:p>
        </w:tc>
        <w:tc>
          <w:tcPr>
            <w:tcW w:w="1674" w:type="pct"/>
          </w:tcPr>
          <w:p w:rsidR="00FE4D3B" w:rsidRPr="00FE4D3B" w:rsidRDefault="00FE4D3B" w:rsidP="00FE4D3B">
            <w:pPr>
              <w:jc w:val="center"/>
              <w:rPr>
                <w:rFonts w:cs="Arial"/>
                <w:b/>
                <w:szCs w:val="22"/>
                <w:u w:val="single"/>
                <w:lang w:val="es-ES_tradnl"/>
              </w:rPr>
            </w:pPr>
            <w:r w:rsidRPr="00FE4D3B">
              <w:rPr>
                <w:rFonts w:cs="Arial"/>
                <w:b/>
                <w:szCs w:val="22"/>
                <w:u w:val="single"/>
                <w:lang w:val="es-ES_tradnl"/>
              </w:rPr>
              <w:t>Artículo cuarto transitorio</w:t>
            </w:r>
          </w:p>
          <w:p w:rsidR="00FE4D3B" w:rsidRPr="00FE4D3B" w:rsidRDefault="00FE4D3B" w:rsidP="00FE4D3B">
            <w:pPr>
              <w:rPr>
                <w:rFonts w:cs="Arial"/>
                <w:b/>
                <w:szCs w:val="22"/>
                <w:u w:val="single"/>
                <w:lang w:val="es-ES_tradnl"/>
              </w:rPr>
            </w:pPr>
          </w:p>
          <w:p w:rsidR="00FE4D3B" w:rsidRPr="00FE4D3B" w:rsidRDefault="00FE4D3B" w:rsidP="00FE4D3B">
            <w:pPr>
              <w:rPr>
                <w:rFonts w:cs="Arial"/>
                <w:szCs w:val="22"/>
                <w:lang w:val="es-ES_tradnl"/>
              </w:rPr>
            </w:pPr>
            <w:r w:rsidRPr="00FE4D3B">
              <w:rPr>
                <w:rFonts w:cs="Arial"/>
                <w:szCs w:val="22"/>
                <w:lang w:val="es-ES_tradnl"/>
              </w:rPr>
              <w:t>Ha pasado a ser artículo tercero transitorio, reemplazado por el siguiente:</w:t>
            </w:r>
          </w:p>
          <w:p w:rsidR="00FE4D3B" w:rsidRPr="00FE4D3B" w:rsidRDefault="00FE4D3B" w:rsidP="00FE4D3B">
            <w:pPr>
              <w:rPr>
                <w:rFonts w:cs="Arial"/>
                <w:szCs w:val="22"/>
                <w:lang w:val="es-ES_tradnl"/>
              </w:rPr>
            </w:pPr>
          </w:p>
          <w:p w:rsidR="00FE4D3B" w:rsidRPr="00FE4D3B" w:rsidRDefault="00FE4D3B" w:rsidP="00FE4D3B">
            <w:pPr>
              <w:rPr>
                <w:rFonts w:cs="Arial"/>
                <w:szCs w:val="22"/>
                <w:lang w:val="es-ES_tradnl"/>
              </w:rPr>
            </w:pPr>
            <w:r w:rsidRPr="00FE4D3B">
              <w:rPr>
                <w:rFonts w:cs="Arial"/>
                <w:szCs w:val="22"/>
                <w:lang w:val="es-ES_tradnl"/>
              </w:rPr>
              <w:t>“Artículo tercero.- Las modificaciones que el artículo 4° de esta ley introduce en el decreto ley N° 3.500, de 1980, comenzarán a regir el primer día hábil del tercer mes posterior a la publicación de la presente ley.”.</w:t>
            </w:r>
          </w:p>
          <w:p w:rsidR="0045036E" w:rsidRPr="001C20E4" w:rsidRDefault="0045036E" w:rsidP="00CE7328">
            <w:pPr>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B04CAD" w:rsidRDefault="00B04CAD" w:rsidP="00405CEC">
            <w:pPr>
              <w:contextualSpacing/>
              <w:rPr>
                <w:rFonts w:cs="Arial"/>
                <w:szCs w:val="22"/>
              </w:rPr>
            </w:pPr>
          </w:p>
          <w:p w:rsidR="00B04CAD" w:rsidRDefault="00B04CAD" w:rsidP="00405CEC">
            <w:pPr>
              <w:contextualSpacing/>
              <w:rPr>
                <w:rFonts w:cs="Arial"/>
                <w:szCs w:val="22"/>
              </w:rPr>
            </w:pPr>
          </w:p>
          <w:p w:rsidR="00B04CAD" w:rsidRDefault="00B04CAD" w:rsidP="00405CEC">
            <w:pPr>
              <w:contextualSpacing/>
              <w:rPr>
                <w:rFonts w:cs="Arial"/>
                <w:szCs w:val="22"/>
              </w:rPr>
            </w:pPr>
          </w:p>
          <w:p w:rsidR="00B04CAD" w:rsidRDefault="00B04CAD" w:rsidP="00405CEC">
            <w:pPr>
              <w:contextualSpacing/>
              <w:rPr>
                <w:rFonts w:cs="Arial"/>
                <w:szCs w:val="22"/>
              </w:rPr>
            </w:pPr>
          </w:p>
          <w:p w:rsidR="00B04CAD" w:rsidRDefault="00B04CAD" w:rsidP="00405CEC">
            <w:pPr>
              <w:contextualSpacing/>
              <w:rPr>
                <w:rFonts w:cs="Arial"/>
                <w:szCs w:val="22"/>
              </w:rPr>
            </w:pPr>
          </w:p>
          <w:p w:rsidR="00405CEC" w:rsidRPr="00B04CAD" w:rsidRDefault="00405CEC" w:rsidP="00405CEC">
            <w:pPr>
              <w:contextualSpacing/>
              <w:rPr>
                <w:rFonts w:cs="Arial"/>
                <w:b/>
                <w:szCs w:val="22"/>
              </w:rPr>
            </w:pPr>
            <w:r w:rsidRPr="00B04CAD">
              <w:rPr>
                <w:rFonts w:cs="Arial"/>
                <w:b/>
                <w:szCs w:val="22"/>
              </w:rPr>
              <w:t>Artículo quinto.- Las personas o entidades que, de acuerdo a lo dispuesto en el numeral 4) del artículo 4° de esta ley, queden reguladas por las normas aplicables a las Entidades de Asesoría Previsional y a los Asesores Previsionales establecidas en el decreto ley N° 3.500, del Ministerio del Trabajo y Previsión Social, de 1980, deberán estar inscritas en el Registro señalado en su artículo 172, a más tardar el primer día del decimotercer mes posterior a la publicación de la presente ley.</w:t>
            </w:r>
          </w:p>
          <w:p w:rsidR="0045036E" w:rsidRPr="001C20E4" w:rsidRDefault="0045036E">
            <w:pPr>
              <w:contextualSpacing/>
              <w:rPr>
                <w:rFonts w:cs="Arial"/>
                <w:szCs w:val="22"/>
              </w:rPr>
            </w:pPr>
          </w:p>
        </w:tc>
        <w:tc>
          <w:tcPr>
            <w:tcW w:w="1674" w:type="pct"/>
          </w:tcPr>
          <w:p w:rsidR="00B04CAD" w:rsidRPr="00B04CAD" w:rsidRDefault="00B04CAD" w:rsidP="00B04CAD">
            <w:pPr>
              <w:tabs>
                <w:tab w:val="clear" w:pos="2835"/>
              </w:tabs>
              <w:jc w:val="center"/>
              <w:rPr>
                <w:rFonts w:cs="Arial"/>
                <w:b/>
                <w:szCs w:val="22"/>
                <w:u w:val="single"/>
                <w:lang w:val="es-ES_tradnl"/>
              </w:rPr>
            </w:pPr>
            <w:r w:rsidRPr="00B04CAD">
              <w:rPr>
                <w:rFonts w:cs="Arial"/>
                <w:b/>
                <w:szCs w:val="22"/>
                <w:u w:val="single"/>
                <w:lang w:val="es-ES_tradnl"/>
              </w:rPr>
              <w:t>Artículo quinto transitorio</w:t>
            </w:r>
          </w:p>
          <w:p w:rsidR="00B04CAD" w:rsidRPr="00B04CAD" w:rsidRDefault="00B04CAD" w:rsidP="00B04CAD">
            <w:pPr>
              <w:tabs>
                <w:tab w:val="clear" w:pos="2835"/>
              </w:tabs>
              <w:rPr>
                <w:rFonts w:cs="Arial"/>
                <w:b/>
                <w:szCs w:val="22"/>
                <w:u w:val="single"/>
                <w:lang w:val="es-ES_tradnl"/>
              </w:rPr>
            </w:pPr>
          </w:p>
          <w:p w:rsidR="00B04CAD" w:rsidRPr="00B04CAD" w:rsidRDefault="00B04CAD" w:rsidP="00B04CAD">
            <w:pPr>
              <w:tabs>
                <w:tab w:val="clear" w:pos="2835"/>
              </w:tabs>
              <w:rPr>
                <w:rFonts w:cs="Arial"/>
                <w:szCs w:val="22"/>
                <w:lang w:val="es-ES_tradnl"/>
              </w:rPr>
            </w:pPr>
            <w:r w:rsidRPr="00B04CAD">
              <w:rPr>
                <w:rFonts w:cs="Arial"/>
                <w:szCs w:val="22"/>
                <w:lang w:val="es-ES_tradnl"/>
              </w:rPr>
              <w:t>Ha pasado a ser artículo cuarto transitorio, reemplazado por el siguiente:</w:t>
            </w:r>
          </w:p>
          <w:p w:rsidR="00B04CAD" w:rsidRPr="00B04CAD" w:rsidRDefault="00B04CAD" w:rsidP="00B04CAD">
            <w:pPr>
              <w:tabs>
                <w:tab w:val="clear" w:pos="2835"/>
              </w:tabs>
              <w:rPr>
                <w:rFonts w:cs="Arial"/>
                <w:szCs w:val="22"/>
                <w:lang w:val="es-ES_tradnl"/>
              </w:rPr>
            </w:pPr>
          </w:p>
          <w:p w:rsidR="00B04CAD" w:rsidRPr="00B04CAD" w:rsidRDefault="00B04CAD" w:rsidP="00B04CAD">
            <w:pPr>
              <w:tabs>
                <w:tab w:val="clear" w:pos="2835"/>
              </w:tabs>
              <w:rPr>
                <w:rFonts w:cs="Arial"/>
                <w:szCs w:val="22"/>
                <w:lang w:val="es-ES_tradnl"/>
              </w:rPr>
            </w:pPr>
            <w:r w:rsidRPr="00B04CAD">
              <w:rPr>
                <w:rFonts w:cs="Arial"/>
                <w:szCs w:val="22"/>
                <w:lang w:val="es-ES_tradnl"/>
              </w:rPr>
              <w:t>“Artículo cuarto.- Las personas o entidades que, de acuerdo a lo dispuesto en el numeral 4) del artículo 4° de esta ley, queden reguladas por las normas aplicables a las Entidades de Asesoría Previsional y a los Asesores Previsionales establecidas en el decreto ley N° 3.500, de 1980, deberán estar inscritas en el registro señalado en su artículo 172, a más tardar el primer día hábil del sexto mes posterior a la publicación de la presente ley”.</w:t>
            </w:r>
          </w:p>
          <w:p w:rsidR="0045036E" w:rsidRPr="001C20E4" w:rsidRDefault="0045036E" w:rsidP="001343CB">
            <w:pPr>
              <w:tabs>
                <w:tab w:val="clear" w:pos="2835"/>
              </w:tabs>
              <w:rPr>
                <w:rFonts w:cs="Arial"/>
                <w:szCs w:val="22"/>
              </w:rPr>
            </w:pPr>
          </w:p>
        </w:tc>
      </w:tr>
      <w:tr w:rsidR="00E65B13" w:rsidRPr="001C20E4" w:rsidTr="00096CE0">
        <w:trPr>
          <w:trHeight w:val="315"/>
          <w:jc w:val="center"/>
        </w:trPr>
        <w:tc>
          <w:tcPr>
            <w:tcW w:w="1661" w:type="pct"/>
          </w:tcPr>
          <w:p w:rsidR="00E65B13" w:rsidRPr="001C20E4" w:rsidRDefault="00E65B13"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E65B13" w:rsidRDefault="00E65B13" w:rsidP="00405CEC">
            <w:pPr>
              <w:contextualSpacing/>
              <w:rPr>
                <w:rFonts w:cs="Arial"/>
                <w:szCs w:val="22"/>
              </w:rPr>
            </w:pPr>
          </w:p>
        </w:tc>
        <w:tc>
          <w:tcPr>
            <w:tcW w:w="1674" w:type="pct"/>
          </w:tcPr>
          <w:p w:rsidR="00E65B13" w:rsidRPr="00E65B13" w:rsidRDefault="00E65B13" w:rsidP="00E65B13">
            <w:pPr>
              <w:jc w:val="center"/>
              <w:rPr>
                <w:rFonts w:cs="Arial"/>
                <w:b/>
                <w:szCs w:val="22"/>
                <w:u w:val="single"/>
                <w:lang w:val="es-ES_tradnl"/>
              </w:rPr>
            </w:pPr>
            <w:r w:rsidRPr="00E65B13">
              <w:rPr>
                <w:rFonts w:cs="Arial"/>
                <w:b/>
                <w:szCs w:val="22"/>
                <w:u w:val="single"/>
                <w:lang w:val="es-ES_tradnl"/>
              </w:rPr>
              <w:t>Artículo quinto transitorio, nuevo</w:t>
            </w:r>
          </w:p>
          <w:p w:rsidR="00E65B13" w:rsidRPr="00E65B13" w:rsidRDefault="00E65B13" w:rsidP="00E65B13">
            <w:pPr>
              <w:rPr>
                <w:rFonts w:cs="Arial"/>
                <w:b/>
                <w:szCs w:val="22"/>
                <w:u w:val="single"/>
                <w:lang w:val="es-ES_tradnl"/>
              </w:rPr>
            </w:pPr>
          </w:p>
          <w:p w:rsidR="00E65B13" w:rsidRPr="00E65B13" w:rsidRDefault="00E65B13" w:rsidP="00E65B13">
            <w:pPr>
              <w:rPr>
                <w:rFonts w:cs="Arial"/>
                <w:szCs w:val="22"/>
                <w:lang w:val="es-ES_tradnl"/>
              </w:rPr>
            </w:pPr>
            <w:r w:rsidRPr="00E65B13">
              <w:rPr>
                <w:rFonts w:cs="Arial"/>
                <w:szCs w:val="22"/>
                <w:lang w:val="es-ES_tradnl"/>
              </w:rPr>
              <w:t>Ha incorporado el siguiente artículo quinto transitorio, nuevo:</w:t>
            </w:r>
          </w:p>
          <w:p w:rsidR="00E65B13" w:rsidRPr="00E65B13" w:rsidRDefault="00E65B13" w:rsidP="00E65B13">
            <w:pPr>
              <w:rPr>
                <w:rFonts w:cs="Arial"/>
                <w:szCs w:val="22"/>
                <w:lang w:val="es-ES_tradnl"/>
              </w:rPr>
            </w:pPr>
          </w:p>
          <w:p w:rsidR="00E65B13" w:rsidRPr="00E65B13" w:rsidRDefault="00E65B13" w:rsidP="00E65B13">
            <w:pPr>
              <w:rPr>
                <w:rFonts w:cs="Arial"/>
                <w:szCs w:val="22"/>
                <w:lang w:val="es-ES_tradnl"/>
              </w:rPr>
            </w:pPr>
            <w:r w:rsidRPr="00E65B13">
              <w:rPr>
                <w:rFonts w:cs="Arial"/>
                <w:szCs w:val="22"/>
                <w:lang w:val="es-ES_tradnl"/>
              </w:rPr>
              <w:t>“Artículo quinto.- Las modificaciones contenidas en el artículo 5°, que modifican el artículo 40 del decreto con fuerza de ley N° 251, de 1931, sobre Compañías de Seguro, Sociedades Anónimas y Bolsas de Comercio, sólo serán aplicables para los procesos de licitación de seguros iniciados con posterioridad a la entrada en vigencia de esta ley”.</w:t>
            </w:r>
          </w:p>
          <w:p w:rsidR="00E65B13" w:rsidRPr="001C20E4" w:rsidRDefault="00E65B13" w:rsidP="00E65B13">
            <w:pPr>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E65B13" w:rsidRDefault="00E65B13" w:rsidP="00405CEC">
            <w:pPr>
              <w:contextualSpacing/>
              <w:rPr>
                <w:rFonts w:cs="Arial"/>
                <w:szCs w:val="22"/>
              </w:rPr>
            </w:pPr>
          </w:p>
          <w:p w:rsidR="00E65B13" w:rsidRDefault="00E65B13" w:rsidP="00405CEC">
            <w:pPr>
              <w:contextualSpacing/>
              <w:rPr>
                <w:rFonts w:cs="Arial"/>
                <w:szCs w:val="22"/>
              </w:rPr>
            </w:pPr>
          </w:p>
          <w:p w:rsidR="00405CEC" w:rsidRPr="00405CEC" w:rsidRDefault="00405CEC" w:rsidP="00405CEC">
            <w:pPr>
              <w:contextualSpacing/>
              <w:rPr>
                <w:rFonts w:cs="Arial"/>
                <w:szCs w:val="22"/>
              </w:rPr>
            </w:pPr>
            <w:r w:rsidRPr="00405CEC">
              <w:rPr>
                <w:rFonts w:cs="Arial"/>
                <w:szCs w:val="22"/>
              </w:rPr>
              <w:t>Artículo sexto.- Las modificaciones que el artículo 5° de esta ley introduce en el decreto con fuerza de ley N° 251, del Ministerio de Hacienda, de 1931, comenzarán a regir sesenta días después de dictada la respectiva norma de carácter general por la Comisión para el Mercado Financiero. Dicha norma deberá ser dictada dentro de los doce meses siguientes a la publicación de la presente ley.</w:t>
            </w:r>
          </w:p>
          <w:p w:rsidR="0045036E" w:rsidRPr="001C20E4" w:rsidRDefault="0045036E">
            <w:pPr>
              <w:contextualSpacing/>
              <w:rPr>
                <w:rFonts w:cs="Arial"/>
                <w:szCs w:val="22"/>
              </w:rPr>
            </w:pPr>
          </w:p>
        </w:tc>
        <w:tc>
          <w:tcPr>
            <w:tcW w:w="1674" w:type="pct"/>
          </w:tcPr>
          <w:p w:rsidR="0045036E" w:rsidRPr="001C20E4" w:rsidRDefault="0045036E" w:rsidP="00E65B13">
            <w:pPr>
              <w:rPr>
                <w:rFonts w:cs="Arial"/>
                <w:szCs w:val="22"/>
              </w:rPr>
            </w:pPr>
          </w:p>
        </w:tc>
      </w:tr>
      <w:tr w:rsidR="00096CE0" w:rsidRPr="001C20E4"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405CEC" w:rsidRPr="00405CEC" w:rsidRDefault="00405CEC" w:rsidP="00405CEC">
            <w:pPr>
              <w:contextualSpacing/>
              <w:rPr>
                <w:rFonts w:cs="Arial"/>
                <w:szCs w:val="22"/>
              </w:rPr>
            </w:pPr>
          </w:p>
          <w:p w:rsidR="00405CEC" w:rsidRPr="00405CEC" w:rsidRDefault="00405CEC" w:rsidP="00405CEC">
            <w:pPr>
              <w:contextualSpacing/>
              <w:rPr>
                <w:rFonts w:cs="Arial"/>
                <w:szCs w:val="22"/>
              </w:rPr>
            </w:pPr>
            <w:r w:rsidRPr="00405CEC">
              <w:rPr>
                <w:rFonts w:cs="Arial"/>
                <w:szCs w:val="22"/>
              </w:rPr>
              <w:t>Artículo séptimo.- Los procedimientos sancionatorios, iniciados con anterioridad a la fecha de entrada en vigencia del artículo 4° de esta ley, por la Superintendencia de Valores y Seguros o la Comisión para el Mercado Financiero, según corresponda, ya sea de forma independiente o en conjunto con la Superintendencia de Pensiones, seguirán tramitándose conforme a las normas vigentes a la fecha de iniciación de los mismos.”.</w:t>
            </w:r>
          </w:p>
          <w:p w:rsidR="0045036E" w:rsidRPr="001C20E4" w:rsidRDefault="0045036E">
            <w:pPr>
              <w:contextualSpacing/>
              <w:rPr>
                <w:rFonts w:cs="Arial"/>
                <w:szCs w:val="22"/>
              </w:rPr>
            </w:pPr>
          </w:p>
        </w:tc>
        <w:tc>
          <w:tcPr>
            <w:tcW w:w="1674" w:type="pct"/>
          </w:tcPr>
          <w:p w:rsidR="0045036E" w:rsidRPr="001C20E4" w:rsidRDefault="0045036E" w:rsidP="00CE7328">
            <w:pPr>
              <w:rPr>
                <w:rFonts w:cs="Arial"/>
                <w:szCs w:val="22"/>
              </w:rPr>
            </w:pPr>
          </w:p>
        </w:tc>
      </w:tr>
      <w:tr w:rsidR="00096CE0" w:rsidTr="00096CE0">
        <w:trPr>
          <w:trHeight w:val="315"/>
          <w:jc w:val="center"/>
        </w:trPr>
        <w:tc>
          <w:tcPr>
            <w:tcW w:w="1661" w:type="pct"/>
          </w:tcPr>
          <w:p w:rsidR="0045036E" w:rsidRPr="001C20E4" w:rsidRDefault="0045036E" w:rsidP="00764AF6">
            <w:pPr>
              <w:widowControl w:val="0"/>
              <w:tabs>
                <w:tab w:val="clear" w:pos="2835"/>
              </w:tabs>
              <w:autoSpaceDE w:val="0"/>
              <w:autoSpaceDN w:val="0"/>
              <w:adjustRightInd w:val="0"/>
              <w:rPr>
                <w:rFonts w:eastAsiaTheme="minorEastAsia" w:cs="Arial"/>
                <w:szCs w:val="22"/>
                <w:lang w:val="es-ES_tradnl" w:eastAsia="es-CL"/>
              </w:rPr>
            </w:pPr>
          </w:p>
        </w:tc>
        <w:tc>
          <w:tcPr>
            <w:tcW w:w="1665" w:type="pct"/>
          </w:tcPr>
          <w:p w:rsidR="0045036E" w:rsidRPr="001C20E4" w:rsidRDefault="0045036E">
            <w:pPr>
              <w:contextualSpacing/>
              <w:rPr>
                <w:rFonts w:cs="Arial"/>
                <w:szCs w:val="22"/>
              </w:rPr>
            </w:pPr>
          </w:p>
        </w:tc>
        <w:tc>
          <w:tcPr>
            <w:tcW w:w="1674" w:type="pct"/>
          </w:tcPr>
          <w:p w:rsidR="00A16491" w:rsidRPr="00A16491" w:rsidRDefault="00A16491" w:rsidP="00A16491">
            <w:pPr>
              <w:tabs>
                <w:tab w:val="clear" w:pos="2835"/>
              </w:tabs>
              <w:jc w:val="center"/>
              <w:rPr>
                <w:rFonts w:cs="Arial"/>
                <w:b/>
                <w:szCs w:val="22"/>
                <w:u w:val="single"/>
                <w:lang w:val="es-ES_tradnl"/>
              </w:rPr>
            </w:pPr>
            <w:r w:rsidRPr="00A16491">
              <w:rPr>
                <w:rFonts w:cs="Arial"/>
                <w:b/>
                <w:szCs w:val="22"/>
                <w:u w:val="single"/>
                <w:lang w:val="es-ES_tradnl"/>
              </w:rPr>
              <w:t>Artículo octavo transitorio</w:t>
            </w:r>
          </w:p>
          <w:p w:rsidR="00A16491" w:rsidRPr="00A16491" w:rsidRDefault="00A16491" w:rsidP="00A16491">
            <w:pPr>
              <w:tabs>
                <w:tab w:val="clear" w:pos="2835"/>
              </w:tabs>
              <w:rPr>
                <w:rFonts w:cs="Arial"/>
                <w:b/>
                <w:szCs w:val="22"/>
                <w:u w:val="single"/>
                <w:lang w:val="es-ES_tradnl"/>
              </w:rPr>
            </w:pPr>
          </w:p>
          <w:p w:rsidR="00A16491" w:rsidRPr="00A16491" w:rsidRDefault="00A16491" w:rsidP="00A16491">
            <w:pPr>
              <w:tabs>
                <w:tab w:val="clear" w:pos="2835"/>
              </w:tabs>
              <w:rPr>
                <w:rFonts w:cs="Arial"/>
                <w:szCs w:val="22"/>
                <w:lang w:val="es-ES_tradnl"/>
              </w:rPr>
            </w:pPr>
            <w:r w:rsidRPr="00A16491">
              <w:rPr>
                <w:rFonts w:cs="Arial"/>
                <w:szCs w:val="22"/>
                <w:lang w:val="es-ES_tradnl"/>
              </w:rPr>
              <w:t>Ha incorporado un artículo octavo transitorio, del siguiente tenor:</w:t>
            </w:r>
          </w:p>
          <w:p w:rsidR="00A16491" w:rsidRPr="00A16491" w:rsidRDefault="00A16491" w:rsidP="00A16491">
            <w:pPr>
              <w:tabs>
                <w:tab w:val="clear" w:pos="2835"/>
              </w:tabs>
              <w:rPr>
                <w:rFonts w:cs="Arial"/>
                <w:szCs w:val="22"/>
                <w:lang w:val="es-ES_tradnl"/>
              </w:rPr>
            </w:pPr>
          </w:p>
          <w:p w:rsidR="00A16491" w:rsidRPr="00A16491" w:rsidRDefault="00A16491" w:rsidP="00A16491">
            <w:pPr>
              <w:tabs>
                <w:tab w:val="clear" w:pos="2835"/>
              </w:tabs>
              <w:rPr>
                <w:rFonts w:cs="Arial"/>
                <w:szCs w:val="22"/>
                <w:lang w:val="es-ES_tradnl"/>
              </w:rPr>
            </w:pPr>
            <w:r w:rsidRPr="00A16491">
              <w:rPr>
                <w:rFonts w:cs="Arial"/>
                <w:szCs w:val="22"/>
                <w:lang w:val="es-ES_tradnl"/>
              </w:rPr>
              <w:t xml:space="preserve">“Artículo octavo.- La norma de carácter general que deba emitir la Comisión para el Mercado Financiero, conforme a lo dispuesto en el artículo 19 ter de la ley N° 18.010, que establece normas para las operaciones de crédito y otras obligaciones de dinero que indica, que se incorpora en virtud del artículo 9 de la presente ley, deberá ser dictada dentro de los doce meses siguientes a la publicación de esta ley, sin perjuicio de la fecha que se determine en la misma para su entrada en vigencia. </w:t>
            </w:r>
          </w:p>
          <w:p w:rsidR="00A16491" w:rsidRDefault="00A16491" w:rsidP="00A16491">
            <w:pPr>
              <w:tabs>
                <w:tab w:val="clear" w:pos="2835"/>
              </w:tabs>
              <w:rPr>
                <w:rFonts w:cs="Arial"/>
                <w:szCs w:val="22"/>
                <w:lang w:val="es-ES_tradnl"/>
              </w:rPr>
            </w:pPr>
          </w:p>
          <w:p w:rsidR="00A16491" w:rsidRPr="00A16491" w:rsidRDefault="00A16491" w:rsidP="00A16491">
            <w:pPr>
              <w:tabs>
                <w:tab w:val="clear" w:pos="2835"/>
              </w:tabs>
              <w:rPr>
                <w:rFonts w:cs="Arial"/>
                <w:szCs w:val="22"/>
                <w:lang w:val="es-ES_tradnl"/>
              </w:rPr>
            </w:pPr>
            <w:r w:rsidRPr="00A16491">
              <w:rPr>
                <w:rFonts w:cs="Arial"/>
                <w:szCs w:val="22"/>
                <w:lang w:val="es-ES_tradnl"/>
              </w:rPr>
              <w:t>Las instituciones que deban modificar los contratos relativos a operaciones contempladas en el artículo 6 ter de la ley N° 18.010, que hayan sido suscritos con antelación a la entrada en vigencia de la normativa señalada en este artículo, para adecuarlos a sus disposiciones, deberán, a su costa, enviar por cualquier medio físico o tecnológico a sus clientes un anexo con el detalle de las modificaciones para su aceptación o rechazo, pudiendo en este último caso el oferente dar término al correspondiente contrato, todo ello en los plazos y condiciones que la Comisión para el Mercado Financiero establezca al efecto.”.”.</w:t>
            </w:r>
          </w:p>
          <w:p w:rsidR="00A16491" w:rsidRPr="00A16491" w:rsidRDefault="00A16491" w:rsidP="00A16491">
            <w:pPr>
              <w:tabs>
                <w:tab w:val="clear" w:pos="2835"/>
              </w:tabs>
              <w:rPr>
                <w:rFonts w:cs="Arial"/>
                <w:szCs w:val="22"/>
                <w:lang w:val="es-ES_tradnl"/>
              </w:rPr>
            </w:pPr>
          </w:p>
          <w:p w:rsidR="00A16491" w:rsidRPr="00A16491" w:rsidRDefault="00A16491" w:rsidP="00A16491">
            <w:pPr>
              <w:tabs>
                <w:tab w:val="clear" w:pos="2835"/>
              </w:tabs>
              <w:rPr>
                <w:rFonts w:cs="Arial"/>
                <w:szCs w:val="22"/>
                <w:lang w:val="es-ES_tradnl"/>
              </w:rPr>
            </w:pPr>
          </w:p>
          <w:p w:rsidR="00A16491" w:rsidRPr="00A16491" w:rsidRDefault="00A16491" w:rsidP="00A16491">
            <w:pPr>
              <w:tabs>
                <w:tab w:val="clear" w:pos="2835"/>
              </w:tabs>
              <w:jc w:val="center"/>
              <w:rPr>
                <w:rFonts w:cs="Arial"/>
                <w:szCs w:val="22"/>
                <w:lang w:val="es-ES_tradnl"/>
              </w:rPr>
            </w:pPr>
            <w:bookmarkStart w:id="0" w:name="_Hlk53739030"/>
            <w:r w:rsidRPr="00A16491">
              <w:rPr>
                <w:rFonts w:cs="Arial"/>
                <w:szCs w:val="22"/>
                <w:lang w:val="es-ES_tradnl"/>
              </w:rPr>
              <w:t>*****</w:t>
            </w:r>
          </w:p>
          <w:bookmarkEnd w:id="0"/>
          <w:p w:rsidR="0045036E" w:rsidRPr="001C20E4" w:rsidRDefault="0045036E" w:rsidP="006B0452">
            <w:pPr>
              <w:tabs>
                <w:tab w:val="clear" w:pos="2835"/>
              </w:tabs>
              <w:rPr>
                <w:rFonts w:cs="Arial"/>
                <w:szCs w:val="22"/>
              </w:rPr>
            </w:pPr>
          </w:p>
        </w:tc>
      </w:tr>
    </w:tbl>
    <w:p w:rsidR="000C3BCD" w:rsidRPr="000369E2" w:rsidRDefault="000C3BCD" w:rsidP="00CE7328">
      <w:pPr>
        <w:rPr>
          <w:rFonts w:cs="Arial"/>
          <w:szCs w:val="22"/>
        </w:rPr>
      </w:pPr>
    </w:p>
    <w:p w:rsidR="000369E2" w:rsidRPr="000369E2" w:rsidRDefault="000369E2" w:rsidP="00CE7328">
      <w:pPr>
        <w:rPr>
          <w:rFonts w:cs="Arial"/>
          <w:szCs w:val="22"/>
        </w:rPr>
      </w:pPr>
    </w:p>
    <w:sectPr w:rsidR="000369E2" w:rsidRPr="000369E2" w:rsidSect="005B3DC6">
      <w:headerReference w:type="even" r:id="rId8"/>
      <w:headerReference w:type="default" r:id="rId9"/>
      <w:footerReference w:type="default" r:id="rId10"/>
      <w:pgSz w:w="18722" w:h="12242" w:orient="landscape" w:code="14"/>
      <w:pgMar w:top="1134" w:right="1134" w:bottom="1134"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7C" w:rsidRDefault="00AE2D7C">
      <w:r>
        <w:separator/>
      </w:r>
    </w:p>
  </w:endnote>
  <w:endnote w:type="continuationSeparator" w:id="0">
    <w:p w:rsidR="00AE2D7C" w:rsidRDefault="00AE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1" w:rsidRPr="00845630" w:rsidRDefault="00344A71">
    <w:pPr>
      <w:pStyle w:val="Piedepgina"/>
      <w:rPr>
        <w:b/>
      </w:rPr>
    </w:pPr>
    <w:r w:rsidRPr="00845630">
      <w:rPr>
        <w:b/>
      </w:rPr>
      <w:t>COMISIÓN DE HACIENDA</w:t>
    </w:r>
    <w:r>
      <w:rPr>
        <w:b/>
      </w:rPr>
      <w:t xml:space="preserve"> (MARZO 2019)</w:t>
    </w:r>
  </w:p>
  <w:p w:rsidR="00344A71" w:rsidRDefault="00344A71">
    <w:pPr>
      <w:pStyle w:val="Piedepgina"/>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7C" w:rsidRDefault="00AE2D7C">
      <w:r>
        <w:separator/>
      </w:r>
    </w:p>
  </w:footnote>
  <w:footnote w:type="continuationSeparator" w:id="0">
    <w:p w:rsidR="00AE2D7C" w:rsidRDefault="00AE2D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1" w:rsidRDefault="00344A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44A71" w:rsidRDefault="00344A71">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1" w:rsidRDefault="00344A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01CA">
      <w:rPr>
        <w:rStyle w:val="Nmerodepgina"/>
        <w:noProof/>
      </w:rPr>
      <w:t>149</w:t>
    </w:r>
    <w:r>
      <w:rPr>
        <w:rStyle w:val="Nmerodepgina"/>
      </w:rPr>
      <w:fldChar w:fldCharType="end"/>
    </w:r>
  </w:p>
  <w:p w:rsidR="00344A71" w:rsidRDefault="00344A71">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8CD"/>
    <w:multiLevelType w:val="hybridMultilevel"/>
    <w:tmpl w:val="94E832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227840"/>
    <w:multiLevelType w:val="hybridMultilevel"/>
    <w:tmpl w:val="83D40240"/>
    <w:lvl w:ilvl="0" w:tplc="9D48588E">
      <w:start w:val="1"/>
      <w:numFmt w:val="lowerLetter"/>
      <w:lvlText w:val="%1)"/>
      <w:lvlJc w:val="left"/>
      <w:pPr>
        <w:ind w:left="4264" w:hanging="360"/>
      </w:pPr>
      <w:rPr>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15:restartNumberingAfterBreak="0">
    <w:nsid w:val="23E01003"/>
    <w:multiLevelType w:val="hybridMultilevel"/>
    <w:tmpl w:val="CFF43F88"/>
    <w:lvl w:ilvl="0" w:tplc="340A0017">
      <w:start w:val="1"/>
      <w:numFmt w:val="lowerLetter"/>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26606133"/>
    <w:multiLevelType w:val="hybridMultilevel"/>
    <w:tmpl w:val="A2C840A6"/>
    <w:lvl w:ilvl="0" w:tplc="B0263F2A">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15:restartNumberingAfterBreak="0">
    <w:nsid w:val="3C2923D6"/>
    <w:multiLevelType w:val="hybridMultilevel"/>
    <w:tmpl w:val="7D743770"/>
    <w:lvl w:ilvl="0" w:tplc="25101BB0">
      <w:start w:val="1"/>
      <w:numFmt w:val="lowerLetter"/>
      <w:lvlText w:val="%1)"/>
      <w:lvlJc w:val="left"/>
      <w:pPr>
        <w:ind w:left="785"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5" w15:restartNumberingAfterBreak="0">
    <w:nsid w:val="6ADD5D10"/>
    <w:multiLevelType w:val="hybridMultilevel"/>
    <w:tmpl w:val="BB68173C"/>
    <w:lvl w:ilvl="0" w:tplc="19C2A808">
      <w:start w:val="1"/>
      <w:numFmt w:val="lowerLetter"/>
      <w:lvlText w:val="%1)"/>
      <w:lvlJc w:val="left"/>
      <w:pPr>
        <w:ind w:left="527"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6" w15:restartNumberingAfterBreak="0">
    <w:nsid w:val="74E54BEF"/>
    <w:multiLevelType w:val="hybridMultilevel"/>
    <w:tmpl w:val="C9100F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D1B51D9"/>
    <w:multiLevelType w:val="hybridMultilevel"/>
    <w:tmpl w:val="B9A697F8"/>
    <w:lvl w:ilvl="0" w:tplc="03542660">
      <w:start w:val="1"/>
      <w:numFmt w:val="decimal"/>
      <w:lvlText w:val="%1)"/>
      <w:lvlJc w:val="left"/>
      <w:pPr>
        <w:ind w:left="1275" w:hanging="1275"/>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CD"/>
    <w:rsid w:val="00010088"/>
    <w:rsid w:val="00020549"/>
    <w:rsid w:val="00035875"/>
    <w:rsid w:val="000369CD"/>
    <w:rsid w:val="000369E2"/>
    <w:rsid w:val="00045FFB"/>
    <w:rsid w:val="0004653E"/>
    <w:rsid w:val="000556B3"/>
    <w:rsid w:val="00055D25"/>
    <w:rsid w:val="00060273"/>
    <w:rsid w:val="0006072E"/>
    <w:rsid w:val="00064502"/>
    <w:rsid w:val="00073797"/>
    <w:rsid w:val="0009001D"/>
    <w:rsid w:val="00096CE0"/>
    <w:rsid w:val="000B0EAC"/>
    <w:rsid w:val="000B1EE1"/>
    <w:rsid w:val="000C3BCD"/>
    <w:rsid w:val="000D1DE6"/>
    <w:rsid w:val="000E5BBF"/>
    <w:rsid w:val="00101166"/>
    <w:rsid w:val="00110630"/>
    <w:rsid w:val="001130D2"/>
    <w:rsid w:val="001343CB"/>
    <w:rsid w:val="00135804"/>
    <w:rsid w:val="00147AAB"/>
    <w:rsid w:val="00151E88"/>
    <w:rsid w:val="00152760"/>
    <w:rsid w:val="00153A62"/>
    <w:rsid w:val="00155BBF"/>
    <w:rsid w:val="00157659"/>
    <w:rsid w:val="001623C3"/>
    <w:rsid w:val="00163657"/>
    <w:rsid w:val="00166D15"/>
    <w:rsid w:val="00174D9B"/>
    <w:rsid w:val="00174F6E"/>
    <w:rsid w:val="00176425"/>
    <w:rsid w:val="00176AE1"/>
    <w:rsid w:val="0018189D"/>
    <w:rsid w:val="00185253"/>
    <w:rsid w:val="001909E7"/>
    <w:rsid w:val="001911D8"/>
    <w:rsid w:val="00192142"/>
    <w:rsid w:val="001A1F94"/>
    <w:rsid w:val="001A52DF"/>
    <w:rsid w:val="001B0CDD"/>
    <w:rsid w:val="001B4425"/>
    <w:rsid w:val="001B7198"/>
    <w:rsid w:val="001C20E4"/>
    <w:rsid w:val="001D23D9"/>
    <w:rsid w:val="001D5DAB"/>
    <w:rsid w:val="001F016D"/>
    <w:rsid w:val="001F0C35"/>
    <w:rsid w:val="001F4650"/>
    <w:rsid w:val="001F6240"/>
    <w:rsid w:val="001F7CB9"/>
    <w:rsid w:val="00200A5D"/>
    <w:rsid w:val="002079AC"/>
    <w:rsid w:val="002150E6"/>
    <w:rsid w:val="00226CCF"/>
    <w:rsid w:val="00245952"/>
    <w:rsid w:val="002513FD"/>
    <w:rsid w:val="00272CF9"/>
    <w:rsid w:val="00276D59"/>
    <w:rsid w:val="00291D5A"/>
    <w:rsid w:val="00292A86"/>
    <w:rsid w:val="002951D4"/>
    <w:rsid w:val="002A2249"/>
    <w:rsid w:val="002C3E8E"/>
    <w:rsid w:val="002C56E3"/>
    <w:rsid w:val="002C6C42"/>
    <w:rsid w:val="002D7C15"/>
    <w:rsid w:val="002E1269"/>
    <w:rsid w:val="002E4D8C"/>
    <w:rsid w:val="002E5E05"/>
    <w:rsid w:val="003023E6"/>
    <w:rsid w:val="003100E3"/>
    <w:rsid w:val="00320C4B"/>
    <w:rsid w:val="00321D33"/>
    <w:rsid w:val="003240B4"/>
    <w:rsid w:val="00336FB7"/>
    <w:rsid w:val="00343F3E"/>
    <w:rsid w:val="00344A71"/>
    <w:rsid w:val="003538BD"/>
    <w:rsid w:val="00362B2A"/>
    <w:rsid w:val="003711B8"/>
    <w:rsid w:val="00372902"/>
    <w:rsid w:val="00380CAD"/>
    <w:rsid w:val="00384719"/>
    <w:rsid w:val="00391847"/>
    <w:rsid w:val="003922A6"/>
    <w:rsid w:val="00395117"/>
    <w:rsid w:val="003A3346"/>
    <w:rsid w:val="003B0D6D"/>
    <w:rsid w:val="003B5069"/>
    <w:rsid w:val="003C61A1"/>
    <w:rsid w:val="003D0245"/>
    <w:rsid w:val="003E03C8"/>
    <w:rsid w:val="003E69A7"/>
    <w:rsid w:val="003E6E8A"/>
    <w:rsid w:val="003F2291"/>
    <w:rsid w:val="003F28A8"/>
    <w:rsid w:val="003F3F66"/>
    <w:rsid w:val="003F7892"/>
    <w:rsid w:val="004001CA"/>
    <w:rsid w:val="00402856"/>
    <w:rsid w:val="00403080"/>
    <w:rsid w:val="00404462"/>
    <w:rsid w:val="00405C63"/>
    <w:rsid w:val="00405CEC"/>
    <w:rsid w:val="00420A1D"/>
    <w:rsid w:val="00433433"/>
    <w:rsid w:val="00433CE5"/>
    <w:rsid w:val="0044001C"/>
    <w:rsid w:val="0045036E"/>
    <w:rsid w:val="00452101"/>
    <w:rsid w:val="00453903"/>
    <w:rsid w:val="00455AA4"/>
    <w:rsid w:val="00457A44"/>
    <w:rsid w:val="00464A47"/>
    <w:rsid w:val="00486882"/>
    <w:rsid w:val="004959B1"/>
    <w:rsid w:val="004B0AED"/>
    <w:rsid w:val="004B1A5B"/>
    <w:rsid w:val="004C0983"/>
    <w:rsid w:val="004C2A0F"/>
    <w:rsid w:val="004C3D9F"/>
    <w:rsid w:val="004C6D0C"/>
    <w:rsid w:val="004D0446"/>
    <w:rsid w:val="004D077A"/>
    <w:rsid w:val="004E001B"/>
    <w:rsid w:val="004E5FF4"/>
    <w:rsid w:val="004E7A3D"/>
    <w:rsid w:val="004F744F"/>
    <w:rsid w:val="00505286"/>
    <w:rsid w:val="00540E4E"/>
    <w:rsid w:val="0054229A"/>
    <w:rsid w:val="00543BC8"/>
    <w:rsid w:val="005605FC"/>
    <w:rsid w:val="005715AE"/>
    <w:rsid w:val="00574E8A"/>
    <w:rsid w:val="00590619"/>
    <w:rsid w:val="00594B10"/>
    <w:rsid w:val="00595A51"/>
    <w:rsid w:val="00596D12"/>
    <w:rsid w:val="005A0D58"/>
    <w:rsid w:val="005A4BD3"/>
    <w:rsid w:val="005B3DC6"/>
    <w:rsid w:val="005C21A2"/>
    <w:rsid w:val="005D6CC1"/>
    <w:rsid w:val="005D763F"/>
    <w:rsid w:val="005E1A7D"/>
    <w:rsid w:val="005E3F1F"/>
    <w:rsid w:val="005F5005"/>
    <w:rsid w:val="005F61EE"/>
    <w:rsid w:val="00604CC9"/>
    <w:rsid w:val="006106CF"/>
    <w:rsid w:val="00614B21"/>
    <w:rsid w:val="00622693"/>
    <w:rsid w:val="00626BEC"/>
    <w:rsid w:val="006465B3"/>
    <w:rsid w:val="00652B96"/>
    <w:rsid w:val="0065306A"/>
    <w:rsid w:val="00657B7A"/>
    <w:rsid w:val="00657E93"/>
    <w:rsid w:val="00674570"/>
    <w:rsid w:val="006746F7"/>
    <w:rsid w:val="00681866"/>
    <w:rsid w:val="006900A6"/>
    <w:rsid w:val="00694E86"/>
    <w:rsid w:val="00695B39"/>
    <w:rsid w:val="006A5798"/>
    <w:rsid w:val="006B0452"/>
    <w:rsid w:val="006C6507"/>
    <w:rsid w:val="006D35E0"/>
    <w:rsid w:val="006D7C47"/>
    <w:rsid w:val="006E4529"/>
    <w:rsid w:val="006F155E"/>
    <w:rsid w:val="006F2A33"/>
    <w:rsid w:val="007029D4"/>
    <w:rsid w:val="0070564D"/>
    <w:rsid w:val="00707065"/>
    <w:rsid w:val="007128F4"/>
    <w:rsid w:val="00725E5B"/>
    <w:rsid w:val="00726383"/>
    <w:rsid w:val="00741101"/>
    <w:rsid w:val="00745281"/>
    <w:rsid w:val="00746BB7"/>
    <w:rsid w:val="00755D9A"/>
    <w:rsid w:val="00756EA6"/>
    <w:rsid w:val="007624DE"/>
    <w:rsid w:val="00764A46"/>
    <w:rsid w:val="00764AF6"/>
    <w:rsid w:val="00771DA8"/>
    <w:rsid w:val="0077262A"/>
    <w:rsid w:val="00780610"/>
    <w:rsid w:val="00782E2A"/>
    <w:rsid w:val="007851BA"/>
    <w:rsid w:val="00785821"/>
    <w:rsid w:val="00793315"/>
    <w:rsid w:val="007966FB"/>
    <w:rsid w:val="007A2CD7"/>
    <w:rsid w:val="007A79A5"/>
    <w:rsid w:val="007B1170"/>
    <w:rsid w:val="007B569D"/>
    <w:rsid w:val="007D1147"/>
    <w:rsid w:val="007D3FBC"/>
    <w:rsid w:val="007D573A"/>
    <w:rsid w:val="007E5825"/>
    <w:rsid w:val="007F731B"/>
    <w:rsid w:val="00801923"/>
    <w:rsid w:val="00802805"/>
    <w:rsid w:val="00803D1F"/>
    <w:rsid w:val="00812D11"/>
    <w:rsid w:val="00820FF4"/>
    <w:rsid w:val="00823633"/>
    <w:rsid w:val="00830B61"/>
    <w:rsid w:val="00833A18"/>
    <w:rsid w:val="00835505"/>
    <w:rsid w:val="0084249F"/>
    <w:rsid w:val="00844A4F"/>
    <w:rsid w:val="00845034"/>
    <w:rsid w:val="00845630"/>
    <w:rsid w:val="00871BDD"/>
    <w:rsid w:val="00872AEB"/>
    <w:rsid w:val="008836D2"/>
    <w:rsid w:val="00885B45"/>
    <w:rsid w:val="008866F9"/>
    <w:rsid w:val="0089206E"/>
    <w:rsid w:val="00894CF2"/>
    <w:rsid w:val="00896B71"/>
    <w:rsid w:val="008971BD"/>
    <w:rsid w:val="008A2478"/>
    <w:rsid w:val="008B3E45"/>
    <w:rsid w:val="008B5719"/>
    <w:rsid w:val="008B7950"/>
    <w:rsid w:val="008C04A5"/>
    <w:rsid w:val="008C1871"/>
    <w:rsid w:val="008D1340"/>
    <w:rsid w:val="008E203D"/>
    <w:rsid w:val="008F1000"/>
    <w:rsid w:val="008F3D04"/>
    <w:rsid w:val="009101E2"/>
    <w:rsid w:val="00924ECA"/>
    <w:rsid w:val="009277FF"/>
    <w:rsid w:val="00933F01"/>
    <w:rsid w:val="0095078E"/>
    <w:rsid w:val="009526AF"/>
    <w:rsid w:val="00953D4D"/>
    <w:rsid w:val="00956843"/>
    <w:rsid w:val="009660B6"/>
    <w:rsid w:val="00973A96"/>
    <w:rsid w:val="009752F5"/>
    <w:rsid w:val="00982CAB"/>
    <w:rsid w:val="00986CA8"/>
    <w:rsid w:val="009A045F"/>
    <w:rsid w:val="009A7AE4"/>
    <w:rsid w:val="009B54C0"/>
    <w:rsid w:val="009C7EF1"/>
    <w:rsid w:val="009D7094"/>
    <w:rsid w:val="009E0A43"/>
    <w:rsid w:val="009E34CA"/>
    <w:rsid w:val="009E4528"/>
    <w:rsid w:val="009F0CED"/>
    <w:rsid w:val="009F7DA6"/>
    <w:rsid w:val="00A01782"/>
    <w:rsid w:val="00A06682"/>
    <w:rsid w:val="00A16491"/>
    <w:rsid w:val="00A17885"/>
    <w:rsid w:val="00A237E9"/>
    <w:rsid w:val="00A47ACA"/>
    <w:rsid w:val="00A47FE4"/>
    <w:rsid w:val="00A5227F"/>
    <w:rsid w:val="00A607D2"/>
    <w:rsid w:val="00A74EA3"/>
    <w:rsid w:val="00A750CE"/>
    <w:rsid w:val="00A750FB"/>
    <w:rsid w:val="00A766FD"/>
    <w:rsid w:val="00A77066"/>
    <w:rsid w:val="00AB2054"/>
    <w:rsid w:val="00AC1A72"/>
    <w:rsid w:val="00AC2E48"/>
    <w:rsid w:val="00AD0646"/>
    <w:rsid w:val="00AE05AD"/>
    <w:rsid w:val="00AE2D7C"/>
    <w:rsid w:val="00AE398C"/>
    <w:rsid w:val="00AF5DF2"/>
    <w:rsid w:val="00B0260F"/>
    <w:rsid w:val="00B04CAD"/>
    <w:rsid w:val="00B05127"/>
    <w:rsid w:val="00B3092B"/>
    <w:rsid w:val="00B32612"/>
    <w:rsid w:val="00B426F9"/>
    <w:rsid w:val="00B4337D"/>
    <w:rsid w:val="00B447A5"/>
    <w:rsid w:val="00B549F3"/>
    <w:rsid w:val="00B5715B"/>
    <w:rsid w:val="00B67A1D"/>
    <w:rsid w:val="00B74912"/>
    <w:rsid w:val="00B77D8D"/>
    <w:rsid w:val="00B83F3F"/>
    <w:rsid w:val="00B90031"/>
    <w:rsid w:val="00BA1555"/>
    <w:rsid w:val="00BB0285"/>
    <w:rsid w:val="00BB27A3"/>
    <w:rsid w:val="00BB3C13"/>
    <w:rsid w:val="00BB45A2"/>
    <w:rsid w:val="00BD0E6D"/>
    <w:rsid w:val="00BD2058"/>
    <w:rsid w:val="00BE69D6"/>
    <w:rsid w:val="00BF18BE"/>
    <w:rsid w:val="00BF43C7"/>
    <w:rsid w:val="00C038FE"/>
    <w:rsid w:val="00C040D0"/>
    <w:rsid w:val="00C178AC"/>
    <w:rsid w:val="00C24CAD"/>
    <w:rsid w:val="00C47FDC"/>
    <w:rsid w:val="00C61837"/>
    <w:rsid w:val="00C647F8"/>
    <w:rsid w:val="00C64DD3"/>
    <w:rsid w:val="00C75BB0"/>
    <w:rsid w:val="00C83BF6"/>
    <w:rsid w:val="00C90503"/>
    <w:rsid w:val="00C90DB2"/>
    <w:rsid w:val="00C93341"/>
    <w:rsid w:val="00CA4F46"/>
    <w:rsid w:val="00CB0E52"/>
    <w:rsid w:val="00CC6B76"/>
    <w:rsid w:val="00CC6EE9"/>
    <w:rsid w:val="00CE43F6"/>
    <w:rsid w:val="00CE4494"/>
    <w:rsid w:val="00CE5839"/>
    <w:rsid w:val="00CE7069"/>
    <w:rsid w:val="00CE7328"/>
    <w:rsid w:val="00CF1184"/>
    <w:rsid w:val="00CF1B91"/>
    <w:rsid w:val="00CF2316"/>
    <w:rsid w:val="00D02FC1"/>
    <w:rsid w:val="00D03FE1"/>
    <w:rsid w:val="00D13B9A"/>
    <w:rsid w:val="00D14073"/>
    <w:rsid w:val="00D16F63"/>
    <w:rsid w:val="00D209CD"/>
    <w:rsid w:val="00D223D1"/>
    <w:rsid w:val="00D248D2"/>
    <w:rsid w:val="00D30AF0"/>
    <w:rsid w:val="00D313FD"/>
    <w:rsid w:val="00D323BC"/>
    <w:rsid w:val="00D326D3"/>
    <w:rsid w:val="00D34E3D"/>
    <w:rsid w:val="00D373D9"/>
    <w:rsid w:val="00D46145"/>
    <w:rsid w:val="00D51C52"/>
    <w:rsid w:val="00D610F5"/>
    <w:rsid w:val="00D70AD8"/>
    <w:rsid w:val="00D810CB"/>
    <w:rsid w:val="00D93788"/>
    <w:rsid w:val="00D957D9"/>
    <w:rsid w:val="00DA48AC"/>
    <w:rsid w:val="00DB2D60"/>
    <w:rsid w:val="00DC30F1"/>
    <w:rsid w:val="00DE04FA"/>
    <w:rsid w:val="00DE3974"/>
    <w:rsid w:val="00DE6FE8"/>
    <w:rsid w:val="00E016C8"/>
    <w:rsid w:val="00E07065"/>
    <w:rsid w:val="00E14DFE"/>
    <w:rsid w:val="00E16C64"/>
    <w:rsid w:val="00E17B83"/>
    <w:rsid w:val="00E224DE"/>
    <w:rsid w:val="00E247BF"/>
    <w:rsid w:val="00E24E5F"/>
    <w:rsid w:val="00E26C1A"/>
    <w:rsid w:val="00E30F33"/>
    <w:rsid w:val="00E40F6F"/>
    <w:rsid w:val="00E41441"/>
    <w:rsid w:val="00E50850"/>
    <w:rsid w:val="00E543D9"/>
    <w:rsid w:val="00E65B13"/>
    <w:rsid w:val="00E66BE8"/>
    <w:rsid w:val="00E67B53"/>
    <w:rsid w:val="00E74EE9"/>
    <w:rsid w:val="00E74F7F"/>
    <w:rsid w:val="00E76911"/>
    <w:rsid w:val="00EB2526"/>
    <w:rsid w:val="00EB26F0"/>
    <w:rsid w:val="00EC2F2B"/>
    <w:rsid w:val="00ED20D0"/>
    <w:rsid w:val="00EE3000"/>
    <w:rsid w:val="00EE42B6"/>
    <w:rsid w:val="00EF62DA"/>
    <w:rsid w:val="00EF63C2"/>
    <w:rsid w:val="00F10925"/>
    <w:rsid w:val="00F16F81"/>
    <w:rsid w:val="00F20B3C"/>
    <w:rsid w:val="00F2122A"/>
    <w:rsid w:val="00F308E9"/>
    <w:rsid w:val="00F312C6"/>
    <w:rsid w:val="00F443C0"/>
    <w:rsid w:val="00F47D2B"/>
    <w:rsid w:val="00F670B8"/>
    <w:rsid w:val="00F67655"/>
    <w:rsid w:val="00F80DA8"/>
    <w:rsid w:val="00F84832"/>
    <w:rsid w:val="00F87FF1"/>
    <w:rsid w:val="00F9079A"/>
    <w:rsid w:val="00FA148F"/>
    <w:rsid w:val="00FA1E35"/>
    <w:rsid w:val="00FB5143"/>
    <w:rsid w:val="00FD0B08"/>
    <w:rsid w:val="00FD1E53"/>
    <w:rsid w:val="00FD2040"/>
    <w:rsid w:val="00FD3A47"/>
    <w:rsid w:val="00FD5B77"/>
    <w:rsid w:val="00FD6B12"/>
    <w:rsid w:val="00FD7ACD"/>
    <w:rsid w:val="00FE44A2"/>
    <w:rsid w:val="00FE4D3B"/>
    <w:rsid w:val="00FF0653"/>
    <w:rsid w:val="00FF3A34"/>
    <w:rsid w:val="00FF74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0C614"/>
  <w15:docId w15:val="{A3E07A56-DC0C-4641-B612-523D30A8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35"/>
      </w:tabs>
      <w:jc w:val="both"/>
    </w:pPr>
    <w:rPr>
      <w:rFonts w:ascii="Arial"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Arial" w:hAnsi="Arial"/>
      <w:sz w:val="22"/>
    </w:rPr>
  </w:style>
  <w:style w:type="paragraph" w:styleId="Encabezado">
    <w:name w:val="header"/>
    <w:basedOn w:val="Normal"/>
    <w:pPr>
      <w:tabs>
        <w:tab w:val="clear" w:pos="2835"/>
        <w:tab w:val="center" w:pos="4252"/>
        <w:tab w:val="right" w:pos="8504"/>
      </w:tabs>
    </w:pPr>
  </w:style>
  <w:style w:type="paragraph" w:styleId="Ttulo">
    <w:name w:val="Title"/>
    <w:basedOn w:val="Normal"/>
    <w:qFormat/>
    <w:pPr>
      <w:pBdr>
        <w:top w:val="single" w:sz="4" w:space="1" w:color="auto"/>
        <w:left w:val="single" w:sz="4" w:space="4" w:color="auto"/>
        <w:bottom w:val="single" w:sz="4" w:space="1" w:color="auto"/>
        <w:right w:val="single" w:sz="4" w:space="4" w:color="auto"/>
      </w:pBdr>
      <w:shd w:val="pct5" w:color="auto" w:fill="FFFFFF"/>
      <w:jc w:val="center"/>
    </w:pPr>
    <w:rPr>
      <w:b/>
    </w:rPr>
  </w:style>
  <w:style w:type="paragraph" w:styleId="Piedepgina">
    <w:name w:val="footer"/>
    <w:basedOn w:val="Normal"/>
    <w:link w:val="PiedepginaCar"/>
    <w:uiPriority w:val="99"/>
    <w:pPr>
      <w:tabs>
        <w:tab w:val="clear" w:pos="2835"/>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Sangradetextonormal">
    <w:name w:val="Body Text Indent"/>
    <w:aliases w:val="Sangría de texto normal Car, Car2 Car"/>
    <w:basedOn w:val="Normal"/>
    <w:link w:val="SangradetextonormalCar1"/>
    <w:pPr>
      <w:tabs>
        <w:tab w:val="clear" w:pos="2835"/>
        <w:tab w:val="left" w:pos="3544"/>
      </w:tabs>
      <w:spacing w:before="120" w:after="120"/>
    </w:pPr>
    <w:rPr>
      <w:rFonts w:ascii="Courier" w:hAnsi="Courier"/>
      <w:spacing w:val="-3"/>
      <w:sz w:val="24"/>
      <w:lang w:val="es-ES_tradnl"/>
    </w:rPr>
  </w:style>
  <w:style w:type="character" w:customStyle="1" w:styleId="SangradetextonormalCar1">
    <w:name w:val="Sangría de texto normal Car1"/>
    <w:aliases w:val="Sangría de texto normal Car Car, Car2 Car Car"/>
    <w:link w:val="Sangradetextonormal"/>
    <w:rPr>
      <w:rFonts w:ascii="Courier" w:hAnsi="Courier"/>
      <w:spacing w:val="-3"/>
      <w:sz w:val="24"/>
      <w:lang w:val="es-ES_tradnl" w:eastAsia="es-ES" w:bidi="ar-SA"/>
    </w:rPr>
  </w:style>
  <w:style w:type="paragraph" w:customStyle="1" w:styleId="Estilo1">
    <w:name w:val="Estilo1"/>
    <w:basedOn w:val="Normal"/>
    <w:rPr>
      <w:sz w:val="24"/>
    </w:rPr>
  </w:style>
  <w:style w:type="paragraph" w:styleId="Textosinformato">
    <w:name w:val="Plain Text"/>
    <w:basedOn w:val="Normal"/>
    <w:pPr>
      <w:tabs>
        <w:tab w:val="clear" w:pos="2835"/>
      </w:tabs>
      <w:jc w:val="left"/>
    </w:pPr>
    <w:rPr>
      <w:rFonts w:ascii="Courier New" w:hAnsi="Courier New" w:cs="Courier New"/>
      <w:sz w:val="20"/>
    </w:rPr>
  </w:style>
  <w:style w:type="paragraph" w:styleId="HTMLconformatoprevio">
    <w:name w:val="HTML Preformatted"/>
    <w:basedOn w:val="Normal"/>
    <w:link w:val="HTMLconformatoprevioCar"/>
    <w:uiPriority w:val="99"/>
    <w:rPr>
      <w:rFonts w:ascii="Courier New" w:hAnsi="Courier New" w:cs="Courier New"/>
      <w:sz w:val="20"/>
    </w:rPr>
  </w:style>
  <w:style w:type="character" w:customStyle="1" w:styleId="HTMLconformatoprevioCar">
    <w:name w:val="HTML con formato previo Car"/>
    <w:link w:val="HTMLconformatoprevio"/>
    <w:uiPriority w:val="99"/>
    <w:rPr>
      <w:rFonts w:ascii="Courier New" w:hAnsi="Courier New" w:cs="Courier New"/>
      <w:lang w:val="es-ES" w:eastAsia="es-ES"/>
    </w:rPr>
  </w:style>
  <w:style w:type="paragraph" w:styleId="Textoindependiente">
    <w:name w:val="Body Text"/>
    <w:basedOn w:val="Normal"/>
    <w:link w:val="TextoindependienteCar"/>
    <w:pPr>
      <w:spacing w:after="120"/>
    </w:pPr>
  </w:style>
  <w:style w:type="character" w:customStyle="1" w:styleId="TextoindependienteCar">
    <w:name w:val="Texto independiente Car"/>
    <w:link w:val="Textoindependiente"/>
    <w:rPr>
      <w:rFonts w:ascii="Arial" w:hAnsi="Arial"/>
      <w:sz w:val="22"/>
      <w:lang w:val="es-ES" w:eastAsia="es-ES"/>
    </w:rPr>
  </w:style>
  <w:style w:type="paragraph" w:styleId="Prrafodelista">
    <w:name w:val="List Paragraph"/>
    <w:basedOn w:val="Normal"/>
    <w:uiPriority w:val="34"/>
    <w:qFormat/>
    <w:pPr>
      <w:tabs>
        <w:tab w:val="clear" w:pos="2835"/>
      </w:tabs>
      <w:spacing w:before="120" w:after="120"/>
      <w:ind w:left="708"/>
    </w:pPr>
    <w:rPr>
      <w:rFonts w:ascii="Courier" w:hAnsi="Courier"/>
      <w:sz w:val="24"/>
      <w:lang w:val="es-ES_tradnl"/>
    </w:rPr>
  </w:style>
  <w:style w:type="character" w:styleId="Refdecomentario">
    <w:name w:val="annotation reference"/>
    <w:basedOn w:val="Fuentedeprrafopredeter"/>
    <w:semiHidden/>
    <w:unhideWhenUsed/>
    <w:rPr>
      <w:sz w:val="16"/>
      <w:szCs w:val="16"/>
    </w:rPr>
  </w:style>
  <w:style w:type="paragraph" w:styleId="Textocomentario">
    <w:name w:val="annotation text"/>
    <w:basedOn w:val="Normal"/>
    <w:link w:val="TextocomentarioCar"/>
    <w:semiHidden/>
    <w:unhideWhenUsed/>
    <w:rPr>
      <w:sz w:val="20"/>
    </w:rPr>
  </w:style>
  <w:style w:type="character" w:customStyle="1" w:styleId="TextocomentarioCar">
    <w:name w:val="Texto comentario Car"/>
    <w:basedOn w:val="Fuentedeprrafopredeter"/>
    <w:link w:val="Textocomentario"/>
    <w:semiHidden/>
    <w:rPr>
      <w:rFonts w:ascii="Arial" w:hAnsi="Arial"/>
      <w:lang w:val="es-ES" w:eastAsia="es-ES"/>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rFonts w:ascii="Arial" w:hAnsi="Arial"/>
      <w:b/>
      <w:bCs/>
      <w:lang w:val="es-ES" w:eastAsia="es-ES"/>
    </w:rPr>
  </w:style>
  <w:style w:type="paragraph" w:styleId="Textonotapie">
    <w:name w:val="footnote text"/>
    <w:basedOn w:val="Normal"/>
    <w:link w:val="TextonotapieCar"/>
    <w:semiHidden/>
    <w:unhideWhenUsed/>
    <w:rPr>
      <w:sz w:val="20"/>
    </w:rPr>
  </w:style>
  <w:style w:type="character" w:customStyle="1" w:styleId="TextonotapieCar">
    <w:name w:val="Texto nota pie Car"/>
    <w:basedOn w:val="Fuentedeprrafopredeter"/>
    <w:link w:val="Textonotapie"/>
    <w:semiHidden/>
    <w:rPr>
      <w:rFonts w:ascii="Arial" w:hAnsi="Arial"/>
      <w:lang w:val="es-ES" w:eastAsia="es-ES"/>
    </w:rPr>
  </w:style>
  <w:style w:type="character" w:styleId="Refdenotaalpie">
    <w:name w:val="footnote reference"/>
    <w:basedOn w:val="Fuentedeprrafopredeter"/>
    <w:semiHidden/>
    <w:unhideWhenUsed/>
    <w:rPr>
      <w:vertAlign w:val="superscript"/>
    </w:rPr>
  </w:style>
  <w:style w:type="paragraph" w:customStyle="1" w:styleId="Fondogris">
    <w:name w:val="Fondogris"/>
    <w:basedOn w:val="Normal"/>
    <w:pPr>
      <w:widowControl w:val="0"/>
      <w:shd w:val="clear" w:color="auto" w:fill="DFDFDF"/>
      <w:tabs>
        <w:tab w:val="clear" w:pos="2835"/>
      </w:tabs>
      <w:autoSpaceDE w:val="0"/>
      <w:autoSpaceDN w:val="0"/>
      <w:adjustRightInd w:val="0"/>
    </w:pPr>
    <w:rPr>
      <w:rFonts w:ascii="Courier New" w:eastAsiaTheme="minorEastAsia" w:hAnsi="Courier New" w:cs="Courier New"/>
      <w:sz w:val="20"/>
      <w:lang w:val="es-ES_tradnl" w:eastAsia="es-CL"/>
    </w:rPr>
  </w:style>
  <w:style w:type="character" w:customStyle="1" w:styleId="PiedepginaCar">
    <w:name w:val="Pie de página Car"/>
    <w:basedOn w:val="Fuentedeprrafopredeter"/>
    <w:link w:val="Piedepgina"/>
    <w:uiPriority w:val="99"/>
    <w:rsid w:val="00845630"/>
    <w:rPr>
      <w:rFonts w:ascii="Arial" w:hAnsi="Arial"/>
      <w:sz w:val="22"/>
      <w:lang w:val="es-ES" w:eastAsia="es-ES"/>
    </w:rPr>
  </w:style>
  <w:style w:type="character" w:styleId="Hipervnculo">
    <w:name w:val="Hyperlink"/>
    <w:basedOn w:val="Fuentedeprrafopredeter"/>
    <w:unhideWhenUsed/>
    <w:rsid w:val="00191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9829">
      <w:bodyDiv w:val="1"/>
      <w:marLeft w:val="0"/>
      <w:marRight w:val="0"/>
      <w:marTop w:val="0"/>
      <w:marBottom w:val="0"/>
      <w:divBdr>
        <w:top w:val="none" w:sz="0" w:space="0" w:color="auto"/>
        <w:left w:val="none" w:sz="0" w:space="0" w:color="auto"/>
        <w:bottom w:val="none" w:sz="0" w:space="0" w:color="auto"/>
        <w:right w:val="none" w:sz="0" w:space="0" w:color="auto"/>
      </w:divBdr>
    </w:div>
    <w:div w:id="77138710">
      <w:bodyDiv w:val="1"/>
      <w:marLeft w:val="0"/>
      <w:marRight w:val="0"/>
      <w:marTop w:val="0"/>
      <w:marBottom w:val="0"/>
      <w:divBdr>
        <w:top w:val="none" w:sz="0" w:space="0" w:color="auto"/>
        <w:left w:val="none" w:sz="0" w:space="0" w:color="auto"/>
        <w:bottom w:val="none" w:sz="0" w:space="0" w:color="auto"/>
        <w:right w:val="none" w:sz="0" w:space="0" w:color="auto"/>
      </w:divBdr>
    </w:div>
    <w:div w:id="115221392">
      <w:bodyDiv w:val="1"/>
      <w:marLeft w:val="0"/>
      <w:marRight w:val="0"/>
      <w:marTop w:val="0"/>
      <w:marBottom w:val="0"/>
      <w:divBdr>
        <w:top w:val="none" w:sz="0" w:space="0" w:color="auto"/>
        <w:left w:val="none" w:sz="0" w:space="0" w:color="auto"/>
        <w:bottom w:val="none" w:sz="0" w:space="0" w:color="auto"/>
        <w:right w:val="none" w:sz="0" w:space="0" w:color="auto"/>
      </w:divBdr>
    </w:div>
    <w:div w:id="119617628">
      <w:bodyDiv w:val="1"/>
      <w:marLeft w:val="0"/>
      <w:marRight w:val="0"/>
      <w:marTop w:val="0"/>
      <w:marBottom w:val="0"/>
      <w:divBdr>
        <w:top w:val="none" w:sz="0" w:space="0" w:color="auto"/>
        <w:left w:val="none" w:sz="0" w:space="0" w:color="auto"/>
        <w:bottom w:val="none" w:sz="0" w:space="0" w:color="auto"/>
        <w:right w:val="none" w:sz="0" w:space="0" w:color="auto"/>
      </w:divBdr>
    </w:div>
    <w:div w:id="127751155">
      <w:bodyDiv w:val="1"/>
      <w:marLeft w:val="0"/>
      <w:marRight w:val="0"/>
      <w:marTop w:val="0"/>
      <w:marBottom w:val="0"/>
      <w:divBdr>
        <w:top w:val="none" w:sz="0" w:space="0" w:color="auto"/>
        <w:left w:val="none" w:sz="0" w:space="0" w:color="auto"/>
        <w:bottom w:val="none" w:sz="0" w:space="0" w:color="auto"/>
        <w:right w:val="none" w:sz="0" w:space="0" w:color="auto"/>
      </w:divBdr>
    </w:div>
    <w:div w:id="129904269">
      <w:bodyDiv w:val="1"/>
      <w:marLeft w:val="0"/>
      <w:marRight w:val="0"/>
      <w:marTop w:val="0"/>
      <w:marBottom w:val="0"/>
      <w:divBdr>
        <w:top w:val="none" w:sz="0" w:space="0" w:color="auto"/>
        <w:left w:val="none" w:sz="0" w:space="0" w:color="auto"/>
        <w:bottom w:val="none" w:sz="0" w:space="0" w:color="auto"/>
        <w:right w:val="none" w:sz="0" w:space="0" w:color="auto"/>
      </w:divBdr>
    </w:div>
    <w:div w:id="139735774">
      <w:bodyDiv w:val="1"/>
      <w:marLeft w:val="0"/>
      <w:marRight w:val="0"/>
      <w:marTop w:val="0"/>
      <w:marBottom w:val="0"/>
      <w:divBdr>
        <w:top w:val="none" w:sz="0" w:space="0" w:color="auto"/>
        <w:left w:val="none" w:sz="0" w:space="0" w:color="auto"/>
        <w:bottom w:val="none" w:sz="0" w:space="0" w:color="auto"/>
        <w:right w:val="none" w:sz="0" w:space="0" w:color="auto"/>
      </w:divBdr>
    </w:div>
    <w:div w:id="157118583">
      <w:bodyDiv w:val="1"/>
      <w:marLeft w:val="0"/>
      <w:marRight w:val="0"/>
      <w:marTop w:val="0"/>
      <w:marBottom w:val="0"/>
      <w:divBdr>
        <w:top w:val="none" w:sz="0" w:space="0" w:color="auto"/>
        <w:left w:val="none" w:sz="0" w:space="0" w:color="auto"/>
        <w:bottom w:val="none" w:sz="0" w:space="0" w:color="auto"/>
        <w:right w:val="none" w:sz="0" w:space="0" w:color="auto"/>
      </w:divBdr>
    </w:div>
    <w:div w:id="158473516">
      <w:bodyDiv w:val="1"/>
      <w:marLeft w:val="0"/>
      <w:marRight w:val="0"/>
      <w:marTop w:val="0"/>
      <w:marBottom w:val="0"/>
      <w:divBdr>
        <w:top w:val="none" w:sz="0" w:space="0" w:color="auto"/>
        <w:left w:val="none" w:sz="0" w:space="0" w:color="auto"/>
        <w:bottom w:val="none" w:sz="0" w:space="0" w:color="auto"/>
        <w:right w:val="none" w:sz="0" w:space="0" w:color="auto"/>
      </w:divBdr>
    </w:div>
    <w:div w:id="171261112">
      <w:bodyDiv w:val="1"/>
      <w:marLeft w:val="0"/>
      <w:marRight w:val="0"/>
      <w:marTop w:val="0"/>
      <w:marBottom w:val="0"/>
      <w:divBdr>
        <w:top w:val="none" w:sz="0" w:space="0" w:color="auto"/>
        <w:left w:val="none" w:sz="0" w:space="0" w:color="auto"/>
        <w:bottom w:val="none" w:sz="0" w:space="0" w:color="auto"/>
        <w:right w:val="none" w:sz="0" w:space="0" w:color="auto"/>
      </w:divBdr>
    </w:div>
    <w:div w:id="186140418">
      <w:bodyDiv w:val="1"/>
      <w:marLeft w:val="0"/>
      <w:marRight w:val="0"/>
      <w:marTop w:val="0"/>
      <w:marBottom w:val="0"/>
      <w:divBdr>
        <w:top w:val="none" w:sz="0" w:space="0" w:color="auto"/>
        <w:left w:val="none" w:sz="0" w:space="0" w:color="auto"/>
        <w:bottom w:val="none" w:sz="0" w:space="0" w:color="auto"/>
        <w:right w:val="none" w:sz="0" w:space="0" w:color="auto"/>
      </w:divBdr>
    </w:div>
    <w:div w:id="189418872">
      <w:bodyDiv w:val="1"/>
      <w:marLeft w:val="0"/>
      <w:marRight w:val="0"/>
      <w:marTop w:val="0"/>
      <w:marBottom w:val="0"/>
      <w:divBdr>
        <w:top w:val="none" w:sz="0" w:space="0" w:color="auto"/>
        <w:left w:val="none" w:sz="0" w:space="0" w:color="auto"/>
        <w:bottom w:val="none" w:sz="0" w:space="0" w:color="auto"/>
        <w:right w:val="none" w:sz="0" w:space="0" w:color="auto"/>
      </w:divBdr>
    </w:div>
    <w:div w:id="271014767">
      <w:bodyDiv w:val="1"/>
      <w:marLeft w:val="0"/>
      <w:marRight w:val="0"/>
      <w:marTop w:val="0"/>
      <w:marBottom w:val="0"/>
      <w:divBdr>
        <w:top w:val="none" w:sz="0" w:space="0" w:color="auto"/>
        <w:left w:val="none" w:sz="0" w:space="0" w:color="auto"/>
        <w:bottom w:val="none" w:sz="0" w:space="0" w:color="auto"/>
        <w:right w:val="none" w:sz="0" w:space="0" w:color="auto"/>
      </w:divBdr>
      <w:divsChild>
        <w:div w:id="383220477">
          <w:marLeft w:val="0"/>
          <w:marRight w:val="0"/>
          <w:marTop w:val="0"/>
          <w:marBottom w:val="225"/>
          <w:divBdr>
            <w:top w:val="none" w:sz="0" w:space="0" w:color="auto"/>
            <w:left w:val="none" w:sz="0" w:space="0" w:color="auto"/>
            <w:bottom w:val="none" w:sz="0" w:space="0" w:color="auto"/>
            <w:right w:val="none" w:sz="0" w:space="0" w:color="auto"/>
          </w:divBdr>
          <w:divsChild>
            <w:div w:id="2145463880">
              <w:marLeft w:val="0"/>
              <w:marRight w:val="0"/>
              <w:marTop w:val="0"/>
              <w:marBottom w:val="0"/>
              <w:divBdr>
                <w:top w:val="none" w:sz="0" w:space="0" w:color="auto"/>
                <w:left w:val="none" w:sz="0" w:space="0" w:color="auto"/>
                <w:bottom w:val="none" w:sz="0" w:space="0" w:color="auto"/>
                <w:right w:val="none" w:sz="0" w:space="0" w:color="auto"/>
              </w:divBdr>
              <w:divsChild>
                <w:div w:id="1429472980">
                  <w:marLeft w:val="0"/>
                  <w:marRight w:val="0"/>
                  <w:marTop w:val="0"/>
                  <w:marBottom w:val="0"/>
                  <w:divBdr>
                    <w:top w:val="none" w:sz="0" w:space="0" w:color="auto"/>
                    <w:left w:val="none" w:sz="0" w:space="0" w:color="auto"/>
                    <w:bottom w:val="none" w:sz="0" w:space="0" w:color="auto"/>
                    <w:right w:val="none" w:sz="0" w:space="0" w:color="auto"/>
                  </w:divBdr>
                  <w:divsChild>
                    <w:div w:id="959872962">
                      <w:marLeft w:val="0"/>
                      <w:marRight w:val="0"/>
                      <w:marTop w:val="0"/>
                      <w:marBottom w:val="0"/>
                      <w:divBdr>
                        <w:top w:val="none" w:sz="0" w:space="0" w:color="auto"/>
                        <w:left w:val="none" w:sz="0" w:space="0" w:color="auto"/>
                        <w:bottom w:val="none" w:sz="0" w:space="0" w:color="auto"/>
                        <w:right w:val="none" w:sz="0" w:space="0" w:color="auto"/>
                      </w:divBdr>
                    </w:div>
                    <w:div w:id="1437675298">
                      <w:marLeft w:val="0"/>
                      <w:marRight w:val="0"/>
                      <w:marTop w:val="0"/>
                      <w:marBottom w:val="0"/>
                      <w:divBdr>
                        <w:top w:val="none" w:sz="0" w:space="0" w:color="auto"/>
                        <w:left w:val="none" w:sz="0" w:space="0" w:color="auto"/>
                        <w:bottom w:val="none" w:sz="0" w:space="0" w:color="auto"/>
                        <w:right w:val="none" w:sz="0" w:space="0" w:color="auto"/>
                      </w:divBdr>
                    </w:div>
                    <w:div w:id="832262619">
                      <w:marLeft w:val="0"/>
                      <w:marRight w:val="0"/>
                      <w:marTop w:val="0"/>
                      <w:marBottom w:val="0"/>
                      <w:divBdr>
                        <w:top w:val="none" w:sz="0" w:space="0" w:color="auto"/>
                        <w:left w:val="none" w:sz="0" w:space="0" w:color="auto"/>
                        <w:bottom w:val="none" w:sz="0" w:space="0" w:color="auto"/>
                        <w:right w:val="none" w:sz="0" w:space="0" w:color="auto"/>
                      </w:divBdr>
                    </w:div>
                    <w:div w:id="1374691101">
                      <w:marLeft w:val="0"/>
                      <w:marRight w:val="0"/>
                      <w:marTop w:val="0"/>
                      <w:marBottom w:val="0"/>
                      <w:divBdr>
                        <w:top w:val="none" w:sz="0" w:space="0" w:color="auto"/>
                        <w:left w:val="none" w:sz="0" w:space="0" w:color="auto"/>
                        <w:bottom w:val="none" w:sz="0" w:space="0" w:color="auto"/>
                        <w:right w:val="none" w:sz="0" w:space="0" w:color="auto"/>
                      </w:divBdr>
                    </w:div>
                    <w:div w:id="856963637">
                      <w:marLeft w:val="0"/>
                      <w:marRight w:val="0"/>
                      <w:marTop w:val="0"/>
                      <w:marBottom w:val="0"/>
                      <w:divBdr>
                        <w:top w:val="none" w:sz="0" w:space="0" w:color="auto"/>
                        <w:left w:val="none" w:sz="0" w:space="0" w:color="auto"/>
                        <w:bottom w:val="none" w:sz="0" w:space="0" w:color="auto"/>
                        <w:right w:val="none" w:sz="0" w:space="0" w:color="auto"/>
                      </w:divBdr>
                    </w:div>
                    <w:div w:id="548155420">
                      <w:marLeft w:val="0"/>
                      <w:marRight w:val="0"/>
                      <w:marTop w:val="0"/>
                      <w:marBottom w:val="0"/>
                      <w:divBdr>
                        <w:top w:val="none" w:sz="0" w:space="0" w:color="auto"/>
                        <w:left w:val="none" w:sz="0" w:space="0" w:color="auto"/>
                        <w:bottom w:val="none" w:sz="0" w:space="0" w:color="auto"/>
                        <w:right w:val="none" w:sz="0" w:space="0" w:color="auto"/>
                      </w:divBdr>
                    </w:div>
                    <w:div w:id="988022010">
                      <w:marLeft w:val="0"/>
                      <w:marRight w:val="0"/>
                      <w:marTop w:val="0"/>
                      <w:marBottom w:val="0"/>
                      <w:divBdr>
                        <w:top w:val="none" w:sz="0" w:space="0" w:color="auto"/>
                        <w:left w:val="none" w:sz="0" w:space="0" w:color="auto"/>
                        <w:bottom w:val="none" w:sz="0" w:space="0" w:color="auto"/>
                        <w:right w:val="none" w:sz="0" w:space="0" w:color="auto"/>
                      </w:divBdr>
                    </w:div>
                    <w:div w:id="1684824443">
                      <w:marLeft w:val="0"/>
                      <w:marRight w:val="0"/>
                      <w:marTop w:val="0"/>
                      <w:marBottom w:val="0"/>
                      <w:divBdr>
                        <w:top w:val="none" w:sz="0" w:space="0" w:color="auto"/>
                        <w:left w:val="none" w:sz="0" w:space="0" w:color="auto"/>
                        <w:bottom w:val="none" w:sz="0" w:space="0" w:color="auto"/>
                        <w:right w:val="none" w:sz="0" w:space="0" w:color="auto"/>
                      </w:divBdr>
                    </w:div>
                    <w:div w:id="1291353685">
                      <w:marLeft w:val="0"/>
                      <w:marRight w:val="0"/>
                      <w:marTop w:val="0"/>
                      <w:marBottom w:val="0"/>
                      <w:divBdr>
                        <w:top w:val="none" w:sz="0" w:space="0" w:color="auto"/>
                        <w:left w:val="none" w:sz="0" w:space="0" w:color="auto"/>
                        <w:bottom w:val="none" w:sz="0" w:space="0" w:color="auto"/>
                        <w:right w:val="none" w:sz="0" w:space="0" w:color="auto"/>
                      </w:divBdr>
                    </w:div>
                    <w:div w:id="654139180">
                      <w:marLeft w:val="0"/>
                      <w:marRight w:val="0"/>
                      <w:marTop w:val="0"/>
                      <w:marBottom w:val="0"/>
                      <w:divBdr>
                        <w:top w:val="none" w:sz="0" w:space="0" w:color="auto"/>
                        <w:left w:val="none" w:sz="0" w:space="0" w:color="auto"/>
                        <w:bottom w:val="none" w:sz="0" w:space="0" w:color="auto"/>
                        <w:right w:val="none" w:sz="0" w:space="0" w:color="auto"/>
                      </w:divBdr>
                    </w:div>
                    <w:div w:id="813449899">
                      <w:marLeft w:val="0"/>
                      <w:marRight w:val="0"/>
                      <w:marTop w:val="0"/>
                      <w:marBottom w:val="0"/>
                      <w:divBdr>
                        <w:top w:val="none" w:sz="0" w:space="0" w:color="auto"/>
                        <w:left w:val="none" w:sz="0" w:space="0" w:color="auto"/>
                        <w:bottom w:val="none" w:sz="0" w:space="0" w:color="auto"/>
                        <w:right w:val="none" w:sz="0" w:space="0" w:color="auto"/>
                      </w:divBdr>
                    </w:div>
                    <w:div w:id="777412337">
                      <w:marLeft w:val="0"/>
                      <w:marRight w:val="0"/>
                      <w:marTop w:val="0"/>
                      <w:marBottom w:val="0"/>
                      <w:divBdr>
                        <w:top w:val="none" w:sz="0" w:space="0" w:color="auto"/>
                        <w:left w:val="none" w:sz="0" w:space="0" w:color="auto"/>
                        <w:bottom w:val="none" w:sz="0" w:space="0" w:color="auto"/>
                        <w:right w:val="none" w:sz="0" w:space="0" w:color="auto"/>
                      </w:divBdr>
                    </w:div>
                    <w:div w:id="1626305978">
                      <w:marLeft w:val="0"/>
                      <w:marRight w:val="0"/>
                      <w:marTop w:val="0"/>
                      <w:marBottom w:val="0"/>
                      <w:divBdr>
                        <w:top w:val="none" w:sz="0" w:space="0" w:color="auto"/>
                        <w:left w:val="none" w:sz="0" w:space="0" w:color="auto"/>
                        <w:bottom w:val="none" w:sz="0" w:space="0" w:color="auto"/>
                        <w:right w:val="none" w:sz="0" w:space="0" w:color="auto"/>
                      </w:divBdr>
                    </w:div>
                    <w:div w:id="2032604344">
                      <w:marLeft w:val="0"/>
                      <w:marRight w:val="0"/>
                      <w:marTop w:val="0"/>
                      <w:marBottom w:val="0"/>
                      <w:divBdr>
                        <w:top w:val="none" w:sz="0" w:space="0" w:color="auto"/>
                        <w:left w:val="none" w:sz="0" w:space="0" w:color="auto"/>
                        <w:bottom w:val="none" w:sz="0" w:space="0" w:color="auto"/>
                        <w:right w:val="none" w:sz="0" w:space="0" w:color="auto"/>
                      </w:divBdr>
                    </w:div>
                    <w:div w:id="1791624380">
                      <w:marLeft w:val="0"/>
                      <w:marRight w:val="0"/>
                      <w:marTop w:val="0"/>
                      <w:marBottom w:val="0"/>
                      <w:divBdr>
                        <w:top w:val="none" w:sz="0" w:space="0" w:color="auto"/>
                        <w:left w:val="none" w:sz="0" w:space="0" w:color="auto"/>
                        <w:bottom w:val="none" w:sz="0" w:space="0" w:color="auto"/>
                        <w:right w:val="none" w:sz="0" w:space="0" w:color="auto"/>
                      </w:divBdr>
                    </w:div>
                    <w:div w:id="773747014">
                      <w:marLeft w:val="0"/>
                      <w:marRight w:val="0"/>
                      <w:marTop w:val="0"/>
                      <w:marBottom w:val="0"/>
                      <w:divBdr>
                        <w:top w:val="none" w:sz="0" w:space="0" w:color="auto"/>
                        <w:left w:val="none" w:sz="0" w:space="0" w:color="auto"/>
                        <w:bottom w:val="none" w:sz="0" w:space="0" w:color="auto"/>
                        <w:right w:val="none" w:sz="0" w:space="0" w:color="auto"/>
                      </w:divBdr>
                    </w:div>
                    <w:div w:id="988947216">
                      <w:marLeft w:val="0"/>
                      <w:marRight w:val="0"/>
                      <w:marTop w:val="0"/>
                      <w:marBottom w:val="0"/>
                      <w:divBdr>
                        <w:top w:val="none" w:sz="0" w:space="0" w:color="auto"/>
                        <w:left w:val="none" w:sz="0" w:space="0" w:color="auto"/>
                        <w:bottom w:val="none" w:sz="0" w:space="0" w:color="auto"/>
                        <w:right w:val="none" w:sz="0" w:space="0" w:color="auto"/>
                      </w:divBdr>
                    </w:div>
                    <w:div w:id="1107698226">
                      <w:marLeft w:val="0"/>
                      <w:marRight w:val="0"/>
                      <w:marTop w:val="0"/>
                      <w:marBottom w:val="0"/>
                      <w:divBdr>
                        <w:top w:val="none" w:sz="0" w:space="0" w:color="auto"/>
                        <w:left w:val="none" w:sz="0" w:space="0" w:color="auto"/>
                        <w:bottom w:val="none" w:sz="0" w:space="0" w:color="auto"/>
                        <w:right w:val="none" w:sz="0" w:space="0" w:color="auto"/>
                      </w:divBdr>
                    </w:div>
                    <w:div w:id="1882089275">
                      <w:marLeft w:val="0"/>
                      <w:marRight w:val="0"/>
                      <w:marTop w:val="0"/>
                      <w:marBottom w:val="0"/>
                      <w:divBdr>
                        <w:top w:val="none" w:sz="0" w:space="0" w:color="auto"/>
                        <w:left w:val="none" w:sz="0" w:space="0" w:color="auto"/>
                        <w:bottom w:val="none" w:sz="0" w:space="0" w:color="auto"/>
                        <w:right w:val="none" w:sz="0" w:space="0" w:color="auto"/>
                      </w:divBdr>
                    </w:div>
                    <w:div w:id="1787577271">
                      <w:marLeft w:val="0"/>
                      <w:marRight w:val="0"/>
                      <w:marTop w:val="0"/>
                      <w:marBottom w:val="0"/>
                      <w:divBdr>
                        <w:top w:val="none" w:sz="0" w:space="0" w:color="auto"/>
                        <w:left w:val="none" w:sz="0" w:space="0" w:color="auto"/>
                        <w:bottom w:val="none" w:sz="0" w:space="0" w:color="auto"/>
                        <w:right w:val="none" w:sz="0" w:space="0" w:color="auto"/>
                      </w:divBdr>
                    </w:div>
                    <w:div w:id="13695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12559">
      <w:bodyDiv w:val="1"/>
      <w:marLeft w:val="0"/>
      <w:marRight w:val="0"/>
      <w:marTop w:val="0"/>
      <w:marBottom w:val="0"/>
      <w:divBdr>
        <w:top w:val="none" w:sz="0" w:space="0" w:color="auto"/>
        <w:left w:val="none" w:sz="0" w:space="0" w:color="auto"/>
        <w:bottom w:val="none" w:sz="0" w:space="0" w:color="auto"/>
        <w:right w:val="none" w:sz="0" w:space="0" w:color="auto"/>
      </w:divBdr>
    </w:div>
    <w:div w:id="313263004">
      <w:bodyDiv w:val="1"/>
      <w:marLeft w:val="0"/>
      <w:marRight w:val="0"/>
      <w:marTop w:val="0"/>
      <w:marBottom w:val="0"/>
      <w:divBdr>
        <w:top w:val="none" w:sz="0" w:space="0" w:color="auto"/>
        <w:left w:val="none" w:sz="0" w:space="0" w:color="auto"/>
        <w:bottom w:val="none" w:sz="0" w:space="0" w:color="auto"/>
        <w:right w:val="none" w:sz="0" w:space="0" w:color="auto"/>
      </w:divBdr>
    </w:div>
    <w:div w:id="369913899">
      <w:bodyDiv w:val="1"/>
      <w:marLeft w:val="0"/>
      <w:marRight w:val="0"/>
      <w:marTop w:val="0"/>
      <w:marBottom w:val="0"/>
      <w:divBdr>
        <w:top w:val="none" w:sz="0" w:space="0" w:color="auto"/>
        <w:left w:val="none" w:sz="0" w:space="0" w:color="auto"/>
        <w:bottom w:val="none" w:sz="0" w:space="0" w:color="auto"/>
        <w:right w:val="none" w:sz="0" w:space="0" w:color="auto"/>
      </w:divBdr>
    </w:div>
    <w:div w:id="395278246">
      <w:bodyDiv w:val="1"/>
      <w:marLeft w:val="0"/>
      <w:marRight w:val="0"/>
      <w:marTop w:val="0"/>
      <w:marBottom w:val="0"/>
      <w:divBdr>
        <w:top w:val="none" w:sz="0" w:space="0" w:color="auto"/>
        <w:left w:val="none" w:sz="0" w:space="0" w:color="auto"/>
        <w:bottom w:val="none" w:sz="0" w:space="0" w:color="auto"/>
        <w:right w:val="none" w:sz="0" w:space="0" w:color="auto"/>
      </w:divBdr>
    </w:div>
    <w:div w:id="395860753">
      <w:bodyDiv w:val="1"/>
      <w:marLeft w:val="0"/>
      <w:marRight w:val="0"/>
      <w:marTop w:val="0"/>
      <w:marBottom w:val="0"/>
      <w:divBdr>
        <w:top w:val="none" w:sz="0" w:space="0" w:color="auto"/>
        <w:left w:val="none" w:sz="0" w:space="0" w:color="auto"/>
        <w:bottom w:val="none" w:sz="0" w:space="0" w:color="auto"/>
        <w:right w:val="none" w:sz="0" w:space="0" w:color="auto"/>
      </w:divBdr>
    </w:div>
    <w:div w:id="458034124">
      <w:bodyDiv w:val="1"/>
      <w:marLeft w:val="0"/>
      <w:marRight w:val="0"/>
      <w:marTop w:val="0"/>
      <w:marBottom w:val="0"/>
      <w:divBdr>
        <w:top w:val="none" w:sz="0" w:space="0" w:color="auto"/>
        <w:left w:val="none" w:sz="0" w:space="0" w:color="auto"/>
        <w:bottom w:val="none" w:sz="0" w:space="0" w:color="auto"/>
        <w:right w:val="none" w:sz="0" w:space="0" w:color="auto"/>
      </w:divBdr>
    </w:div>
    <w:div w:id="463743884">
      <w:bodyDiv w:val="1"/>
      <w:marLeft w:val="0"/>
      <w:marRight w:val="0"/>
      <w:marTop w:val="0"/>
      <w:marBottom w:val="0"/>
      <w:divBdr>
        <w:top w:val="none" w:sz="0" w:space="0" w:color="auto"/>
        <w:left w:val="none" w:sz="0" w:space="0" w:color="auto"/>
        <w:bottom w:val="none" w:sz="0" w:space="0" w:color="auto"/>
        <w:right w:val="none" w:sz="0" w:space="0" w:color="auto"/>
      </w:divBdr>
    </w:div>
    <w:div w:id="475730927">
      <w:bodyDiv w:val="1"/>
      <w:marLeft w:val="0"/>
      <w:marRight w:val="0"/>
      <w:marTop w:val="0"/>
      <w:marBottom w:val="0"/>
      <w:divBdr>
        <w:top w:val="none" w:sz="0" w:space="0" w:color="auto"/>
        <w:left w:val="none" w:sz="0" w:space="0" w:color="auto"/>
        <w:bottom w:val="none" w:sz="0" w:space="0" w:color="auto"/>
        <w:right w:val="none" w:sz="0" w:space="0" w:color="auto"/>
      </w:divBdr>
    </w:div>
    <w:div w:id="477842463">
      <w:bodyDiv w:val="1"/>
      <w:marLeft w:val="0"/>
      <w:marRight w:val="0"/>
      <w:marTop w:val="0"/>
      <w:marBottom w:val="0"/>
      <w:divBdr>
        <w:top w:val="none" w:sz="0" w:space="0" w:color="auto"/>
        <w:left w:val="none" w:sz="0" w:space="0" w:color="auto"/>
        <w:bottom w:val="none" w:sz="0" w:space="0" w:color="auto"/>
        <w:right w:val="none" w:sz="0" w:space="0" w:color="auto"/>
      </w:divBdr>
    </w:div>
    <w:div w:id="495732738">
      <w:bodyDiv w:val="1"/>
      <w:marLeft w:val="0"/>
      <w:marRight w:val="0"/>
      <w:marTop w:val="0"/>
      <w:marBottom w:val="0"/>
      <w:divBdr>
        <w:top w:val="none" w:sz="0" w:space="0" w:color="auto"/>
        <w:left w:val="none" w:sz="0" w:space="0" w:color="auto"/>
        <w:bottom w:val="none" w:sz="0" w:space="0" w:color="auto"/>
        <w:right w:val="none" w:sz="0" w:space="0" w:color="auto"/>
      </w:divBdr>
    </w:div>
    <w:div w:id="500387988">
      <w:bodyDiv w:val="1"/>
      <w:marLeft w:val="0"/>
      <w:marRight w:val="0"/>
      <w:marTop w:val="0"/>
      <w:marBottom w:val="0"/>
      <w:divBdr>
        <w:top w:val="none" w:sz="0" w:space="0" w:color="auto"/>
        <w:left w:val="none" w:sz="0" w:space="0" w:color="auto"/>
        <w:bottom w:val="none" w:sz="0" w:space="0" w:color="auto"/>
        <w:right w:val="none" w:sz="0" w:space="0" w:color="auto"/>
      </w:divBdr>
    </w:div>
    <w:div w:id="508176814">
      <w:bodyDiv w:val="1"/>
      <w:marLeft w:val="0"/>
      <w:marRight w:val="0"/>
      <w:marTop w:val="0"/>
      <w:marBottom w:val="0"/>
      <w:divBdr>
        <w:top w:val="none" w:sz="0" w:space="0" w:color="auto"/>
        <w:left w:val="none" w:sz="0" w:space="0" w:color="auto"/>
        <w:bottom w:val="none" w:sz="0" w:space="0" w:color="auto"/>
        <w:right w:val="none" w:sz="0" w:space="0" w:color="auto"/>
      </w:divBdr>
    </w:div>
    <w:div w:id="526408275">
      <w:bodyDiv w:val="1"/>
      <w:marLeft w:val="0"/>
      <w:marRight w:val="0"/>
      <w:marTop w:val="0"/>
      <w:marBottom w:val="0"/>
      <w:divBdr>
        <w:top w:val="none" w:sz="0" w:space="0" w:color="auto"/>
        <w:left w:val="none" w:sz="0" w:space="0" w:color="auto"/>
        <w:bottom w:val="none" w:sz="0" w:space="0" w:color="auto"/>
        <w:right w:val="none" w:sz="0" w:space="0" w:color="auto"/>
      </w:divBdr>
    </w:div>
    <w:div w:id="533620064">
      <w:bodyDiv w:val="1"/>
      <w:marLeft w:val="0"/>
      <w:marRight w:val="0"/>
      <w:marTop w:val="0"/>
      <w:marBottom w:val="0"/>
      <w:divBdr>
        <w:top w:val="none" w:sz="0" w:space="0" w:color="auto"/>
        <w:left w:val="none" w:sz="0" w:space="0" w:color="auto"/>
        <w:bottom w:val="none" w:sz="0" w:space="0" w:color="auto"/>
        <w:right w:val="none" w:sz="0" w:space="0" w:color="auto"/>
      </w:divBdr>
    </w:div>
    <w:div w:id="542906416">
      <w:bodyDiv w:val="1"/>
      <w:marLeft w:val="0"/>
      <w:marRight w:val="0"/>
      <w:marTop w:val="0"/>
      <w:marBottom w:val="0"/>
      <w:divBdr>
        <w:top w:val="none" w:sz="0" w:space="0" w:color="auto"/>
        <w:left w:val="none" w:sz="0" w:space="0" w:color="auto"/>
        <w:bottom w:val="none" w:sz="0" w:space="0" w:color="auto"/>
        <w:right w:val="none" w:sz="0" w:space="0" w:color="auto"/>
      </w:divBdr>
    </w:div>
    <w:div w:id="567958782">
      <w:bodyDiv w:val="1"/>
      <w:marLeft w:val="0"/>
      <w:marRight w:val="0"/>
      <w:marTop w:val="0"/>
      <w:marBottom w:val="0"/>
      <w:divBdr>
        <w:top w:val="none" w:sz="0" w:space="0" w:color="auto"/>
        <w:left w:val="none" w:sz="0" w:space="0" w:color="auto"/>
        <w:bottom w:val="none" w:sz="0" w:space="0" w:color="auto"/>
        <w:right w:val="none" w:sz="0" w:space="0" w:color="auto"/>
      </w:divBdr>
    </w:div>
    <w:div w:id="574708256">
      <w:bodyDiv w:val="1"/>
      <w:marLeft w:val="0"/>
      <w:marRight w:val="0"/>
      <w:marTop w:val="0"/>
      <w:marBottom w:val="0"/>
      <w:divBdr>
        <w:top w:val="none" w:sz="0" w:space="0" w:color="auto"/>
        <w:left w:val="none" w:sz="0" w:space="0" w:color="auto"/>
        <w:bottom w:val="none" w:sz="0" w:space="0" w:color="auto"/>
        <w:right w:val="none" w:sz="0" w:space="0" w:color="auto"/>
      </w:divBdr>
    </w:div>
    <w:div w:id="575826558">
      <w:bodyDiv w:val="1"/>
      <w:marLeft w:val="0"/>
      <w:marRight w:val="0"/>
      <w:marTop w:val="0"/>
      <w:marBottom w:val="0"/>
      <w:divBdr>
        <w:top w:val="none" w:sz="0" w:space="0" w:color="auto"/>
        <w:left w:val="none" w:sz="0" w:space="0" w:color="auto"/>
        <w:bottom w:val="none" w:sz="0" w:space="0" w:color="auto"/>
        <w:right w:val="none" w:sz="0" w:space="0" w:color="auto"/>
      </w:divBdr>
    </w:div>
    <w:div w:id="586888308">
      <w:bodyDiv w:val="1"/>
      <w:marLeft w:val="0"/>
      <w:marRight w:val="0"/>
      <w:marTop w:val="0"/>
      <w:marBottom w:val="0"/>
      <w:divBdr>
        <w:top w:val="none" w:sz="0" w:space="0" w:color="auto"/>
        <w:left w:val="none" w:sz="0" w:space="0" w:color="auto"/>
        <w:bottom w:val="none" w:sz="0" w:space="0" w:color="auto"/>
        <w:right w:val="none" w:sz="0" w:space="0" w:color="auto"/>
      </w:divBdr>
    </w:div>
    <w:div w:id="597520190">
      <w:bodyDiv w:val="1"/>
      <w:marLeft w:val="0"/>
      <w:marRight w:val="0"/>
      <w:marTop w:val="0"/>
      <w:marBottom w:val="0"/>
      <w:divBdr>
        <w:top w:val="none" w:sz="0" w:space="0" w:color="auto"/>
        <w:left w:val="none" w:sz="0" w:space="0" w:color="auto"/>
        <w:bottom w:val="none" w:sz="0" w:space="0" w:color="auto"/>
        <w:right w:val="none" w:sz="0" w:space="0" w:color="auto"/>
      </w:divBdr>
    </w:div>
    <w:div w:id="602763607">
      <w:bodyDiv w:val="1"/>
      <w:marLeft w:val="0"/>
      <w:marRight w:val="0"/>
      <w:marTop w:val="0"/>
      <w:marBottom w:val="0"/>
      <w:divBdr>
        <w:top w:val="none" w:sz="0" w:space="0" w:color="auto"/>
        <w:left w:val="none" w:sz="0" w:space="0" w:color="auto"/>
        <w:bottom w:val="none" w:sz="0" w:space="0" w:color="auto"/>
        <w:right w:val="none" w:sz="0" w:space="0" w:color="auto"/>
      </w:divBdr>
    </w:div>
    <w:div w:id="625431860">
      <w:bodyDiv w:val="1"/>
      <w:marLeft w:val="0"/>
      <w:marRight w:val="0"/>
      <w:marTop w:val="0"/>
      <w:marBottom w:val="0"/>
      <w:divBdr>
        <w:top w:val="none" w:sz="0" w:space="0" w:color="auto"/>
        <w:left w:val="none" w:sz="0" w:space="0" w:color="auto"/>
        <w:bottom w:val="none" w:sz="0" w:space="0" w:color="auto"/>
        <w:right w:val="none" w:sz="0" w:space="0" w:color="auto"/>
      </w:divBdr>
    </w:div>
    <w:div w:id="661932663">
      <w:bodyDiv w:val="1"/>
      <w:marLeft w:val="0"/>
      <w:marRight w:val="0"/>
      <w:marTop w:val="0"/>
      <w:marBottom w:val="0"/>
      <w:divBdr>
        <w:top w:val="none" w:sz="0" w:space="0" w:color="auto"/>
        <w:left w:val="none" w:sz="0" w:space="0" w:color="auto"/>
        <w:bottom w:val="none" w:sz="0" w:space="0" w:color="auto"/>
        <w:right w:val="none" w:sz="0" w:space="0" w:color="auto"/>
      </w:divBdr>
    </w:div>
    <w:div w:id="669605574">
      <w:bodyDiv w:val="1"/>
      <w:marLeft w:val="0"/>
      <w:marRight w:val="0"/>
      <w:marTop w:val="0"/>
      <w:marBottom w:val="0"/>
      <w:divBdr>
        <w:top w:val="none" w:sz="0" w:space="0" w:color="auto"/>
        <w:left w:val="none" w:sz="0" w:space="0" w:color="auto"/>
        <w:bottom w:val="none" w:sz="0" w:space="0" w:color="auto"/>
        <w:right w:val="none" w:sz="0" w:space="0" w:color="auto"/>
      </w:divBdr>
    </w:div>
    <w:div w:id="676007190">
      <w:bodyDiv w:val="1"/>
      <w:marLeft w:val="0"/>
      <w:marRight w:val="0"/>
      <w:marTop w:val="0"/>
      <w:marBottom w:val="0"/>
      <w:divBdr>
        <w:top w:val="none" w:sz="0" w:space="0" w:color="auto"/>
        <w:left w:val="none" w:sz="0" w:space="0" w:color="auto"/>
        <w:bottom w:val="none" w:sz="0" w:space="0" w:color="auto"/>
        <w:right w:val="none" w:sz="0" w:space="0" w:color="auto"/>
      </w:divBdr>
    </w:div>
    <w:div w:id="696858878">
      <w:bodyDiv w:val="1"/>
      <w:marLeft w:val="0"/>
      <w:marRight w:val="0"/>
      <w:marTop w:val="0"/>
      <w:marBottom w:val="0"/>
      <w:divBdr>
        <w:top w:val="none" w:sz="0" w:space="0" w:color="auto"/>
        <w:left w:val="none" w:sz="0" w:space="0" w:color="auto"/>
        <w:bottom w:val="none" w:sz="0" w:space="0" w:color="auto"/>
        <w:right w:val="none" w:sz="0" w:space="0" w:color="auto"/>
      </w:divBdr>
    </w:div>
    <w:div w:id="719475308">
      <w:bodyDiv w:val="1"/>
      <w:marLeft w:val="0"/>
      <w:marRight w:val="0"/>
      <w:marTop w:val="0"/>
      <w:marBottom w:val="0"/>
      <w:divBdr>
        <w:top w:val="none" w:sz="0" w:space="0" w:color="auto"/>
        <w:left w:val="none" w:sz="0" w:space="0" w:color="auto"/>
        <w:bottom w:val="none" w:sz="0" w:space="0" w:color="auto"/>
        <w:right w:val="none" w:sz="0" w:space="0" w:color="auto"/>
      </w:divBdr>
    </w:div>
    <w:div w:id="727067575">
      <w:bodyDiv w:val="1"/>
      <w:marLeft w:val="0"/>
      <w:marRight w:val="0"/>
      <w:marTop w:val="0"/>
      <w:marBottom w:val="0"/>
      <w:divBdr>
        <w:top w:val="none" w:sz="0" w:space="0" w:color="auto"/>
        <w:left w:val="none" w:sz="0" w:space="0" w:color="auto"/>
        <w:bottom w:val="none" w:sz="0" w:space="0" w:color="auto"/>
        <w:right w:val="none" w:sz="0" w:space="0" w:color="auto"/>
      </w:divBdr>
    </w:div>
    <w:div w:id="742290254">
      <w:bodyDiv w:val="1"/>
      <w:marLeft w:val="0"/>
      <w:marRight w:val="0"/>
      <w:marTop w:val="0"/>
      <w:marBottom w:val="0"/>
      <w:divBdr>
        <w:top w:val="none" w:sz="0" w:space="0" w:color="auto"/>
        <w:left w:val="none" w:sz="0" w:space="0" w:color="auto"/>
        <w:bottom w:val="none" w:sz="0" w:space="0" w:color="auto"/>
        <w:right w:val="none" w:sz="0" w:space="0" w:color="auto"/>
      </w:divBdr>
    </w:div>
    <w:div w:id="767234960">
      <w:bodyDiv w:val="1"/>
      <w:marLeft w:val="0"/>
      <w:marRight w:val="0"/>
      <w:marTop w:val="0"/>
      <w:marBottom w:val="0"/>
      <w:divBdr>
        <w:top w:val="none" w:sz="0" w:space="0" w:color="auto"/>
        <w:left w:val="none" w:sz="0" w:space="0" w:color="auto"/>
        <w:bottom w:val="none" w:sz="0" w:space="0" w:color="auto"/>
        <w:right w:val="none" w:sz="0" w:space="0" w:color="auto"/>
      </w:divBdr>
    </w:div>
    <w:div w:id="777216871">
      <w:bodyDiv w:val="1"/>
      <w:marLeft w:val="0"/>
      <w:marRight w:val="0"/>
      <w:marTop w:val="0"/>
      <w:marBottom w:val="0"/>
      <w:divBdr>
        <w:top w:val="none" w:sz="0" w:space="0" w:color="auto"/>
        <w:left w:val="none" w:sz="0" w:space="0" w:color="auto"/>
        <w:bottom w:val="none" w:sz="0" w:space="0" w:color="auto"/>
        <w:right w:val="none" w:sz="0" w:space="0" w:color="auto"/>
      </w:divBdr>
    </w:div>
    <w:div w:id="797920175">
      <w:bodyDiv w:val="1"/>
      <w:marLeft w:val="0"/>
      <w:marRight w:val="0"/>
      <w:marTop w:val="0"/>
      <w:marBottom w:val="0"/>
      <w:divBdr>
        <w:top w:val="none" w:sz="0" w:space="0" w:color="auto"/>
        <w:left w:val="none" w:sz="0" w:space="0" w:color="auto"/>
        <w:bottom w:val="none" w:sz="0" w:space="0" w:color="auto"/>
        <w:right w:val="none" w:sz="0" w:space="0" w:color="auto"/>
      </w:divBdr>
    </w:div>
    <w:div w:id="830952080">
      <w:bodyDiv w:val="1"/>
      <w:marLeft w:val="0"/>
      <w:marRight w:val="0"/>
      <w:marTop w:val="0"/>
      <w:marBottom w:val="0"/>
      <w:divBdr>
        <w:top w:val="none" w:sz="0" w:space="0" w:color="auto"/>
        <w:left w:val="none" w:sz="0" w:space="0" w:color="auto"/>
        <w:bottom w:val="none" w:sz="0" w:space="0" w:color="auto"/>
        <w:right w:val="none" w:sz="0" w:space="0" w:color="auto"/>
      </w:divBdr>
    </w:div>
    <w:div w:id="837813921">
      <w:bodyDiv w:val="1"/>
      <w:marLeft w:val="0"/>
      <w:marRight w:val="0"/>
      <w:marTop w:val="0"/>
      <w:marBottom w:val="0"/>
      <w:divBdr>
        <w:top w:val="none" w:sz="0" w:space="0" w:color="auto"/>
        <w:left w:val="none" w:sz="0" w:space="0" w:color="auto"/>
        <w:bottom w:val="none" w:sz="0" w:space="0" w:color="auto"/>
        <w:right w:val="none" w:sz="0" w:space="0" w:color="auto"/>
      </w:divBdr>
    </w:div>
    <w:div w:id="838886737">
      <w:bodyDiv w:val="1"/>
      <w:marLeft w:val="0"/>
      <w:marRight w:val="0"/>
      <w:marTop w:val="0"/>
      <w:marBottom w:val="0"/>
      <w:divBdr>
        <w:top w:val="none" w:sz="0" w:space="0" w:color="auto"/>
        <w:left w:val="none" w:sz="0" w:space="0" w:color="auto"/>
        <w:bottom w:val="none" w:sz="0" w:space="0" w:color="auto"/>
        <w:right w:val="none" w:sz="0" w:space="0" w:color="auto"/>
      </w:divBdr>
    </w:div>
    <w:div w:id="864250957">
      <w:bodyDiv w:val="1"/>
      <w:marLeft w:val="0"/>
      <w:marRight w:val="0"/>
      <w:marTop w:val="0"/>
      <w:marBottom w:val="0"/>
      <w:divBdr>
        <w:top w:val="none" w:sz="0" w:space="0" w:color="auto"/>
        <w:left w:val="none" w:sz="0" w:space="0" w:color="auto"/>
        <w:bottom w:val="none" w:sz="0" w:space="0" w:color="auto"/>
        <w:right w:val="none" w:sz="0" w:space="0" w:color="auto"/>
      </w:divBdr>
    </w:div>
    <w:div w:id="869562224">
      <w:bodyDiv w:val="1"/>
      <w:marLeft w:val="0"/>
      <w:marRight w:val="0"/>
      <w:marTop w:val="0"/>
      <w:marBottom w:val="0"/>
      <w:divBdr>
        <w:top w:val="none" w:sz="0" w:space="0" w:color="auto"/>
        <w:left w:val="none" w:sz="0" w:space="0" w:color="auto"/>
        <w:bottom w:val="none" w:sz="0" w:space="0" w:color="auto"/>
        <w:right w:val="none" w:sz="0" w:space="0" w:color="auto"/>
      </w:divBdr>
    </w:div>
    <w:div w:id="879518000">
      <w:bodyDiv w:val="1"/>
      <w:marLeft w:val="0"/>
      <w:marRight w:val="0"/>
      <w:marTop w:val="0"/>
      <w:marBottom w:val="0"/>
      <w:divBdr>
        <w:top w:val="none" w:sz="0" w:space="0" w:color="auto"/>
        <w:left w:val="none" w:sz="0" w:space="0" w:color="auto"/>
        <w:bottom w:val="none" w:sz="0" w:space="0" w:color="auto"/>
        <w:right w:val="none" w:sz="0" w:space="0" w:color="auto"/>
      </w:divBdr>
    </w:div>
    <w:div w:id="888616828">
      <w:bodyDiv w:val="1"/>
      <w:marLeft w:val="0"/>
      <w:marRight w:val="0"/>
      <w:marTop w:val="0"/>
      <w:marBottom w:val="0"/>
      <w:divBdr>
        <w:top w:val="none" w:sz="0" w:space="0" w:color="auto"/>
        <w:left w:val="none" w:sz="0" w:space="0" w:color="auto"/>
        <w:bottom w:val="none" w:sz="0" w:space="0" w:color="auto"/>
        <w:right w:val="none" w:sz="0" w:space="0" w:color="auto"/>
      </w:divBdr>
    </w:div>
    <w:div w:id="915625871">
      <w:bodyDiv w:val="1"/>
      <w:marLeft w:val="0"/>
      <w:marRight w:val="0"/>
      <w:marTop w:val="0"/>
      <w:marBottom w:val="0"/>
      <w:divBdr>
        <w:top w:val="none" w:sz="0" w:space="0" w:color="auto"/>
        <w:left w:val="none" w:sz="0" w:space="0" w:color="auto"/>
        <w:bottom w:val="none" w:sz="0" w:space="0" w:color="auto"/>
        <w:right w:val="none" w:sz="0" w:space="0" w:color="auto"/>
      </w:divBdr>
    </w:div>
    <w:div w:id="924801535">
      <w:bodyDiv w:val="1"/>
      <w:marLeft w:val="0"/>
      <w:marRight w:val="0"/>
      <w:marTop w:val="0"/>
      <w:marBottom w:val="0"/>
      <w:divBdr>
        <w:top w:val="none" w:sz="0" w:space="0" w:color="auto"/>
        <w:left w:val="none" w:sz="0" w:space="0" w:color="auto"/>
        <w:bottom w:val="none" w:sz="0" w:space="0" w:color="auto"/>
        <w:right w:val="none" w:sz="0" w:space="0" w:color="auto"/>
      </w:divBdr>
    </w:div>
    <w:div w:id="934677944">
      <w:bodyDiv w:val="1"/>
      <w:marLeft w:val="0"/>
      <w:marRight w:val="0"/>
      <w:marTop w:val="0"/>
      <w:marBottom w:val="0"/>
      <w:divBdr>
        <w:top w:val="none" w:sz="0" w:space="0" w:color="auto"/>
        <w:left w:val="none" w:sz="0" w:space="0" w:color="auto"/>
        <w:bottom w:val="none" w:sz="0" w:space="0" w:color="auto"/>
        <w:right w:val="none" w:sz="0" w:space="0" w:color="auto"/>
      </w:divBdr>
    </w:div>
    <w:div w:id="947197821">
      <w:bodyDiv w:val="1"/>
      <w:marLeft w:val="0"/>
      <w:marRight w:val="0"/>
      <w:marTop w:val="0"/>
      <w:marBottom w:val="0"/>
      <w:divBdr>
        <w:top w:val="none" w:sz="0" w:space="0" w:color="auto"/>
        <w:left w:val="none" w:sz="0" w:space="0" w:color="auto"/>
        <w:bottom w:val="none" w:sz="0" w:space="0" w:color="auto"/>
        <w:right w:val="none" w:sz="0" w:space="0" w:color="auto"/>
      </w:divBdr>
    </w:div>
    <w:div w:id="962463292">
      <w:bodyDiv w:val="1"/>
      <w:marLeft w:val="0"/>
      <w:marRight w:val="0"/>
      <w:marTop w:val="0"/>
      <w:marBottom w:val="0"/>
      <w:divBdr>
        <w:top w:val="none" w:sz="0" w:space="0" w:color="auto"/>
        <w:left w:val="none" w:sz="0" w:space="0" w:color="auto"/>
        <w:bottom w:val="none" w:sz="0" w:space="0" w:color="auto"/>
        <w:right w:val="none" w:sz="0" w:space="0" w:color="auto"/>
      </w:divBdr>
    </w:div>
    <w:div w:id="977419724">
      <w:bodyDiv w:val="1"/>
      <w:marLeft w:val="0"/>
      <w:marRight w:val="0"/>
      <w:marTop w:val="0"/>
      <w:marBottom w:val="0"/>
      <w:divBdr>
        <w:top w:val="none" w:sz="0" w:space="0" w:color="auto"/>
        <w:left w:val="none" w:sz="0" w:space="0" w:color="auto"/>
        <w:bottom w:val="none" w:sz="0" w:space="0" w:color="auto"/>
        <w:right w:val="none" w:sz="0" w:space="0" w:color="auto"/>
      </w:divBdr>
    </w:div>
    <w:div w:id="1010179359">
      <w:bodyDiv w:val="1"/>
      <w:marLeft w:val="0"/>
      <w:marRight w:val="0"/>
      <w:marTop w:val="0"/>
      <w:marBottom w:val="0"/>
      <w:divBdr>
        <w:top w:val="none" w:sz="0" w:space="0" w:color="auto"/>
        <w:left w:val="none" w:sz="0" w:space="0" w:color="auto"/>
        <w:bottom w:val="none" w:sz="0" w:space="0" w:color="auto"/>
        <w:right w:val="none" w:sz="0" w:space="0" w:color="auto"/>
      </w:divBdr>
    </w:div>
    <w:div w:id="1027100790">
      <w:bodyDiv w:val="1"/>
      <w:marLeft w:val="0"/>
      <w:marRight w:val="0"/>
      <w:marTop w:val="0"/>
      <w:marBottom w:val="0"/>
      <w:divBdr>
        <w:top w:val="none" w:sz="0" w:space="0" w:color="auto"/>
        <w:left w:val="none" w:sz="0" w:space="0" w:color="auto"/>
        <w:bottom w:val="none" w:sz="0" w:space="0" w:color="auto"/>
        <w:right w:val="none" w:sz="0" w:space="0" w:color="auto"/>
      </w:divBdr>
    </w:div>
    <w:div w:id="1029452538">
      <w:bodyDiv w:val="1"/>
      <w:marLeft w:val="0"/>
      <w:marRight w:val="0"/>
      <w:marTop w:val="0"/>
      <w:marBottom w:val="0"/>
      <w:divBdr>
        <w:top w:val="none" w:sz="0" w:space="0" w:color="auto"/>
        <w:left w:val="none" w:sz="0" w:space="0" w:color="auto"/>
        <w:bottom w:val="none" w:sz="0" w:space="0" w:color="auto"/>
        <w:right w:val="none" w:sz="0" w:space="0" w:color="auto"/>
      </w:divBdr>
    </w:div>
    <w:div w:id="1033113794">
      <w:bodyDiv w:val="1"/>
      <w:marLeft w:val="0"/>
      <w:marRight w:val="0"/>
      <w:marTop w:val="0"/>
      <w:marBottom w:val="0"/>
      <w:divBdr>
        <w:top w:val="none" w:sz="0" w:space="0" w:color="auto"/>
        <w:left w:val="none" w:sz="0" w:space="0" w:color="auto"/>
        <w:bottom w:val="none" w:sz="0" w:space="0" w:color="auto"/>
        <w:right w:val="none" w:sz="0" w:space="0" w:color="auto"/>
      </w:divBdr>
    </w:div>
    <w:div w:id="1042365414">
      <w:bodyDiv w:val="1"/>
      <w:marLeft w:val="0"/>
      <w:marRight w:val="0"/>
      <w:marTop w:val="0"/>
      <w:marBottom w:val="0"/>
      <w:divBdr>
        <w:top w:val="none" w:sz="0" w:space="0" w:color="auto"/>
        <w:left w:val="none" w:sz="0" w:space="0" w:color="auto"/>
        <w:bottom w:val="none" w:sz="0" w:space="0" w:color="auto"/>
        <w:right w:val="none" w:sz="0" w:space="0" w:color="auto"/>
      </w:divBdr>
    </w:div>
    <w:div w:id="1054306050">
      <w:bodyDiv w:val="1"/>
      <w:marLeft w:val="0"/>
      <w:marRight w:val="0"/>
      <w:marTop w:val="0"/>
      <w:marBottom w:val="0"/>
      <w:divBdr>
        <w:top w:val="none" w:sz="0" w:space="0" w:color="auto"/>
        <w:left w:val="none" w:sz="0" w:space="0" w:color="auto"/>
        <w:bottom w:val="none" w:sz="0" w:space="0" w:color="auto"/>
        <w:right w:val="none" w:sz="0" w:space="0" w:color="auto"/>
      </w:divBdr>
    </w:div>
    <w:div w:id="1076435826">
      <w:bodyDiv w:val="1"/>
      <w:marLeft w:val="0"/>
      <w:marRight w:val="0"/>
      <w:marTop w:val="0"/>
      <w:marBottom w:val="0"/>
      <w:divBdr>
        <w:top w:val="none" w:sz="0" w:space="0" w:color="auto"/>
        <w:left w:val="none" w:sz="0" w:space="0" w:color="auto"/>
        <w:bottom w:val="none" w:sz="0" w:space="0" w:color="auto"/>
        <w:right w:val="none" w:sz="0" w:space="0" w:color="auto"/>
      </w:divBdr>
    </w:div>
    <w:div w:id="1097798572">
      <w:bodyDiv w:val="1"/>
      <w:marLeft w:val="0"/>
      <w:marRight w:val="0"/>
      <w:marTop w:val="0"/>
      <w:marBottom w:val="0"/>
      <w:divBdr>
        <w:top w:val="none" w:sz="0" w:space="0" w:color="auto"/>
        <w:left w:val="none" w:sz="0" w:space="0" w:color="auto"/>
        <w:bottom w:val="none" w:sz="0" w:space="0" w:color="auto"/>
        <w:right w:val="none" w:sz="0" w:space="0" w:color="auto"/>
      </w:divBdr>
    </w:div>
    <w:div w:id="1101147665">
      <w:bodyDiv w:val="1"/>
      <w:marLeft w:val="0"/>
      <w:marRight w:val="0"/>
      <w:marTop w:val="0"/>
      <w:marBottom w:val="0"/>
      <w:divBdr>
        <w:top w:val="none" w:sz="0" w:space="0" w:color="auto"/>
        <w:left w:val="none" w:sz="0" w:space="0" w:color="auto"/>
        <w:bottom w:val="none" w:sz="0" w:space="0" w:color="auto"/>
        <w:right w:val="none" w:sz="0" w:space="0" w:color="auto"/>
      </w:divBdr>
    </w:div>
    <w:div w:id="1109816261">
      <w:bodyDiv w:val="1"/>
      <w:marLeft w:val="0"/>
      <w:marRight w:val="0"/>
      <w:marTop w:val="0"/>
      <w:marBottom w:val="0"/>
      <w:divBdr>
        <w:top w:val="none" w:sz="0" w:space="0" w:color="auto"/>
        <w:left w:val="none" w:sz="0" w:space="0" w:color="auto"/>
        <w:bottom w:val="none" w:sz="0" w:space="0" w:color="auto"/>
        <w:right w:val="none" w:sz="0" w:space="0" w:color="auto"/>
      </w:divBdr>
    </w:div>
    <w:div w:id="1114597806">
      <w:bodyDiv w:val="1"/>
      <w:marLeft w:val="0"/>
      <w:marRight w:val="0"/>
      <w:marTop w:val="0"/>
      <w:marBottom w:val="0"/>
      <w:divBdr>
        <w:top w:val="none" w:sz="0" w:space="0" w:color="auto"/>
        <w:left w:val="none" w:sz="0" w:space="0" w:color="auto"/>
        <w:bottom w:val="none" w:sz="0" w:space="0" w:color="auto"/>
        <w:right w:val="none" w:sz="0" w:space="0" w:color="auto"/>
      </w:divBdr>
    </w:div>
    <w:div w:id="1122574758">
      <w:bodyDiv w:val="1"/>
      <w:marLeft w:val="0"/>
      <w:marRight w:val="0"/>
      <w:marTop w:val="0"/>
      <w:marBottom w:val="0"/>
      <w:divBdr>
        <w:top w:val="none" w:sz="0" w:space="0" w:color="auto"/>
        <w:left w:val="none" w:sz="0" w:space="0" w:color="auto"/>
        <w:bottom w:val="none" w:sz="0" w:space="0" w:color="auto"/>
        <w:right w:val="none" w:sz="0" w:space="0" w:color="auto"/>
      </w:divBdr>
    </w:div>
    <w:div w:id="1131245121">
      <w:bodyDiv w:val="1"/>
      <w:marLeft w:val="0"/>
      <w:marRight w:val="0"/>
      <w:marTop w:val="0"/>
      <w:marBottom w:val="0"/>
      <w:divBdr>
        <w:top w:val="none" w:sz="0" w:space="0" w:color="auto"/>
        <w:left w:val="none" w:sz="0" w:space="0" w:color="auto"/>
        <w:bottom w:val="none" w:sz="0" w:space="0" w:color="auto"/>
        <w:right w:val="none" w:sz="0" w:space="0" w:color="auto"/>
      </w:divBdr>
    </w:div>
    <w:div w:id="1137449907">
      <w:bodyDiv w:val="1"/>
      <w:marLeft w:val="0"/>
      <w:marRight w:val="0"/>
      <w:marTop w:val="0"/>
      <w:marBottom w:val="0"/>
      <w:divBdr>
        <w:top w:val="none" w:sz="0" w:space="0" w:color="auto"/>
        <w:left w:val="none" w:sz="0" w:space="0" w:color="auto"/>
        <w:bottom w:val="none" w:sz="0" w:space="0" w:color="auto"/>
        <w:right w:val="none" w:sz="0" w:space="0" w:color="auto"/>
      </w:divBdr>
    </w:div>
    <w:div w:id="1150252587">
      <w:bodyDiv w:val="1"/>
      <w:marLeft w:val="0"/>
      <w:marRight w:val="0"/>
      <w:marTop w:val="0"/>
      <w:marBottom w:val="0"/>
      <w:divBdr>
        <w:top w:val="none" w:sz="0" w:space="0" w:color="auto"/>
        <w:left w:val="none" w:sz="0" w:space="0" w:color="auto"/>
        <w:bottom w:val="none" w:sz="0" w:space="0" w:color="auto"/>
        <w:right w:val="none" w:sz="0" w:space="0" w:color="auto"/>
      </w:divBdr>
    </w:div>
    <w:div w:id="1171607215">
      <w:bodyDiv w:val="1"/>
      <w:marLeft w:val="0"/>
      <w:marRight w:val="0"/>
      <w:marTop w:val="0"/>
      <w:marBottom w:val="0"/>
      <w:divBdr>
        <w:top w:val="none" w:sz="0" w:space="0" w:color="auto"/>
        <w:left w:val="none" w:sz="0" w:space="0" w:color="auto"/>
        <w:bottom w:val="none" w:sz="0" w:space="0" w:color="auto"/>
        <w:right w:val="none" w:sz="0" w:space="0" w:color="auto"/>
      </w:divBdr>
    </w:div>
    <w:div w:id="1214079680">
      <w:bodyDiv w:val="1"/>
      <w:marLeft w:val="0"/>
      <w:marRight w:val="0"/>
      <w:marTop w:val="0"/>
      <w:marBottom w:val="0"/>
      <w:divBdr>
        <w:top w:val="none" w:sz="0" w:space="0" w:color="auto"/>
        <w:left w:val="none" w:sz="0" w:space="0" w:color="auto"/>
        <w:bottom w:val="none" w:sz="0" w:space="0" w:color="auto"/>
        <w:right w:val="none" w:sz="0" w:space="0" w:color="auto"/>
      </w:divBdr>
    </w:div>
    <w:div w:id="1226261380">
      <w:bodyDiv w:val="1"/>
      <w:marLeft w:val="0"/>
      <w:marRight w:val="0"/>
      <w:marTop w:val="0"/>
      <w:marBottom w:val="0"/>
      <w:divBdr>
        <w:top w:val="none" w:sz="0" w:space="0" w:color="auto"/>
        <w:left w:val="none" w:sz="0" w:space="0" w:color="auto"/>
        <w:bottom w:val="none" w:sz="0" w:space="0" w:color="auto"/>
        <w:right w:val="none" w:sz="0" w:space="0" w:color="auto"/>
      </w:divBdr>
    </w:div>
    <w:div w:id="1247888028">
      <w:bodyDiv w:val="1"/>
      <w:marLeft w:val="0"/>
      <w:marRight w:val="0"/>
      <w:marTop w:val="0"/>
      <w:marBottom w:val="0"/>
      <w:divBdr>
        <w:top w:val="none" w:sz="0" w:space="0" w:color="auto"/>
        <w:left w:val="none" w:sz="0" w:space="0" w:color="auto"/>
        <w:bottom w:val="none" w:sz="0" w:space="0" w:color="auto"/>
        <w:right w:val="none" w:sz="0" w:space="0" w:color="auto"/>
      </w:divBdr>
    </w:div>
    <w:div w:id="1251281335">
      <w:bodyDiv w:val="1"/>
      <w:marLeft w:val="0"/>
      <w:marRight w:val="0"/>
      <w:marTop w:val="0"/>
      <w:marBottom w:val="0"/>
      <w:divBdr>
        <w:top w:val="none" w:sz="0" w:space="0" w:color="auto"/>
        <w:left w:val="none" w:sz="0" w:space="0" w:color="auto"/>
        <w:bottom w:val="none" w:sz="0" w:space="0" w:color="auto"/>
        <w:right w:val="none" w:sz="0" w:space="0" w:color="auto"/>
      </w:divBdr>
    </w:div>
    <w:div w:id="1311834782">
      <w:bodyDiv w:val="1"/>
      <w:marLeft w:val="0"/>
      <w:marRight w:val="0"/>
      <w:marTop w:val="0"/>
      <w:marBottom w:val="0"/>
      <w:divBdr>
        <w:top w:val="none" w:sz="0" w:space="0" w:color="auto"/>
        <w:left w:val="none" w:sz="0" w:space="0" w:color="auto"/>
        <w:bottom w:val="none" w:sz="0" w:space="0" w:color="auto"/>
        <w:right w:val="none" w:sz="0" w:space="0" w:color="auto"/>
      </w:divBdr>
    </w:div>
    <w:div w:id="1325623294">
      <w:bodyDiv w:val="1"/>
      <w:marLeft w:val="0"/>
      <w:marRight w:val="0"/>
      <w:marTop w:val="0"/>
      <w:marBottom w:val="0"/>
      <w:divBdr>
        <w:top w:val="none" w:sz="0" w:space="0" w:color="auto"/>
        <w:left w:val="none" w:sz="0" w:space="0" w:color="auto"/>
        <w:bottom w:val="none" w:sz="0" w:space="0" w:color="auto"/>
        <w:right w:val="none" w:sz="0" w:space="0" w:color="auto"/>
      </w:divBdr>
    </w:div>
    <w:div w:id="1327707959">
      <w:bodyDiv w:val="1"/>
      <w:marLeft w:val="0"/>
      <w:marRight w:val="0"/>
      <w:marTop w:val="0"/>
      <w:marBottom w:val="0"/>
      <w:divBdr>
        <w:top w:val="none" w:sz="0" w:space="0" w:color="auto"/>
        <w:left w:val="none" w:sz="0" w:space="0" w:color="auto"/>
        <w:bottom w:val="none" w:sz="0" w:space="0" w:color="auto"/>
        <w:right w:val="none" w:sz="0" w:space="0" w:color="auto"/>
      </w:divBdr>
    </w:div>
    <w:div w:id="1345398484">
      <w:bodyDiv w:val="1"/>
      <w:marLeft w:val="0"/>
      <w:marRight w:val="0"/>
      <w:marTop w:val="0"/>
      <w:marBottom w:val="0"/>
      <w:divBdr>
        <w:top w:val="none" w:sz="0" w:space="0" w:color="auto"/>
        <w:left w:val="none" w:sz="0" w:space="0" w:color="auto"/>
        <w:bottom w:val="none" w:sz="0" w:space="0" w:color="auto"/>
        <w:right w:val="none" w:sz="0" w:space="0" w:color="auto"/>
      </w:divBdr>
    </w:div>
    <w:div w:id="1352955659">
      <w:bodyDiv w:val="1"/>
      <w:marLeft w:val="0"/>
      <w:marRight w:val="0"/>
      <w:marTop w:val="0"/>
      <w:marBottom w:val="0"/>
      <w:divBdr>
        <w:top w:val="none" w:sz="0" w:space="0" w:color="auto"/>
        <w:left w:val="none" w:sz="0" w:space="0" w:color="auto"/>
        <w:bottom w:val="none" w:sz="0" w:space="0" w:color="auto"/>
        <w:right w:val="none" w:sz="0" w:space="0" w:color="auto"/>
      </w:divBdr>
    </w:div>
    <w:div w:id="1369793510">
      <w:bodyDiv w:val="1"/>
      <w:marLeft w:val="0"/>
      <w:marRight w:val="0"/>
      <w:marTop w:val="0"/>
      <w:marBottom w:val="0"/>
      <w:divBdr>
        <w:top w:val="none" w:sz="0" w:space="0" w:color="auto"/>
        <w:left w:val="none" w:sz="0" w:space="0" w:color="auto"/>
        <w:bottom w:val="none" w:sz="0" w:space="0" w:color="auto"/>
        <w:right w:val="none" w:sz="0" w:space="0" w:color="auto"/>
      </w:divBdr>
    </w:div>
    <w:div w:id="1386954612">
      <w:bodyDiv w:val="1"/>
      <w:marLeft w:val="0"/>
      <w:marRight w:val="0"/>
      <w:marTop w:val="0"/>
      <w:marBottom w:val="0"/>
      <w:divBdr>
        <w:top w:val="none" w:sz="0" w:space="0" w:color="auto"/>
        <w:left w:val="none" w:sz="0" w:space="0" w:color="auto"/>
        <w:bottom w:val="none" w:sz="0" w:space="0" w:color="auto"/>
        <w:right w:val="none" w:sz="0" w:space="0" w:color="auto"/>
      </w:divBdr>
    </w:div>
    <w:div w:id="1387485719">
      <w:bodyDiv w:val="1"/>
      <w:marLeft w:val="0"/>
      <w:marRight w:val="0"/>
      <w:marTop w:val="0"/>
      <w:marBottom w:val="0"/>
      <w:divBdr>
        <w:top w:val="none" w:sz="0" w:space="0" w:color="auto"/>
        <w:left w:val="none" w:sz="0" w:space="0" w:color="auto"/>
        <w:bottom w:val="none" w:sz="0" w:space="0" w:color="auto"/>
        <w:right w:val="none" w:sz="0" w:space="0" w:color="auto"/>
      </w:divBdr>
    </w:div>
    <w:div w:id="1424186175">
      <w:bodyDiv w:val="1"/>
      <w:marLeft w:val="0"/>
      <w:marRight w:val="0"/>
      <w:marTop w:val="0"/>
      <w:marBottom w:val="0"/>
      <w:divBdr>
        <w:top w:val="none" w:sz="0" w:space="0" w:color="auto"/>
        <w:left w:val="none" w:sz="0" w:space="0" w:color="auto"/>
        <w:bottom w:val="none" w:sz="0" w:space="0" w:color="auto"/>
        <w:right w:val="none" w:sz="0" w:space="0" w:color="auto"/>
      </w:divBdr>
    </w:div>
    <w:div w:id="1428578698">
      <w:bodyDiv w:val="1"/>
      <w:marLeft w:val="0"/>
      <w:marRight w:val="0"/>
      <w:marTop w:val="0"/>
      <w:marBottom w:val="0"/>
      <w:divBdr>
        <w:top w:val="none" w:sz="0" w:space="0" w:color="auto"/>
        <w:left w:val="none" w:sz="0" w:space="0" w:color="auto"/>
        <w:bottom w:val="none" w:sz="0" w:space="0" w:color="auto"/>
        <w:right w:val="none" w:sz="0" w:space="0" w:color="auto"/>
      </w:divBdr>
      <w:divsChild>
        <w:div w:id="558441425">
          <w:marLeft w:val="0"/>
          <w:marRight w:val="0"/>
          <w:marTop w:val="0"/>
          <w:marBottom w:val="0"/>
          <w:divBdr>
            <w:top w:val="none" w:sz="0" w:space="0" w:color="auto"/>
            <w:left w:val="none" w:sz="0" w:space="0" w:color="auto"/>
            <w:bottom w:val="none" w:sz="0" w:space="0" w:color="auto"/>
            <w:right w:val="none" w:sz="0" w:space="0" w:color="auto"/>
          </w:divBdr>
          <w:divsChild>
            <w:div w:id="1750079894">
              <w:marLeft w:val="0"/>
              <w:marRight w:val="0"/>
              <w:marTop w:val="0"/>
              <w:marBottom w:val="0"/>
              <w:divBdr>
                <w:top w:val="none" w:sz="0" w:space="0" w:color="auto"/>
                <w:left w:val="none" w:sz="0" w:space="0" w:color="auto"/>
                <w:bottom w:val="none" w:sz="0" w:space="0" w:color="auto"/>
                <w:right w:val="none" w:sz="0" w:space="0" w:color="auto"/>
              </w:divBdr>
              <w:divsChild>
                <w:div w:id="343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3876">
          <w:marLeft w:val="0"/>
          <w:marRight w:val="0"/>
          <w:marTop w:val="0"/>
          <w:marBottom w:val="0"/>
          <w:divBdr>
            <w:top w:val="none" w:sz="0" w:space="0" w:color="auto"/>
            <w:left w:val="none" w:sz="0" w:space="0" w:color="auto"/>
            <w:bottom w:val="none" w:sz="0" w:space="0" w:color="auto"/>
            <w:right w:val="none" w:sz="0" w:space="0" w:color="auto"/>
          </w:divBdr>
          <w:divsChild>
            <w:div w:id="459155075">
              <w:marLeft w:val="0"/>
              <w:marRight w:val="0"/>
              <w:marTop w:val="0"/>
              <w:marBottom w:val="0"/>
              <w:divBdr>
                <w:top w:val="none" w:sz="0" w:space="0" w:color="auto"/>
                <w:left w:val="none" w:sz="0" w:space="0" w:color="auto"/>
                <w:bottom w:val="none" w:sz="0" w:space="0" w:color="auto"/>
                <w:right w:val="none" w:sz="0" w:space="0" w:color="auto"/>
              </w:divBdr>
              <w:divsChild>
                <w:div w:id="520514379">
                  <w:marLeft w:val="0"/>
                  <w:marRight w:val="0"/>
                  <w:marTop w:val="0"/>
                  <w:marBottom w:val="0"/>
                  <w:divBdr>
                    <w:top w:val="none" w:sz="0" w:space="0" w:color="auto"/>
                    <w:left w:val="none" w:sz="0" w:space="0" w:color="auto"/>
                    <w:bottom w:val="none" w:sz="0" w:space="0" w:color="auto"/>
                    <w:right w:val="none" w:sz="0" w:space="0" w:color="auto"/>
                  </w:divBdr>
                </w:div>
                <w:div w:id="9549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7596">
      <w:bodyDiv w:val="1"/>
      <w:marLeft w:val="0"/>
      <w:marRight w:val="0"/>
      <w:marTop w:val="0"/>
      <w:marBottom w:val="0"/>
      <w:divBdr>
        <w:top w:val="none" w:sz="0" w:space="0" w:color="auto"/>
        <w:left w:val="none" w:sz="0" w:space="0" w:color="auto"/>
        <w:bottom w:val="none" w:sz="0" w:space="0" w:color="auto"/>
        <w:right w:val="none" w:sz="0" w:space="0" w:color="auto"/>
      </w:divBdr>
    </w:div>
    <w:div w:id="1441608510">
      <w:bodyDiv w:val="1"/>
      <w:marLeft w:val="0"/>
      <w:marRight w:val="0"/>
      <w:marTop w:val="0"/>
      <w:marBottom w:val="0"/>
      <w:divBdr>
        <w:top w:val="none" w:sz="0" w:space="0" w:color="auto"/>
        <w:left w:val="none" w:sz="0" w:space="0" w:color="auto"/>
        <w:bottom w:val="none" w:sz="0" w:space="0" w:color="auto"/>
        <w:right w:val="none" w:sz="0" w:space="0" w:color="auto"/>
      </w:divBdr>
    </w:div>
    <w:div w:id="1445419314">
      <w:bodyDiv w:val="1"/>
      <w:marLeft w:val="0"/>
      <w:marRight w:val="0"/>
      <w:marTop w:val="0"/>
      <w:marBottom w:val="0"/>
      <w:divBdr>
        <w:top w:val="none" w:sz="0" w:space="0" w:color="auto"/>
        <w:left w:val="none" w:sz="0" w:space="0" w:color="auto"/>
        <w:bottom w:val="none" w:sz="0" w:space="0" w:color="auto"/>
        <w:right w:val="none" w:sz="0" w:space="0" w:color="auto"/>
      </w:divBdr>
    </w:div>
    <w:div w:id="1459491449">
      <w:bodyDiv w:val="1"/>
      <w:marLeft w:val="0"/>
      <w:marRight w:val="0"/>
      <w:marTop w:val="0"/>
      <w:marBottom w:val="0"/>
      <w:divBdr>
        <w:top w:val="none" w:sz="0" w:space="0" w:color="auto"/>
        <w:left w:val="none" w:sz="0" w:space="0" w:color="auto"/>
        <w:bottom w:val="none" w:sz="0" w:space="0" w:color="auto"/>
        <w:right w:val="none" w:sz="0" w:space="0" w:color="auto"/>
      </w:divBdr>
    </w:div>
    <w:div w:id="1478886460">
      <w:bodyDiv w:val="1"/>
      <w:marLeft w:val="0"/>
      <w:marRight w:val="0"/>
      <w:marTop w:val="0"/>
      <w:marBottom w:val="0"/>
      <w:divBdr>
        <w:top w:val="none" w:sz="0" w:space="0" w:color="auto"/>
        <w:left w:val="none" w:sz="0" w:space="0" w:color="auto"/>
        <w:bottom w:val="none" w:sz="0" w:space="0" w:color="auto"/>
        <w:right w:val="none" w:sz="0" w:space="0" w:color="auto"/>
      </w:divBdr>
    </w:div>
    <w:div w:id="1521162786">
      <w:bodyDiv w:val="1"/>
      <w:marLeft w:val="0"/>
      <w:marRight w:val="0"/>
      <w:marTop w:val="0"/>
      <w:marBottom w:val="0"/>
      <w:divBdr>
        <w:top w:val="none" w:sz="0" w:space="0" w:color="auto"/>
        <w:left w:val="none" w:sz="0" w:space="0" w:color="auto"/>
        <w:bottom w:val="none" w:sz="0" w:space="0" w:color="auto"/>
        <w:right w:val="none" w:sz="0" w:space="0" w:color="auto"/>
      </w:divBdr>
    </w:div>
    <w:div w:id="1524247711">
      <w:bodyDiv w:val="1"/>
      <w:marLeft w:val="0"/>
      <w:marRight w:val="0"/>
      <w:marTop w:val="0"/>
      <w:marBottom w:val="0"/>
      <w:divBdr>
        <w:top w:val="none" w:sz="0" w:space="0" w:color="auto"/>
        <w:left w:val="none" w:sz="0" w:space="0" w:color="auto"/>
        <w:bottom w:val="none" w:sz="0" w:space="0" w:color="auto"/>
        <w:right w:val="none" w:sz="0" w:space="0" w:color="auto"/>
      </w:divBdr>
    </w:div>
    <w:div w:id="1550847825">
      <w:bodyDiv w:val="1"/>
      <w:marLeft w:val="0"/>
      <w:marRight w:val="0"/>
      <w:marTop w:val="0"/>
      <w:marBottom w:val="0"/>
      <w:divBdr>
        <w:top w:val="none" w:sz="0" w:space="0" w:color="auto"/>
        <w:left w:val="none" w:sz="0" w:space="0" w:color="auto"/>
        <w:bottom w:val="none" w:sz="0" w:space="0" w:color="auto"/>
        <w:right w:val="none" w:sz="0" w:space="0" w:color="auto"/>
      </w:divBdr>
    </w:div>
    <w:div w:id="1556352341">
      <w:bodyDiv w:val="1"/>
      <w:marLeft w:val="0"/>
      <w:marRight w:val="0"/>
      <w:marTop w:val="0"/>
      <w:marBottom w:val="0"/>
      <w:divBdr>
        <w:top w:val="none" w:sz="0" w:space="0" w:color="auto"/>
        <w:left w:val="none" w:sz="0" w:space="0" w:color="auto"/>
        <w:bottom w:val="none" w:sz="0" w:space="0" w:color="auto"/>
        <w:right w:val="none" w:sz="0" w:space="0" w:color="auto"/>
      </w:divBdr>
    </w:div>
    <w:div w:id="1557086795">
      <w:bodyDiv w:val="1"/>
      <w:marLeft w:val="0"/>
      <w:marRight w:val="0"/>
      <w:marTop w:val="0"/>
      <w:marBottom w:val="0"/>
      <w:divBdr>
        <w:top w:val="none" w:sz="0" w:space="0" w:color="auto"/>
        <w:left w:val="none" w:sz="0" w:space="0" w:color="auto"/>
        <w:bottom w:val="none" w:sz="0" w:space="0" w:color="auto"/>
        <w:right w:val="none" w:sz="0" w:space="0" w:color="auto"/>
      </w:divBdr>
    </w:div>
    <w:div w:id="1584218644">
      <w:bodyDiv w:val="1"/>
      <w:marLeft w:val="0"/>
      <w:marRight w:val="0"/>
      <w:marTop w:val="0"/>
      <w:marBottom w:val="0"/>
      <w:divBdr>
        <w:top w:val="none" w:sz="0" w:space="0" w:color="auto"/>
        <w:left w:val="none" w:sz="0" w:space="0" w:color="auto"/>
        <w:bottom w:val="none" w:sz="0" w:space="0" w:color="auto"/>
        <w:right w:val="none" w:sz="0" w:space="0" w:color="auto"/>
      </w:divBdr>
    </w:div>
    <w:div w:id="1584994022">
      <w:bodyDiv w:val="1"/>
      <w:marLeft w:val="0"/>
      <w:marRight w:val="0"/>
      <w:marTop w:val="0"/>
      <w:marBottom w:val="0"/>
      <w:divBdr>
        <w:top w:val="none" w:sz="0" w:space="0" w:color="auto"/>
        <w:left w:val="none" w:sz="0" w:space="0" w:color="auto"/>
        <w:bottom w:val="none" w:sz="0" w:space="0" w:color="auto"/>
        <w:right w:val="none" w:sz="0" w:space="0" w:color="auto"/>
      </w:divBdr>
    </w:div>
    <w:div w:id="1596862545">
      <w:bodyDiv w:val="1"/>
      <w:marLeft w:val="0"/>
      <w:marRight w:val="0"/>
      <w:marTop w:val="0"/>
      <w:marBottom w:val="0"/>
      <w:divBdr>
        <w:top w:val="none" w:sz="0" w:space="0" w:color="auto"/>
        <w:left w:val="none" w:sz="0" w:space="0" w:color="auto"/>
        <w:bottom w:val="none" w:sz="0" w:space="0" w:color="auto"/>
        <w:right w:val="none" w:sz="0" w:space="0" w:color="auto"/>
      </w:divBdr>
    </w:div>
    <w:div w:id="1598633730">
      <w:bodyDiv w:val="1"/>
      <w:marLeft w:val="0"/>
      <w:marRight w:val="0"/>
      <w:marTop w:val="0"/>
      <w:marBottom w:val="0"/>
      <w:divBdr>
        <w:top w:val="none" w:sz="0" w:space="0" w:color="auto"/>
        <w:left w:val="none" w:sz="0" w:space="0" w:color="auto"/>
        <w:bottom w:val="none" w:sz="0" w:space="0" w:color="auto"/>
        <w:right w:val="none" w:sz="0" w:space="0" w:color="auto"/>
      </w:divBdr>
    </w:div>
    <w:div w:id="1604722879">
      <w:bodyDiv w:val="1"/>
      <w:marLeft w:val="0"/>
      <w:marRight w:val="0"/>
      <w:marTop w:val="0"/>
      <w:marBottom w:val="0"/>
      <w:divBdr>
        <w:top w:val="none" w:sz="0" w:space="0" w:color="auto"/>
        <w:left w:val="none" w:sz="0" w:space="0" w:color="auto"/>
        <w:bottom w:val="none" w:sz="0" w:space="0" w:color="auto"/>
        <w:right w:val="none" w:sz="0" w:space="0" w:color="auto"/>
      </w:divBdr>
    </w:div>
    <w:div w:id="1611669646">
      <w:bodyDiv w:val="1"/>
      <w:marLeft w:val="0"/>
      <w:marRight w:val="0"/>
      <w:marTop w:val="0"/>
      <w:marBottom w:val="0"/>
      <w:divBdr>
        <w:top w:val="none" w:sz="0" w:space="0" w:color="auto"/>
        <w:left w:val="none" w:sz="0" w:space="0" w:color="auto"/>
        <w:bottom w:val="none" w:sz="0" w:space="0" w:color="auto"/>
        <w:right w:val="none" w:sz="0" w:space="0" w:color="auto"/>
      </w:divBdr>
    </w:div>
    <w:div w:id="1636713544">
      <w:bodyDiv w:val="1"/>
      <w:marLeft w:val="0"/>
      <w:marRight w:val="0"/>
      <w:marTop w:val="0"/>
      <w:marBottom w:val="0"/>
      <w:divBdr>
        <w:top w:val="none" w:sz="0" w:space="0" w:color="auto"/>
        <w:left w:val="none" w:sz="0" w:space="0" w:color="auto"/>
        <w:bottom w:val="none" w:sz="0" w:space="0" w:color="auto"/>
        <w:right w:val="none" w:sz="0" w:space="0" w:color="auto"/>
      </w:divBdr>
    </w:div>
    <w:div w:id="1639383935">
      <w:bodyDiv w:val="1"/>
      <w:marLeft w:val="0"/>
      <w:marRight w:val="0"/>
      <w:marTop w:val="0"/>
      <w:marBottom w:val="0"/>
      <w:divBdr>
        <w:top w:val="none" w:sz="0" w:space="0" w:color="auto"/>
        <w:left w:val="none" w:sz="0" w:space="0" w:color="auto"/>
        <w:bottom w:val="none" w:sz="0" w:space="0" w:color="auto"/>
        <w:right w:val="none" w:sz="0" w:space="0" w:color="auto"/>
      </w:divBdr>
    </w:div>
    <w:div w:id="1641576968">
      <w:bodyDiv w:val="1"/>
      <w:marLeft w:val="0"/>
      <w:marRight w:val="0"/>
      <w:marTop w:val="0"/>
      <w:marBottom w:val="0"/>
      <w:divBdr>
        <w:top w:val="none" w:sz="0" w:space="0" w:color="auto"/>
        <w:left w:val="none" w:sz="0" w:space="0" w:color="auto"/>
        <w:bottom w:val="none" w:sz="0" w:space="0" w:color="auto"/>
        <w:right w:val="none" w:sz="0" w:space="0" w:color="auto"/>
      </w:divBdr>
    </w:div>
    <w:div w:id="1672827437">
      <w:bodyDiv w:val="1"/>
      <w:marLeft w:val="0"/>
      <w:marRight w:val="0"/>
      <w:marTop w:val="0"/>
      <w:marBottom w:val="0"/>
      <w:divBdr>
        <w:top w:val="none" w:sz="0" w:space="0" w:color="auto"/>
        <w:left w:val="none" w:sz="0" w:space="0" w:color="auto"/>
        <w:bottom w:val="none" w:sz="0" w:space="0" w:color="auto"/>
        <w:right w:val="none" w:sz="0" w:space="0" w:color="auto"/>
      </w:divBdr>
      <w:divsChild>
        <w:div w:id="1356349848">
          <w:marLeft w:val="0"/>
          <w:marRight w:val="0"/>
          <w:marTop w:val="0"/>
          <w:marBottom w:val="225"/>
          <w:divBdr>
            <w:top w:val="none" w:sz="0" w:space="0" w:color="auto"/>
            <w:left w:val="none" w:sz="0" w:space="0" w:color="auto"/>
            <w:bottom w:val="none" w:sz="0" w:space="0" w:color="auto"/>
            <w:right w:val="none" w:sz="0" w:space="0" w:color="auto"/>
          </w:divBdr>
          <w:divsChild>
            <w:div w:id="1629779528">
              <w:marLeft w:val="0"/>
              <w:marRight w:val="0"/>
              <w:marTop w:val="0"/>
              <w:marBottom w:val="0"/>
              <w:divBdr>
                <w:top w:val="none" w:sz="0" w:space="0" w:color="auto"/>
                <w:left w:val="none" w:sz="0" w:space="0" w:color="auto"/>
                <w:bottom w:val="none" w:sz="0" w:space="0" w:color="auto"/>
                <w:right w:val="none" w:sz="0" w:space="0" w:color="auto"/>
              </w:divBdr>
              <w:divsChild>
                <w:div w:id="894657152">
                  <w:marLeft w:val="0"/>
                  <w:marRight w:val="0"/>
                  <w:marTop w:val="0"/>
                  <w:marBottom w:val="0"/>
                  <w:divBdr>
                    <w:top w:val="none" w:sz="0" w:space="0" w:color="auto"/>
                    <w:left w:val="none" w:sz="0" w:space="0" w:color="auto"/>
                    <w:bottom w:val="none" w:sz="0" w:space="0" w:color="auto"/>
                    <w:right w:val="none" w:sz="0" w:space="0" w:color="auto"/>
                  </w:divBdr>
                  <w:divsChild>
                    <w:div w:id="1809785716">
                      <w:marLeft w:val="0"/>
                      <w:marRight w:val="0"/>
                      <w:marTop w:val="0"/>
                      <w:marBottom w:val="0"/>
                      <w:divBdr>
                        <w:top w:val="none" w:sz="0" w:space="0" w:color="auto"/>
                        <w:left w:val="none" w:sz="0" w:space="0" w:color="auto"/>
                        <w:bottom w:val="none" w:sz="0" w:space="0" w:color="auto"/>
                        <w:right w:val="none" w:sz="0" w:space="0" w:color="auto"/>
                      </w:divBdr>
                    </w:div>
                    <w:div w:id="538009851">
                      <w:marLeft w:val="0"/>
                      <w:marRight w:val="0"/>
                      <w:marTop w:val="0"/>
                      <w:marBottom w:val="0"/>
                      <w:divBdr>
                        <w:top w:val="none" w:sz="0" w:space="0" w:color="auto"/>
                        <w:left w:val="none" w:sz="0" w:space="0" w:color="auto"/>
                        <w:bottom w:val="none" w:sz="0" w:space="0" w:color="auto"/>
                        <w:right w:val="none" w:sz="0" w:space="0" w:color="auto"/>
                      </w:divBdr>
                    </w:div>
                    <w:div w:id="427164464">
                      <w:marLeft w:val="0"/>
                      <w:marRight w:val="0"/>
                      <w:marTop w:val="0"/>
                      <w:marBottom w:val="0"/>
                      <w:divBdr>
                        <w:top w:val="none" w:sz="0" w:space="0" w:color="auto"/>
                        <w:left w:val="none" w:sz="0" w:space="0" w:color="auto"/>
                        <w:bottom w:val="none" w:sz="0" w:space="0" w:color="auto"/>
                        <w:right w:val="none" w:sz="0" w:space="0" w:color="auto"/>
                      </w:divBdr>
                    </w:div>
                    <w:div w:id="1681006745">
                      <w:marLeft w:val="0"/>
                      <w:marRight w:val="0"/>
                      <w:marTop w:val="0"/>
                      <w:marBottom w:val="0"/>
                      <w:divBdr>
                        <w:top w:val="none" w:sz="0" w:space="0" w:color="auto"/>
                        <w:left w:val="none" w:sz="0" w:space="0" w:color="auto"/>
                        <w:bottom w:val="none" w:sz="0" w:space="0" w:color="auto"/>
                        <w:right w:val="none" w:sz="0" w:space="0" w:color="auto"/>
                      </w:divBdr>
                    </w:div>
                    <w:div w:id="453837076">
                      <w:marLeft w:val="0"/>
                      <w:marRight w:val="0"/>
                      <w:marTop w:val="0"/>
                      <w:marBottom w:val="0"/>
                      <w:divBdr>
                        <w:top w:val="none" w:sz="0" w:space="0" w:color="auto"/>
                        <w:left w:val="none" w:sz="0" w:space="0" w:color="auto"/>
                        <w:bottom w:val="none" w:sz="0" w:space="0" w:color="auto"/>
                        <w:right w:val="none" w:sz="0" w:space="0" w:color="auto"/>
                      </w:divBdr>
                    </w:div>
                    <w:div w:id="1609315813">
                      <w:marLeft w:val="0"/>
                      <w:marRight w:val="0"/>
                      <w:marTop w:val="0"/>
                      <w:marBottom w:val="0"/>
                      <w:divBdr>
                        <w:top w:val="none" w:sz="0" w:space="0" w:color="auto"/>
                        <w:left w:val="none" w:sz="0" w:space="0" w:color="auto"/>
                        <w:bottom w:val="none" w:sz="0" w:space="0" w:color="auto"/>
                        <w:right w:val="none" w:sz="0" w:space="0" w:color="auto"/>
                      </w:divBdr>
                    </w:div>
                    <w:div w:id="668561667">
                      <w:marLeft w:val="0"/>
                      <w:marRight w:val="0"/>
                      <w:marTop w:val="0"/>
                      <w:marBottom w:val="0"/>
                      <w:divBdr>
                        <w:top w:val="none" w:sz="0" w:space="0" w:color="auto"/>
                        <w:left w:val="none" w:sz="0" w:space="0" w:color="auto"/>
                        <w:bottom w:val="none" w:sz="0" w:space="0" w:color="auto"/>
                        <w:right w:val="none" w:sz="0" w:space="0" w:color="auto"/>
                      </w:divBdr>
                    </w:div>
                    <w:div w:id="453401561">
                      <w:marLeft w:val="0"/>
                      <w:marRight w:val="0"/>
                      <w:marTop w:val="0"/>
                      <w:marBottom w:val="0"/>
                      <w:divBdr>
                        <w:top w:val="none" w:sz="0" w:space="0" w:color="auto"/>
                        <w:left w:val="none" w:sz="0" w:space="0" w:color="auto"/>
                        <w:bottom w:val="none" w:sz="0" w:space="0" w:color="auto"/>
                        <w:right w:val="none" w:sz="0" w:space="0" w:color="auto"/>
                      </w:divBdr>
                    </w:div>
                    <w:div w:id="863982152">
                      <w:marLeft w:val="0"/>
                      <w:marRight w:val="0"/>
                      <w:marTop w:val="0"/>
                      <w:marBottom w:val="0"/>
                      <w:divBdr>
                        <w:top w:val="none" w:sz="0" w:space="0" w:color="auto"/>
                        <w:left w:val="none" w:sz="0" w:space="0" w:color="auto"/>
                        <w:bottom w:val="none" w:sz="0" w:space="0" w:color="auto"/>
                        <w:right w:val="none" w:sz="0" w:space="0" w:color="auto"/>
                      </w:divBdr>
                    </w:div>
                    <w:div w:id="652683357">
                      <w:marLeft w:val="0"/>
                      <w:marRight w:val="0"/>
                      <w:marTop w:val="0"/>
                      <w:marBottom w:val="0"/>
                      <w:divBdr>
                        <w:top w:val="none" w:sz="0" w:space="0" w:color="auto"/>
                        <w:left w:val="none" w:sz="0" w:space="0" w:color="auto"/>
                        <w:bottom w:val="none" w:sz="0" w:space="0" w:color="auto"/>
                        <w:right w:val="none" w:sz="0" w:space="0" w:color="auto"/>
                      </w:divBdr>
                    </w:div>
                    <w:div w:id="123893256">
                      <w:marLeft w:val="0"/>
                      <w:marRight w:val="0"/>
                      <w:marTop w:val="0"/>
                      <w:marBottom w:val="0"/>
                      <w:divBdr>
                        <w:top w:val="none" w:sz="0" w:space="0" w:color="auto"/>
                        <w:left w:val="none" w:sz="0" w:space="0" w:color="auto"/>
                        <w:bottom w:val="none" w:sz="0" w:space="0" w:color="auto"/>
                        <w:right w:val="none" w:sz="0" w:space="0" w:color="auto"/>
                      </w:divBdr>
                    </w:div>
                    <w:div w:id="1155336408">
                      <w:marLeft w:val="0"/>
                      <w:marRight w:val="0"/>
                      <w:marTop w:val="0"/>
                      <w:marBottom w:val="0"/>
                      <w:divBdr>
                        <w:top w:val="none" w:sz="0" w:space="0" w:color="auto"/>
                        <w:left w:val="none" w:sz="0" w:space="0" w:color="auto"/>
                        <w:bottom w:val="none" w:sz="0" w:space="0" w:color="auto"/>
                        <w:right w:val="none" w:sz="0" w:space="0" w:color="auto"/>
                      </w:divBdr>
                    </w:div>
                    <w:div w:id="1671255273">
                      <w:marLeft w:val="0"/>
                      <w:marRight w:val="0"/>
                      <w:marTop w:val="0"/>
                      <w:marBottom w:val="0"/>
                      <w:divBdr>
                        <w:top w:val="none" w:sz="0" w:space="0" w:color="auto"/>
                        <w:left w:val="none" w:sz="0" w:space="0" w:color="auto"/>
                        <w:bottom w:val="none" w:sz="0" w:space="0" w:color="auto"/>
                        <w:right w:val="none" w:sz="0" w:space="0" w:color="auto"/>
                      </w:divBdr>
                    </w:div>
                    <w:div w:id="106583270">
                      <w:marLeft w:val="0"/>
                      <w:marRight w:val="0"/>
                      <w:marTop w:val="0"/>
                      <w:marBottom w:val="0"/>
                      <w:divBdr>
                        <w:top w:val="none" w:sz="0" w:space="0" w:color="auto"/>
                        <w:left w:val="none" w:sz="0" w:space="0" w:color="auto"/>
                        <w:bottom w:val="none" w:sz="0" w:space="0" w:color="auto"/>
                        <w:right w:val="none" w:sz="0" w:space="0" w:color="auto"/>
                      </w:divBdr>
                    </w:div>
                    <w:div w:id="545339261">
                      <w:marLeft w:val="0"/>
                      <w:marRight w:val="0"/>
                      <w:marTop w:val="0"/>
                      <w:marBottom w:val="0"/>
                      <w:divBdr>
                        <w:top w:val="none" w:sz="0" w:space="0" w:color="auto"/>
                        <w:left w:val="none" w:sz="0" w:space="0" w:color="auto"/>
                        <w:bottom w:val="none" w:sz="0" w:space="0" w:color="auto"/>
                        <w:right w:val="none" w:sz="0" w:space="0" w:color="auto"/>
                      </w:divBdr>
                    </w:div>
                    <w:div w:id="1228489894">
                      <w:marLeft w:val="0"/>
                      <w:marRight w:val="0"/>
                      <w:marTop w:val="0"/>
                      <w:marBottom w:val="0"/>
                      <w:divBdr>
                        <w:top w:val="none" w:sz="0" w:space="0" w:color="auto"/>
                        <w:left w:val="none" w:sz="0" w:space="0" w:color="auto"/>
                        <w:bottom w:val="none" w:sz="0" w:space="0" w:color="auto"/>
                        <w:right w:val="none" w:sz="0" w:space="0" w:color="auto"/>
                      </w:divBdr>
                    </w:div>
                    <w:div w:id="760419929">
                      <w:marLeft w:val="0"/>
                      <w:marRight w:val="0"/>
                      <w:marTop w:val="0"/>
                      <w:marBottom w:val="0"/>
                      <w:divBdr>
                        <w:top w:val="none" w:sz="0" w:space="0" w:color="auto"/>
                        <w:left w:val="none" w:sz="0" w:space="0" w:color="auto"/>
                        <w:bottom w:val="none" w:sz="0" w:space="0" w:color="auto"/>
                        <w:right w:val="none" w:sz="0" w:space="0" w:color="auto"/>
                      </w:divBdr>
                    </w:div>
                    <w:div w:id="1868251526">
                      <w:marLeft w:val="0"/>
                      <w:marRight w:val="0"/>
                      <w:marTop w:val="0"/>
                      <w:marBottom w:val="0"/>
                      <w:divBdr>
                        <w:top w:val="none" w:sz="0" w:space="0" w:color="auto"/>
                        <w:left w:val="none" w:sz="0" w:space="0" w:color="auto"/>
                        <w:bottom w:val="none" w:sz="0" w:space="0" w:color="auto"/>
                        <w:right w:val="none" w:sz="0" w:space="0" w:color="auto"/>
                      </w:divBdr>
                    </w:div>
                    <w:div w:id="1539314764">
                      <w:marLeft w:val="0"/>
                      <w:marRight w:val="0"/>
                      <w:marTop w:val="0"/>
                      <w:marBottom w:val="0"/>
                      <w:divBdr>
                        <w:top w:val="none" w:sz="0" w:space="0" w:color="auto"/>
                        <w:left w:val="none" w:sz="0" w:space="0" w:color="auto"/>
                        <w:bottom w:val="none" w:sz="0" w:space="0" w:color="auto"/>
                        <w:right w:val="none" w:sz="0" w:space="0" w:color="auto"/>
                      </w:divBdr>
                    </w:div>
                    <w:div w:id="1130511794">
                      <w:marLeft w:val="0"/>
                      <w:marRight w:val="0"/>
                      <w:marTop w:val="0"/>
                      <w:marBottom w:val="0"/>
                      <w:divBdr>
                        <w:top w:val="none" w:sz="0" w:space="0" w:color="auto"/>
                        <w:left w:val="none" w:sz="0" w:space="0" w:color="auto"/>
                        <w:bottom w:val="none" w:sz="0" w:space="0" w:color="auto"/>
                        <w:right w:val="none" w:sz="0" w:space="0" w:color="auto"/>
                      </w:divBdr>
                    </w:div>
                    <w:div w:id="2078933980">
                      <w:marLeft w:val="0"/>
                      <w:marRight w:val="0"/>
                      <w:marTop w:val="0"/>
                      <w:marBottom w:val="0"/>
                      <w:divBdr>
                        <w:top w:val="none" w:sz="0" w:space="0" w:color="auto"/>
                        <w:left w:val="none" w:sz="0" w:space="0" w:color="auto"/>
                        <w:bottom w:val="none" w:sz="0" w:space="0" w:color="auto"/>
                        <w:right w:val="none" w:sz="0" w:space="0" w:color="auto"/>
                      </w:divBdr>
                    </w:div>
                    <w:div w:id="285041167">
                      <w:marLeft w:val="0"/>
                      <w:marRight w:val="0"/>
                      <w:marTop w:val="0"/>
                      <w:marBottom w:val="0"/>
                      <w:divBdr>
                        <w:top w:val="none" w:sz="0" w:space="0" w:color="auto"/>
                        <w:left w:val="none" w:sz="0" w:space="0" w:color="auto"/>
                        <w:bottom w:val="none" w:sz="0" w:space="0" w:color="auto"/>
                        <w:right w:val="none" w:sz="0" w:space="0" w:color="auto"/>
                      </w:divBdr>
                    </w:div>
                    <w:div w:id="1947809645">
                      <w:marLeft w:val="0"/>
                      <w:marRight w:val="0"/>
                      <w:marTop w:val="0"/>
                      <w:marBottom w:val="0"/>
                      <w:divBdr>
                        <w:top w:val="none" w:sz="0" w:space="0" w:color="auto"/>
                        <w:left w:val="none" w:sz="0" w:space="0" w:color="auto"/>
                        <w:bottom w:val="none" w:sz="0" w:space="0" w:color="auto"/>
                        <w:right w:val="none" w:sz="0" w:space="0" w:color="auto"/>
                      </w:divBdr>
                    </w:div>
                    <w:div w:id="1846358541">
                      <w:marLeft w:val="0"/>
                      <w:marRight w:val="0"/>
                      <w:marTop w:val="0"/>
                      <w:marBottom w:val="0"/>
                      <w:divBdr>
                        <w:top w:val="none" w:sz="0" w:space="0" w:color="auto"/>
                        <w:left w:val="none" w:sz="0" w:space="0" w:color="auto"/>
                        <w:bottom w:val="none" w:sz="0" w:space="0" w:color="auto"/>
                        <w:right w:val="none" w:sz="0" w:space="0" w:color="auto"/>
                      </w:divBdr>
                    </w:div>
                    <w:div w:id="963778356">
                      <w:marLeft w:val="0"/>
                      <w:marRight w:val="0"/>
                      <w:marTop w:val="0"/>
                      <w:marBottom w:val="0"/>
                      <w:divBdr>
                        <w:top w:val="none" w:sz="0" w:space="0" w:color="auto"/>
                        <w:left w:val="none" w:sz="0" w:space="0" w:color="auto"/>
                        <w:bottom w:val="none" w:sz="0" w:space="0" w:color="auto"/>
                        <w:right w:val="none" w:sz="0" w:space="0" w:color="auto"/>
                      </w:divBdr>
                    </w:div>
                    <w:div w:id="1185442587">
                      <w:marLeft w:val="0"/>
                      <w:marRight w:val="0"/>
                      <w:marTop w:val="0"/>
                      <w:marBottom w:val="0"/>
                      <w:divBdr>
                        <w:top w:val="none" w:sz="0" w:space="0" w:color="auto"/>
                        <w:left w:val="none" w:sz="0" w:space="0" w:color="auto"/>
                        <w:bottom w:val="none" w:sz="0" w:space="0" w:color="auto"/>
                        <w:right w:val="none" w:sz="0" w:space="0" w:color="auto"/>
                      </w:divBdr>
                    </w:div>
                    <w:div w:id="321079703">
                      <w:marLeft w:val="0"/>
                      <w:marRight w:val="0"/>
                      <w:marTop w:val="0"/>
                      <w:marBottom w:val="0"/>
                      <w:divBdr>
                        <w:top w:val="none" w:sz="0" w:space="0" w:color="auto"/>
                        <w:left w:val="none" w:sz="0" w:space="0" w:color="auto"/>
                        <w:bottom w:val="none" w:sz="0" w:space="0" w:color="auto"/>
                        <w:right w:val="none" w:sz="0" w:space="0" w:color="auto"/>
                      </w:divBdr>
                    </w:div>
                    <w:div w:id="1448041206">
                      <w:marLeft w:val="0"/>
                      <w:marRight w:val="0"/>
                      <w:marTop w:val="0"/>
                      <w:marBottom w:val="0"/>
                      <w:divBdr>
                        <w:top w:val="none" w:sz="0" w:space="0" w:color="auto"/>
                        <w:left w:val="none" w:sz="0" w:space="0" w:color="auto"/>
                        <w:bottom w:val="none" w:sz="0" w:space="0" w:color="auto"/>
                        <w:right w:val="none" w:sz="0" w:space="0" w:color="auto"/>
                      </w:divBdr>
                    </w:div>
                    <w:div w:id="753744242">
                      <w:marLeft w:val="0"/>
                      <w:marRight w:val="0"/>
                      <w:marTop w:val="0"/>
                      <w:marBottom w:val="0"/>
                      <w:divBdr>
                        <w:top w:val="none" w:sz="0" w:space="0" w:color="auto"/>
                        <w:left w:val="none" w:sz="0" w:space="0" w:color="auto"/>
                        <w:bottom w:val="none" w:sz="0" w:space="0" w:color="auto"/>
                        <w:right w:val="none" w:sz="0" w:space="0" w:color="auto"/>
                      </w:divBdr>
                    </w:div>
                    <w:div w:id="1725257434">
                      <w:marLeft w:val="0"/>
                      <w:marRight w:val="0"/>
                      <w:marTop w:val="0"/>
                      <w:marBottom w:val="0"/>
                      <w:divBdr>
                        <w:top w:val="none" w:sz="0" w:space="0" w:color="auto"/>
                        <w:left w:val="none" w:sz="0" w:space="0" w:color="auto"/>
                        <w:bottom w:val="none" w:sz="0" w:space="0" w:color="auto"/>
                        <w:right w:val="none" w:sz="0" w:space="0" w:color="auto"/>
                      </w:divBdr>
                    </w:div>
                    <w:div w:id="168521139">
                      <w:marLeft w:val="0"/>
                      <w:marRight w:val="0"/>
                      <w:marTop w:val="0"/>
                      <w:marBottom w:val="0"/>
                      <w:divBdr>
                        <w:top w:val="none" w:sz="0" w:space="0" w:color="auto"/>
                        <w:left w:val="none" w:sz="0" w:space="0" w:color="auto"/>
                        <w:bottom w:val="none" w:sz="0" w:space="0" w:color="auto"/>
                        <w:right w:val="none" w:sz="0" w:space="0" w:color="auto"/>
                      </w:divBdr>
                    </w:div>
                    <w:div w:id="203441762">
                      <w:marLeft w:val="0"/>
                      <w:marRight w:val="0"/>
                      <w:marTop w:val="0"/>
                      <w:marBottom w:val="0"/>
                      <w:divBdr>
                        <w:top w:val="none" w:sz="0" w:space="0" w:color="auto"/>
                        <w:left w:val="none" w:sz="0" w:space="0" w:color="auto"/>
                        <w:bottom w:val="none" w:sz="0" w:space="0" w:color="auto"/>
                        <w:right w:val="none" w:sz="0" w:space="0" w:color="auto"/>
                      </w:divBdr>
                    </w:div>
                    <w:div w:id="683895202">
                      <w:marLeft w:val="0"/>
                      <w:marRight w:val="0"/>
                      <w:marTop w:val="0"/>
                      <w:marBottom w:val="0"/>
                      <w:divBdr>
                        <w:top w:val="none" w:sz="0" w:space="0" w:color="auto"/>
                        <w:left w:val="none" w:sz="0" w:space="0" w:color="auto"/>
                        <w:bottom w:val="none" w:sz="0" w:space="0" w:color="auto"/>
                        <w:right w:val="none" w:sz="0" w:space="0" w:color="auto"/>
                      </w:divBdr>
                    </w:div>
                    <w:div w:id="95561406">
                      <w:marLeft w:val="0"/>
                      <w:marRight w:val="0"/>
                      <w:marTop w:val="0"/>
                      <w:marBottom w:val="0"/>
                      <w:divBdr>
                        <w:top w:val="none" w:sz="0" w:space="0" w:color="auto"/>
                        <w:left w:val="none" w:sz="0" w:space="0" w:color="auto"/>
                        <w:bottom w:val="none" w:sz="0" w:space="0" w:color="auto"/>
                        <w:right w:val="none" w:sz="0" w:space="0" w:color="auto"/>
                      </w:divBdr>
                    </w:div>
                    <w:div w:id="1445424791">
                      <w:marLeft w:val="0"/>
                      <w:marRight w:val="0"/>
                      <w:marTop w:val="0"/>
                      <w:marBottom w:val="0"/>
                      <w:divBdr>
                        <w:top w:val="none" w:sz="0" w:space="0" w:color="auto"/>
                        <w:left w:val="none" w:sz="0" w:space="0" w:color="auto"/>
                        <w:bottom w:val="none" w:sz="0" w:space="0" w:color="auto"/>
                        <w:right w:val="none" w:sz="0" w:space="0" w:color="auto"/>
                      </w:divBdr>
                    </w:div>
                    <w:div w:id="1296989850">
                      <w:marLeft w:val="0"/>
                      <w:marRight w:val="0"/>
                      <w:marTop w:val="0"/>
                      <w:marBottom w:val="0"/>
                      <w:divBdr>
                        <w:top w:val="none" w:sz="0" w:space="0" w:color="auto"/>
                        <w:left w:val="none" w:sz="0" w:space="0" w:color="auto"/>
                        <w:bottom w:val="none" w:sz="0" w:space="0" w:color="auto"/>
                        <w:right w:val="none" w:sz="0" w:space="0" w:color="auto"/>
                      </w:divBdr>
                    </w:div>
                    <w:div w:id="290019451">
                      <w:marLeft w:val="0"/>
                      <w:marRight w:val="0"/>
                      <w:marTop w:val="0"/>
                      <w:marBottom w:val="0"/>
                      <w:divBdr>
                        <w:top w:val="none" w:sz="0" w:space="0" w:color="auto"/>
                        <w:left w:val="none" w:sz="0" w:space="0" w:color="auto"/>
                        <w:bottom w:val="none" w:sz="0" w:space="0" w:color="auto"/>
                        <w:right w:val="none" w:sz="0" w:space="0" w:color="auto"/>
                      </w:divBdr>
                    </w:div>
                    <w:div w:id="122232455">
                      <w:marLeft w:val="0"/>
                      <w:marRight w:val="0"/>
                      <w:marTop w:val="0"/>
                      <w:marBottom w:val="0"/>
                      <w:divBdr>
                        <w:top w:val="none" w:sz="0" w:space="0" w:color="auto"/>
                        <w:left w:val="none" w:sz="0" w:space="0" w:color="auto"/>
                        <w:bottom w:val="none" w:sz="0" w:space="0" w:color="auto"/>
                        <w:right w:val="none" w:sz="0" w:space="0" w:color="auto"/>
                      </w:divBdr>
                    </w:div>
                    <w:div w:id="841235381">
                      <w:marLeft w:val="0"/>
                      <w:marRight w:val="0"/>
                      <w:marTop w:val="0"/>
                      <w:marBottom w:val="0"/>
                      <w:divBdr>
                        <w:top w:val="none" w:sz="0" w:space="0" w:color="auto"/>
                        <w:left w:val="none" w:sz="0" w:space="0" w:color="auto"/>
                        <w:bottom w:val="none" w:sz="0" w:space="0" w:color="auto"/>
                        <w:right w:val="none" w:sz="0" w:space="0" w:color="auto"/>
                      </w:divBdr>
                    </w:div>
                    <w:div w:id="400906268">
                      <w:marLeft w:val="0"/>
                      <w:marRight w:val="0"/>
                      <w:marTop w:val="0"/>
                      <w:marBottom w:val="0"/>
                      <w:divBdr>
                        <w:top w:val="none" w:sz="0" w:space="0" w:color="auto"/>
                        <w:left w:val="none" w:sz="0" w:space="0" w:color="auto"/>
                        <w:bottom w:val="none" w:sz="0" w:space="0" w:color="auto"/>
                        <w:right w:val="none" w:sz="0" w:space="0" w:color="auto"/>
                      </w:divBdr>
                    </w:div>
                    <w:div w:id="1269121798">
                      <w:marLeft w:val="0"/>
                      <w:marRight w:val="0"/>
                      <w:marTop w:val="0"/>
                      <w:marBottom w:val="0"/>
                      <w:divBdr>
                        <w:top w:val="none" w:sz="0" w:space="0" w:color="auto"/>
                        <w:left w:val="none" w:sz="0" w:space="0" w:color="auto"/>
                        <w:bottom w:val="none" w:sz="0" w:space="0" w:color="auto"/>
                        <w:right w:val="none" w:sz="0" w:space="0" w:color="auto"/>
                      </w:divBdr>
                    </w:div>
                    <w:div w:id="1696155290">
                      <w:marLeft w:val="0"/>
                      <w:marRight w:val="0"/>
                      <w:marTop w:val="0"/>
                      <w:marBottom w:val="0"/>
                      <w:divBdr>
                        <w:top w:val="none" w:sz="0" w:space="0" w:color="auto"/>
                        <w:left w:val="none" w:sz="0" w:space="0" w:color="auto"/>
                        <w:bottom w:val="none" w:sz="0" w:space="0" w:color="auto"/>
                        <w:right w:val="none" w:sz="0" w:space="0" w:color="auto"/>
                      </w:divBdr>
                    </w:div>
                    <w:div w:id="250747165">
                      <w:marLeft w:val="0"/>
                      <w:marRight w:val="0"/>
                      <w:marTop w:val="0"/>
                      <w:marBottom w:val="0"/>
                      <w:divBdr>
                        <w:top w:val="none" w:sz="0" w:space="0" w:color="auto"/>
                        <w:left w:val="none" w:sz="0" w:space="0" w:color="auto"/>
                        <w:bottom w:val="none" w:sz="0" w:space="0" w:color="auto"/>
                        <w:right w:val="none" w:sz="0" w:space="0" w:color="auto"/>
                      </w:divBdr>
                    </w:div>
                    <w:div w:id="1819571050">
                      <w:marLeft w:val="0"/>
                      <w:marRight w:val="0"/>
                      <w:marTop w:val="0"/>
                      <w:marBottom w:val="0"/>
                      <w:divBdr>
                        <w:top w:val="none" w:sz="0" w:space="0" w:color="auto"/>
                        <w:left w:val="none" w:sz="0" w:space="0" w:color="auto"/>
                        <w:bottom w:val="none" w:sz="0" w:space="0" w:color="auto"/>
                        <w:right w:val="none" w:sz="0" w:space="0" w:color="auto"/>
                      </w:divBdr>
                    </w:div>
                    <w:div w:id="1302462735">
                      <w:marLeft w:val="0"/>
                      <w:marRight w:val="0"/>
                      <w:marTop w:val="0"/>
                      <w:marBottom w:val="0"/>
                      <w:divBdr>
                        <w:top w:val="none" w:sz="0" w:space="0" w:color="auto"/>
                        <w:left w:val="none" w:sz="0" w:space="0" w:color="auto"/>
                        <w:bottom w:val="none" w:sz="0" w:space="0" w:color="auto"/>
                        <w:right w:val="none" w:sz="0" w:space="0" w:color="auto"/>
                      </w:divBdr>
                    </w:div>
                    <w:div w:id="711921616">
                      <w:marLeft w:val="0"/>
                      <w:marRight w:val="0"/>
                      <w:marTop w:val="0"/>
                      <w:marBottom w:val="0"/>
                      <w:divBdr>
                        <w:top w:val="none" w:sz="0" w:space="0" w:color="auto"/>
                        <w:left w:val="none" w:sz="0" w:space="0" w:color="auto"/>
                        <w:bottom w:val="none" w:sz="0" w:space="0" w:color="auto"/>
                        <w:right w:val="none" w:sz="0" w:space="0" w:color="auto"/>
                      </w:divBdr>
                    </w:div>
                    <w:div w:id="775249022">
                      <w:marLeft w:val="0"/>
                      <w:marRight w:val="0"/>
                      <w:marTop w:val="0"/>
                      <w:marBottom w:val="0"/>
                      <w:divBdr>
                        <w:top w:val="none" w:sz="0" w:space="0" w:color="auto"/>
                        <w:left w:val="none" w:sz="0" w:space="0" w:color="auto"/>
                        <w:bottom w:val="none" w:sz="0" w:space="0" w:color="auto"/>
                        <w:right w:val="none" w:sz="0" w:space="0" w:color="auto"/>
                      </w:divBdr>
                    </w:div>
                    <w:div w:id="1616059029">
                      <w:marLeft w:val="0"/>
                      <w:marRight w:val="0"/>
                      <w:marTop w:val="0"/>
                      <w:marBottom w:val="0"/>
                      <w:divBdr>
                        <w:top w:val="none" w:sz="0" w:space="0" w:color="auto"/>
                        <w:left w:val="none" w:sz="0" w:space="0" w:color="auto"/>
                        <w:bottom w:val="none" w:sz="0" w:space="0" w:color="auto"/>
                        <w:right w:val="none" w:sz="0" w:space="0" w:color="auto"/>
                      </w:divBdr>
                    </w:div>
                    <w:div w:id="1588151436">
                      <w:marLeft w:val="0"/>
                      <w:marRight w:val="0"/>
                      <w:marTop w:val="0"/>
                      <w:marBottom w:val="0"/>
                      <w:divBdr>
                        <w:top w:val="none" w:sz="0" w:space="0" w:color="auto"/>
                        <w:left w:val="none" w:sz="0" w:space="0" w:color="auto"/>
                        <w:bottom w:val="none" w:sz="0" w:space="0" w:color="auto"/>
                        <w:right w:val="none" w:sz="0" w:space="0" w:color="auto"/>
                      </w:divBdr>
                    </w:div>
                    <w:div w:id="1217929945">
                      <w:marLeft w:val="0"/>
                      <w:marRight w:val="0"/>
                      <w:marTop w:val="0"/>
                      <w:marBottom w:val="0"/>
                      <w:divBdr>
                        <w:top w:val="none" w:sz="0" w:space="0" w:color="auto"/>
                        <w:left w:val="none" w:sz="0" w:space="0" w:color="auto"/>
                        <w:bottom w:val="none" w:sz="0" w:space="0" w:color="auto"/>
                        <w:right w:val="none" w:sz="0" w:space="0" w:color="auto"/>
                      </w:divBdr>
                    </w:div>
                    <w:div w:id="5140793">
                      <w:marLeft w:val="0"/>
                      <w:marRight w:val="0"/>
                      <w:marTop w:val="0"/>
                      <w:marBottom w:val="0"/>
                      <w:divBdr>
                        <w:top w:val="none" w:sz="0" w:space="0" w:color="auto"/>
                        <w:left w:val="none" w:sz="0" w:space="0" w:color="auto"/>
                        <w:bottom w:val="none" w:sz="0" w:space="0" w:color="auto"/>
                        <w:right w:val="none" w:sz="0" w:space="0" w:color="auto"/>
                      </w:divBdr>
                    </w:div>
                    <w:div w:id="931547330">
                      <w:marLeft w:val="0"/>
                      <w:marRight w:val="0"/>
                      <w:marTop w:val="0"/>
                      <w:marBottom w:val="0"/>
                      <w:divBdr>
                        <w:top w:val="none" w:sz="0" w:space="0" w:color="auto"/>
                        <w:left w:val="none" w:sz="0" w:space="0" w:color="auto"/>
                        <w:bottom w:val="none" w:sz="0" w:space="0" w:color="auto"/>
                        <w:right w:val="none" w:sz="0" w:space="0" w:color="auto"/>
                      </w:divBdr>
                    </w:div>
                    <w:div w:id="1501919615">
                      <w:marLeft w:val="0"/>
                      <w:marRight w:val="0"/>
                      <w:marTop w:val="0"/>
                      <w:marBottom w:val="0"/>
                      <w:divBdr>
                        <w:top w:val="none" w:sz="0" w:space="0" w:color="auto"/>
                        <w:left w:val="none" w:sz="0" w:space="0" w:color="auto"/>
                        <w:bottom w:val="none" w:sz="0" w:space="0" w:color="auto"/>
                        <w:right w:val="none" w:sz="0" w:space="0" w:color="auto"/>
                      </w:divBdr>
                    </w:div>
                    <w:div w:id="438061155">
                      <w:marLeft w:val="0"/>
                      <w:marRight w:val="0"/>
                      <w:marTop w:val="0"/>
                      <w:marBottom w:val="0"/>
                      <w:divBdr>
                        <w:top w:val="none" w:sz="0" w:space="0" w:color="auto"/>
                        <w:left w:val="none" w:sz="0" w:space="0" w:color="auto"/>
                        <w:bottom w:val="none" w:sz="0" w:space="0" w:color="auto"/>
                        <w:right w:val="none" w:sz="0" w:space="0" w:color="auto"/>
                      </w:divBdr>
                    </w:div>
                    <w:div w:id="667951623">
                      <w:marLeft w:val="0"/>
                      <w:marRight w:val="0"/>
                      <w:marTop w:val="0"/>
                      <w:marBottom w:val="0"/>
                      <w:divBdr>
                        <w:top w:val="none" w:sz="0" w:space="0" w:color="auto"/>
                        <w:left w:val="none" w:sz="0" w:space="0" w:color="auto"/>
                        <w:bottom w:val="none" w:sz="0" w:space="0" w:color="auto"/>
                        <w:right w:val="none" w:sz="0" w:space="0" w:color="auto"/>
                      </w:divBdr>
                    </w:div>
                    <w:div w:id="1845590747">
                      <w:marLeft w:val="0"/>
                      <w:marRight w:val="0"/>
                      <w:marTop w:val="0"/>
                      <w:marBottom w:val="0"/>
                      <w:divBdr>
                        <w:top w:val="none" w:sz="0" w:space="0" w:color="auto"/>
                        <w:left w:val="none" w:sz="0" w:space="0" w:color="auto"/>
                        <w:bottom w:val="none" w:sz="0" w:space="0" w:color="auto"/>
                        <w:right w:val="none" w:sz="0" w:space="0" w:color="auto"/>
                      </w:divBdr>
                    </w:div>
                    <w:div w:id="1256398425">
                      <w:marLeft w:val="0"/>
                      <w:marRight w:val="0"/>
                      <w:marTop w:val="0"/>
                      <w:marBottom w:val="0"/>
                      <w:divBdr>
                        <w:top w:val="none" w:sz="0" w:space="0" w:color="auto"/>
                        <w:left w:val="none" w:sz="0" w:space="0" w:color="auto"/>
                        <w:bottom w:val="none" w:sz="0" w:space="0" w:color="auto"/>
                        <w:right w:val="none" w:sz="0" w:space="0" w:color="auto"/>
                      </w:divBdr>
                    </w:div>
                    <w:div w:id="1474175440">
                      <w:marLeft w:val="0"/>
                      <w:marRight w:val="0"/>
                      <w:marTop w:val="0"/>
                      <w:marBottom w:val="0"/>
                      <w:divBdr>
                        <w:top w:val="none" w:sz="0" w:space="0" w:color="auto"/>
                        <w:left w:val="none" w:sz="0" w:space="0" w:color="auto"/>
                        <w:bottom w:val="none" w:sz="0" w:space="0" w:color="auto"/>
                        <w:right w:val="none" w:sz="0" w:space="0" w:color="auto"/>
                      </w:divBdr>
                    </w:div>
                    <w:div w:id="783425723">
                      <w:marLeft w:val="0"/>
                      <w:marRight w:val="0"/>
                      <w:marTop w:val="0"/>
                      <w:marBottom w:val="0"/>
                      <w:divBdr>
                        <w:top w:val="none" w:sz="0" w:space="0" w:color="auto"/>
                        <w:left w:val="none" w:sz="0" w:space="0" w:color="auto"/>
                        <w:bottom w:val="none" w:sz="0" w:space="0" w:color="auto"/>
                        <w:right w:val="none" w:sz="0" w:space="0" w:color="auto"/>
                      </w:divBdr>
                    </w:div>
                    <w:div w:id="1165781720">
                      <w:marLeft w:val="0"/>
                      <w:marRight w:val="0"/>
                      <w:marTop w:val="0"/>
                      <w:marBottom w:val="0"/>
                      <w:divBdr>
                        <w:top w:val="none" w:sz="0" w:space="0" w:color="auto"/>
                        <w:left w:val="none" w:sz="0" w:space="0" w:color="auto"/>
                        <w:bottom w:val="none" w:sz="0" w:space="0" w:color="auto"/>
                        <w:right w:val="none" w:sz="0" w:space="0" w:color="auto"/>
                      </w:divBdr>
                    </w:div>
                    <w:div w:id="255016131">
                      <w:marLeft w:val="0"/>
                      <w:marRight w:val="0"/>
                      <w:marTop w:val="0"/>
                      <w:marBottom w:val="0"/>
                      <w:divBdr>
                        <w:top w:val="none" w:sz="0" w:space="0" w:color="auto"/>
                        <w:left w:val="none" w:sz="0" w:space="0" w:color="auto"/>
                        <w:bottom w:val="none" w:sz="0" w:space="0" w:color="auto"/>
                        <w:right w:val="none" w:sz="0" w:space="0" w:color="auto"/>
                      </w:divBdr>
                    </w:div>
                    <w:div w:id="834420758">
                      <w:marLeft w:val="0"/>
                      <w:marRight w:val="0"/>
                      <w:marTop w:val="0"/>
                      <w:marBottom w:val="0"/>
                      <w:divBdr>
                        <w:top w:val="none" w:sz="0" w:space="0" w:color="auto"/>
                        <w:left w:val="none" w:sz="0" w:space="0" w:color="auto"/>
                        <w:bottom w:val="none" w:sz="0" w:space="0" w:color="auto"/>
                        <w:right w:val="none" w:sz="0" w:space="0" w:color="auto"/>
                      </w:divBdr>
                    </w:div>
                    <w:div w:id="605769476">
                      <w:marLeft w:val="0"/>
                      <w:marRight w:val="0"/>
                      <w:marTop w:val="0"/>
                      <w:marBottom w:val="0"/>
                      <w:divBdr>
                        <w:top w:val="none" w:sz="0" w:space="0" w:color="auto"/>
                        <w:left w:val="none" w:sz="0" w:space="0" w:color="auto"/>
                        <w:bottom w:val="none" w:sz="0" w:space="0" w:color="auto"/>
                        <w:right w:val="none" w:sz="0" w:space="0" w:color="auto"/>
                      </w:divBdr>
                    </w:div>
                    <w:div w:id="1755467118">
                      <w:marLeft w:val="0"/>
                      <w:marRight w:val="0"/>
                      <w:marTop w:val="0"/>
                      <w:marBottom w:val="0"/>
                      <w:divBdr>
                        <w:top w:val="none" w:sz="0" w:space="0" w:color="auto"/>
                        <w:left w:val="none" w:sz="0" w:space="0" w:color="auto"/>
                        <w:bottom w:val="none" w:sz="0" w:space="0" w:color="auto"/>
                        <w:right w:val="none" w:sz="0" w:space="0" w:color="auto"/>
                      </w:divBdr>
                    </w:div>
                    <w:div w:id="478957609">
                      <w:marLeft w:val="0"/>
                      <w:marRight w:val="0"/>
                      <w:marTop w:val="0"/>
                      <w:marBottom w:val="0"/>
                      <w:divBdr>
                        <w:top w:val="none" w:sz="0" w:space="0" w:color="auto"/>
                        <w:left w:val="none" w:sz="0" w:space="0" w:color="auto"/>
                        <w:bottom w:val="none" w:sz="0" w:space="0" w:color="auto"/>
                        <w:right w:val="none" w:sz="0" w:space="0" w:color="auto"/>
                      </w:divBdr>
                    </w:div>
                    <w:div w:id="1423450727">
                      <w:marLeft w:val="0"/>
                      <w:marRight w:val="0"/>
                      <w:marTop w:val="0"/>
                      <w:marBottom w:val="0"/>
                      <w:divBdr>
                        <w:top w:val="none" w:sz="0" w:space="0" w:color="auto"/>
                        <w:left w:val="none" w:sz="0" w:space="0" w:color="auto"/>
                        <w:bottom w:val="none" w:sz="0" w:space="0" w:color="auto"/>
                        <w:right w:val="none" w:sz="0" w:space="0" w:color="auto"/>
                      </w:divBdr>
                    </w:div>
                    <w:div w:id="1801607126">
                      <w:marLeft w:val="0"/>
                      <w:marRight w:val="0"/>
                      <w:marTop w:val="0"/>
                      <w:marBottom w:val="0"/>
                      <w:divBdr>
                        <w:top w:val="none" w:sz="0" w:space="0" w:color="auto"/>
                        <w:left w:val="none" w:sz="0" w:space="0" w:color="auto"/>
                        <w:bottom w:val="none" w:sz="0" w:space="0" w:color="auto"/>
                        <w:right w:val="none" w:sz="0" w:space="0" w:color="auto"/>
                      </w:divBdr>
                    </w:div>
                    <w:div w:id="1139031381">
                      <w:marLeft w:val="0"/>
                      <w:marRight w:val="0"/>
                      <w:marTop w:val="0"/>
                      <w:marBottom w:val="0"/>
                      <w:divBdr>
                        <w:top w:val="none" w:sz="0" w:space="0" w:color="auto"/>
                        <w:left w:val="none" w:sz="0" w:space="0" w:color="auto"/>
                        <w:bottom w:val="none" w:sz="0" w:space="0" w:color="auto"/>
                        <w:right w:val="none" w:sz="0" w:space="0" w:color="auto"/>
                      </w:divBdr>
                    </w:div>
                    <w:div w:id="287206150">
                      <w:marLeft w:val="0"/>
                      <w:marRight w:val="0"/>
                      <w:marTop w:val="0"/>
                      <w:marBottom w:val="0"/>
                      <w:divBdr>
                        <w:top w:val="none" w:sz="0" w:space="0" w:color="auto"/>
                        <w:left w:val="none" w:sz="0" w:space="0" w:color="auto"/>
                        <w:bottom w:val="none" w:sz="0" w:space="0" w:color="auto"/>
                        <w:right w:val="none" w:sz="0" w:space="0" w:color="auto"/>
                      </w:divBdr>
                    </w:div>
                    <w:div w:id="17529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7166">
      <w:bodyDiv w:val="1"/>
      <w:marLeft w:val="0"/>
      <w:marRight w:val="0"/>
      <w:marTop w:val="0"/>
      <w:marBottom w:val="0"/>
      <w:divBdr>
        <w:top w:val="none" w:sz="0" w:space="0" w:color="auto"/>
        <w:left w:val="none" w:sz="0" w:space="0" w:color="auto"/>
        <w:bottom w:val="none" w:sz="0" w:space="0" w:color="auto"/>
        <w:right w:val="none" w:sz="0" w:space="0" w:color="auto"/>
      </w:divBdr>
    </w:div>
    <w:div w:id="1705668104">
      <w:bodyDiv w:val="1"/>
      <w:marLeft w:val="0"/>
      <w:marRight w:val="0"/>
      <w:marTop w:val="0"/>
      <w:marBottom w:val="0"/>
      <w:divBdr>
        <w:top w:val="none" w:sz="0" w:space="0" w:color="auto"/>
        <w:left w:val="none" w:sz="0" w:space="0" w:color="auto"/>
        <w:bottom w:val="none" w:sz="0" w:space="0" w:color="auto"/>
        <w:right w:val="none" w:sz="0" w:space="0" w:color="auto"/>
      </w:divBdr>
    </w:div>
    <w:div w:id="1717587226">
      <w:bodyDiv w:val="1"/>
      <w:marLeft w:val="0"/>
      <w:marRight w:val="0"/>
      <w:marTop w:val="0"/>
      <w:marBottom w:val="0"/>
      <w:divBdr>
        <w:top w:val="none" w:sz="0" w:space="0" w:color="auto"/>
        <w:left w:val="none" w:sz="0" w:space="0" w:color="auto"/>
        <w:bottom w:val="none" w:sz="0" w:space="0" w:color="auto"/>
        <w:right w:val="none" w:sz="0" w:space="0" w:color="auto"/>
      </w:divBdr>
    </w:div>
    <w:div w:id="1720282140">
      <w:bodyDiv w:val="1"/>
      <w:marLeft w:val="0"/>
      <w:marRight w:val="0"/>
      <w:marTop w:val="0"/>
      <w:marBottom w:val="0"/>
      <w:divBdr>
        <w:top w:val="none" w:sz="0" w:space="0" w:color="auto"/>
        <w:left w:val="none" w:sz="0" w:space="0" w:color="auto"/>
        <w:bottom w:val="none" w:sz="0" w:space="0" w:color="auto"/>
        <w:right w:val="none" w:sz="0" w:space="0" w:color="auto"/>
      </w:divBdr>
    </w:div>
    <w:div w:id="1731421981">
      <w:bodyDiv w:val="1"/>
      <w:marLeft w:val="0"/>
      <w:marRight w:val="0"/>
      <w:marTop w:val="0"/>
      <w:marBottom w:val="0"/>
      <w:divBdr>
        <w:top w:val="none" w:sz="0" w:space="0" w:color="auto"/>
        <w:left w:val="none" w:sz="0" w:space="0" w:color="auto"/>
        <w:bottom w:val="none" w:sz="0" w:space="0" w:color="auto"/>
        <w:right w:val="none" w:sz="0" w:space="0" w:color="auto"/>
      </w:divBdr>
    </w:div>
    <w:div w:id="1736200525">
      <w:bodyDiv w:val="1"/>
      <w:marLeft w:val="0"/>
      <w:marRight w:val="0"/>
      <w:marTop w:val="0"/>
      <w:marBottom w:val="0"/>
      <w:divBdr>
        <w:top w:val="none" w:sz="0" w:space="0" w:color="auto"/>
        <w:left w:val="none" w:sz="0" w:space="0" w:color="auto"/>
        <w:bottom w:val="none" w:sz="0" w:space="0" w:color="auto"/>
        <w:right w:val="none" w:sz="0" w:space="0" w:color="auto"/>
      </w:divBdr>
    </w:div>
    <w:div w:id="1754550469">
      <w:bodyDiv w:val="1"/>
      <w:marLeft w:val="0"/>
      <w:marRight w:val="0"/>
      <w:marTop w:val="0"/>
      <w:marBottom w:val="0"/>
      <w:divBdr>
        <w:top w:val="none" w:sz="0" w:space="0" w:color="auto"/>
        <w:left w:val="none" w:sz="0" w:space="0" w:color="auto"/>
        <w:bottom w:val="none" w:sz="0" w:space="0" w:color="auto"/>
        <w:right w:val="none" w:sz="0" w:space="0" w:color="auto"/>
      </w:divBdr>
    </w:div>
    <w:div w:id="1762531129">
      <w:bodyDiv w:val="1"/>
      <w:marLeft w:val="0"/>
      <w:marRight w:val="0"/>
      <w:marTop w:val="0"/>
      <w:marBottom w:val="0"/>
      <w:divBdr>
        <w:top w:val="none" w:sz="0" w:space="0" w:color="auto"/>
        <w:left w:val="none" w:sz="0" w:space="0" w:color="auto"/>
        <w:bottom w:val="none" w:sz="0" w:space="0" w:color="auto"/>
        <w:right w:val="none" w:sz="0" w:space="0" w:color="auto"/>
      </w:divBdr>
    </w:div>
    <w:div w:id="1777402084">
      <w:bodyDiv w:val="1"/>
      <w:marLeft w:val="0"/>
      <w:marRight w:val="0"/>
      <w:marTop w:val="0"/>
      <w:marBottom w:val="0"/>
      <w:divBdr>
        <w:top w:val="none" w:sz="0" w:space="0" w:color="auto"/>
        <w:left w:val="none" w:sz="0" w:space="0" w:color="auto"/>
        <w:bottom w:val="none" w:sz="0" w:space="0" w:color="auto"/>
        <w:right w:val="none" w:sz="0" w:space="0" w:color="auto"/>
      </w:divBdr>
    </w:div>
    <w:div w:id="1803185771">
      <w:bodyDiv w:val="1"/>
      <w:marLeft w:val="0"/>
      <w:marRight w:val="0"/>
      <w:marTop w:val="0"/>
      <w:marBottom w:val="0"/>
      <w:divBdr>
        <w:top w:val="none" w:sz="0" w:space="0" w:color="auto"/>
        <w:left w:val="none" w:sz="0" w:space="0" w:color="auto"/>
        <w:bottom w:val="none" w:sz="0" w:space="0" w:color="auto"/>
        <w:right w:val="none" w:sz="0" w:space="0" w:color="auto"/>
      </w:divBdr>
    </w:div>
    <w:div w:id="1809324344">
      <w:bodyDiv w:val="1"/>
      <w:marLeft w:val="0"/>
      <w:marRight w:val="0"/>
      <w:marTop w:val="0"/>
      <w:marBottom w:val="0"/>
      <w:divBdr>
        <w:top w:val="none" w:sz="0" w:space="0" w:color="auto"/>
        <w:left w:val="none" w:sz="0" w:space="0" w:color="auto"/>
        <w:bottom w:val="none" w:sz="0" w:space="0" w:color="auto"/>
        <w:right w:val="none" w:sz="0" w:space="0" w:color="auto"/>
      </w:divBdr>
    </w:div>
    <w:div w:id="1834638992">
      <w:bodyDiv w:val="1"/>
      <w:marLeft w:val="0"/>
      <w:marRight w:val="0"/>
      <w:marTop w:val="0"/>
      <w:marBottom w:val="0"/>
      <w:divBdr>
        <w:top w:val="none" w:sz="0" w:space="0" w:color="auto"/>
        <w:left w:val="none" w:sz="0" w:space="0" w:color="auto"/>
        <w:bottom w:val="none" w:sz="0" w:space="0" w:color="auto"/>
        <w:right w:val="none" w:sz="0" w:space="0" w:color="auto"/>
      </w:divBdr>
    </w:div>
    <w:div w:id="1837959990">
      <w:bodyDiv w:val="1"/>
      <w:marLeft w:val="0"/>
      <w:marRight w:val="0"/>
      <w:marTop w:val="0"/>
      <w:marBottom w:val="0"/>
      <w:divBdr>
        <w:top w:val="none" w:sz="0" w:space="0" w:color="auto"/>
        <w:left w:val="none" w:sz="0" w:space="0" w:color="auto"/>
        <w:bottom w:val="none" w:sz="0" w:space="0" w:color="auto"/>
        <w:right w:val="none" w:sz="0" w:space="0" w:color="auto"/>
      </w:divBdr>
    </w:div>
    <w:div w:id="1881891243">
      <w:bodyDiv w:val="1"/>
      <w:marLeft w:val="0"/>
      <w:marRight w:val="0"/>
      <w:marTop w:val="0"/>
      <w:marBottom w:val="0"/>
      <w:divBdr>
        <w:top w:val="none" w:sz="0" w:space="0" w:color="auto"/>
        <w:left w:val="none" w:sz="0" w:space="0" w:color="auto"/>
        <w:bottom w:val="none" w:sz="0" w:space="0" w:color="auto"/>
        <w:right w:val="none" w:sz="0" w:space="0" w:color="auto"/>
      </w:divBdr>
    </w:div>
    <w:div w:id="1888101983">
      <w:bodyDiv w:val="1"/>
      <w:marLeft w:val="0"/>
      <w:marRight w:val="0"/>
      <w:marTop w:val="0"/>
      <w:marBottom w:val="0"/>
      <w:divBdr>
        <w:top w:val="none" w:sz="0" w:space="0" w:color="auto"/>
        <w:left w:val="none" w:sz="0" w:space="0" w:color="auto"/>
        <w:bottom w:val="none" w:sz="0" w:space="0" w:color="auto"/>
        <w:right w:val="none" w:sz="0" w:space="0" w:color="auto"/>
      </w:divBdr>
    </w:div>
    <w:div w:id="1924483666">
      <w:bodyDiv w:val="1"/>
      <w:marLeft w:val="0"/>
      <w:marRight w:val="0"/>
      <w:marTop w:val="0"/>
      <w:marBottom w:val="0"/>
      <w:divBdr>
        <w:top w:val="none" w:sz="0" w:space="0" w:color="auto"/>
        <w:left w:val="none" w:sz="0" w:space="0" w:color="auto"/>
        <w:bottom w:val="none" w:sz="0" w:space="0" w:color="auto"/>
        <w:right w:val="none" w:sz="0" w:space="0" w:color="auto"/>
      </w:divBdr>
    </w:div>
    <w:div w:id="1935749844">
      <w:bodyDiv w:val="1"/>
      <w:marLeft w:val="0"/>
      <w:marRight w:val="0"/>
      <w:marTop w:val="0"/>
      <w:marBottom w:val="0"/>
      <w:divBdr>
        <w:top w:val="none" w:sz="0" w:space="0" w:color="auto"/>
        <w:left w:val="none" w:sz="0" w:space="0" w:color="auto"/>
        <w:bottom w:val="none" w:sz="0" w:space="0" w:color="auto"/>
        <w:right w:val="none" w:sz="0" w:space="0" w:color="auto"/>
      </w:divBdr>
    </w:div>
    <w:div w:id="1938248941">
      <w:bodyDiv w:val="1"/>
      <w:marLeft w:val="0"/>
      <w:marRight w:val="0"/>
      <w:marTop w:val="0"/>
      <w:marBottom w:val="0"/>
      <w:divBdr>
        <w:top w:val="none" w:sz="0" w:space="0" w:color="auto"/>
        <w:left w:val="none" w:sz="0" w:space="0" w:color="auto"/>
        <w:bottom w:val="none" w:sz="0" w:space="0" w:color="auto"/>
        <w:right w:val="none" w:sz="0" w:space="0" w:color="auto"/>
      </w:divBdr>
    </w:div>
    <w:div w:id="1952468932">
      <w:bodyDiv w:val="1"/>
      <w:marLeft w:val="0"/>
      <w:marRight w:val="0"/>
      <w:marTop w:val="0"/>
      <w:marBottom w:val="0"/>
      <w:divBdr>
        <w:top w:val="none" w:sz="0" w:space="0" w:color="auto"/>
        <w:left w:val="none" w:sz="0" w:space="0" w:color="auto"/>
        <w:bottom w:val="none" w:sz="0" w:space="0" w:color="auto"/>
        <w:right w:val="none" w:sz="0" w:space="0" w:color="auto"/>
      </w:divBdr>
    </w:div>
    <w:div w:id="1952786015">
      <w:bodyDiv w:val="1"/>
      <w:marLeft w:val="0"/>
      <w:marRight w:val="0"/>
      <w:marTop w:val="0"/>
      <w:marBottom w:val="0"/>
      <w:divBdr>
        <w:top w:val="none" w:sz="0" w:space="0" w:color="auto"/>
        <w:left w:val="none" w:sz="0" w:space="0" w:color="auto"/>
        <w:bottom w:val="none" w:sz="0" w:space="0" w:color="auto"/>
        <w:right w:val="none" w:sz="0" w:space="0" w:color="auto"/>
      </w:divBdr>
    </w:div>
    <w:div w:id="1954050284">
      <w:bodyDiv w:val="1"/>
      <w:marLeft w:val="0"/>
      <w:marRight w:val="0"/>
      <w:marTop w:val="0"/>
      <w:marBottom w:val="0"/>
      <w:divBdr>
        <w:top w:val="none" w:sz="0" w:space="0" w:color="auto"/>
        <w:left w:val="none" w:sz="0" w:space="0" w:color="auto"/>
        <w:bottom w:val="none" w:sz="0" w:space="0" w:color="auto"/>
        <w:right w:val="none" w:sz="0" w:space="0" w:color="auto"/>
      </w:divBdr>
    </w:div>
    <w:div w:id="1978801295">
      <w:bodyDiv w:val="1"/>
      <w:marLeft w:val="0"/>
      <w:marRight w:val="0"/>
      <w:marTop w:val="0"/>
      <w:marBottom w:val="0"/>
      <w:divBdr>
        <w:top w:val="none" w:sz="0" w:space="0" w:color="auto"/>
        <w:left w:val="none" w:sz="0" w:space="0" w:color="auto"/>
        <w:bottom w:val="none" w:sz="0" w:space="0" w:color="auto"/>
        <w:right w:val="none" w:sz="0" w:space="0" w:color="auto"/>
      </w:divBdr>
    </w:div>
    <w:div w:id="1979608437">
      <w:bodyDiv w:val="1"/>
      <w:marLeft w:val="0"/>
      <w:marRight w:val="0"/>
      <w:marTop w:val="0"/>
      <w:marBottom w:val="0"/>
      <w:divBdr>
        <w:top w:val="none" w:sz="0" w:space="0" w:color="auto"/>
        <w:left w:val="none" w:sz="0" w:space="0" w:color="auto"/>
        <w:bottom w:val="none" w:sz="0" w:space="0" w:color="auto"/>
        <w:right w:val="none" w:sz="0" w:space="0" w:color="auto"/>
      </w:divBdr>
    </w:div>
    <w:div w:id="1994916807">
      <w:bodyDiv w:val="1"/>
      <w:marLeft w:val="0"/>
      <w:marRight w:val="0"/>
      <w:marTop w:val="0"/>
      <w:marBottom w:val="0"/>
      <w:divBdr>
        <w:top w:val="none" w:sz="0" w:space="0" w:color="auto"/>
        <w:left w:val="none" w:sz="0" w:space="0" w:color="auto"/>
        <w:bottom w:val="none" w:sz="0" w:space="0" w:color="auto"/>
        <w:right w:val="none" w:sz="0" w:space="0" w:color="auto"/>
      </w:divBdr>
    </w:div>
    <w:div w:id="2018337437">
      <w:bodyDiv w:val="1"/>
      <w:marLeft w:val="0"/>
      <w:marRight w:val="0"/>
      <w:marTop w:val="0"/>
      <w:marBottom w:val="0"/>
      <w:divBdr>
        <w:top w:val="none" w:sz="0" w:space="0" w:color="auto"/>
        <w:left w:val="none" w:sz="0" w:space="0" w:color="auto"/>
        <w:bottom w:val="none" w:sz="0" w:space="0" w:color="auto"/>
        <w:right w:val="none" w:sz="0" w:space="0" w:color="auto"/>
      </w:divBdr>
    </w:div>
    <w:div w:id="2072537753">
      <w:bodyDiv w:val="1"/>
      <w:marLeft w:val="0"/>
      <w:marRight w:val="0"/>
      <w:marTop w:val="0"/>
      <w:marBottom w:val="0"/>
      <w:divBdr>
        <w:top w:val="none" w:sz="0" w:space="0" w:color="auto"/>
        <w:left w:val="none" w:sz="0" w:space="0" w:color="auto"/>
        <w:bottom w:val="none" w:sz="0" w:space="0" w:color="auto"/>
        <w:right w:val="none" w:sz="0" w:space="0" w:color="auto"/>
      </w:divBdr>
    </w:div>
    <w:div w:id="2078821075">
      <w:bodyDiv w:val="1"/>
      <w:marLeft w:val="0"/>
      <w:marRight w:val="0"/>
      <w:marTop w:val="0"/>
      <w:marBottom w:val="0"/>
      <w:divBdr>
        <w:top w:val="none" w:sz="0" w:space="0" w:color="auto"/>
        <w:left w:val="none" w:sz="0" w:space="0" w:color="auto"/>
        <w:bottom w:val="none" w:sz="0" w:space="0" w:color="auto"/>
        <w:right w:val="none" w:sz="0" w:space="0" w:color="auto"/>
      </w:divBdr>
    </w:div>
    <w:div w:id="2087459538">
      <w:bodyDiv w:val="1"/>
      <w:marLeft w:val="0"/>
      <w:marRight w:val="0"/>
      <w:marTop w:val="0"/>
      <w:marBottom w:val="0"/>
      <w:divBdr>
        <w:top w:val="none" w:sz="0" w:space="0" w:color="auto"/>
        <w:left w:val="none" w:sz="0" w:space="0" w:color="auto"/>
        <w:bottom w:val="none" w:sz="0" w:space="0" w:color="auto"/>
        <w:right w:val="none" w:sz="0" w:space="0" w:color="auto"/>
      </w:divBdr>
    </w:div>
    <w:div w:id="2101827438">
      <w:bodyDiv w:val="1"/>
      <w:marLeft w:val="0"/>
      <w:marRight w:val="0"/>
      <w:marTop w:val="0"/>
      <w:marBottom w:val="0"/>
      <w:divBdr>
        <w:top w:val="none" w:sz="0" w:space="0" w:color="auto"/>
        <w:left w:val="none" w:sz="0" w:space="0" w:color="auto"/>
        <w:bottom w:val="none" w:sz="0" w:space="0" w:color="auto"/>
        <w:right w:val="none" w:sz="0" w:space="0" w:color="auto"/>
      </w:divBdr>
    </w:div>
    <w:div w:id="2124380247">
      <w:bodyDiv w:val="1"/>
      <w:marLeft w:val="0"/>
      <w:marRight w:val="0"/>
      <w:marTop w:val="0"/>
      <w:marBottom w:val="0"/>
      <w:divBdr>
        <w:top w:val="none" w:sz="0" w:space="0" w:color="auto"/>
        <w:left w:val="none" w:sz="0" w:space="0" w:color="auto"/>
        <w:bottom w:val="none" w:sz="0" w:space="0" w:color="auto"/>
        <w:right w:val="none" w:sz="0" w:space="0" w:color="auto"/>
      </w:divBdr>
    </w:div>
    <w:div w:id="21393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JARA\Datos%20de%20programa\Microsoft\Templates\comparado%20OOP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6A13-FDBC-42FE-BD10-A5DEF5DA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comparado OOPP</Template>
  <TotalTime>8</TotalTime>
  <Pages>1</Pages>
  <Words>37019</Words>
  <Characters>203608</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TITULO</vt:lpstr>
    </vt:vector>
  </TitlesOfParts>
  <Company>Senado de la República</Company>
  <LinksUpToDate>false</LinksUpToDate>
  <CharactersWithSpaces>240147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PJARA</dc:creator>
  <cp:lastModifiedBy>Marcela</cp:lastModifiedBy>
  <cp:revision>4</cp:revision>
  <cp:lastPrinted>2019-01-02T22:38:00Z</cp:lastPrinted>
  <dcterms:created xsi:type="dcterms:W3CDTF">2020-10-27T20:22:00Z</dcterms:created>
  <dcterms:modified xsi:type="dcterms:W3CDTF">2020-10-27T20:30:00Z</dcterms:modified>
</cp:coreProperties>
</file>