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74" w:rsidRDefault="001F3987">
      <w:pPr>
        <w:pStyle w:val="Puesto"/>
      </w:pPr>
      <w:bookmarkStart w:id="0" w:name="_GoBack"/>
      <w:bookmarkEnd w:id="0"/>
      <w:r>
        <w:t>Proyecto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‘transparencia</w:t>
      </w:r>
      <w:r>
        <w:rPr>
          <w:spacing w:val="-11"/>
        </w:rPr>
        <w:t xml:space="preserve"> </w:t>
      </w:r>
      <w:r>
        <w:rPr>
          <w:spacing w:val="-2"/>
        </w:rPr>
        <w:t>total’</w:t>
      </w:r>
    </w:p>
    <w:p w:rsidR="00220374" w:rsidRDefault="00220374">
      <w:pPr>
        <w:pStyle w:val="Textoindependiente"/>
        <w:spacing w:before="11"/>
        <w:rPr>
          <w:b/>
          <w:sz w:val="23"/>
        </w:rPr>
      </w:pPr>
    </w:p>
    <w:p w:rsidR="00220374" w:rsidRDefault="001F3987">
      <w:pPr>
        <w:pStyle w:val="Ttulo1"/>
      </w:pPr>
      <w:r>
        <w:t>Proyecto que modifica la</w:t>
      </w:r>
      <w:r>
        <w:rPr>
          <w:spacing w:val="-7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20.285</w:t>
      </w:r>
      <w:r>
        <w:rPr>
          <w:spacing w:val="-7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Transparencia,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corporaciones, fundaciones y/o personas jurídicas creadas por municipios o gobiernos</w:t>
      </w:r>
      <w:r>
        <w:rPr>
          <w:spacing w:val="-5"/>
        </w:rPr>
        <w:t xml:space="preserve"> </w:t>
      </w:r>
      <w:r>
        <w:t>regionales</w:t>
      </w:r>
      <w:r>
        <w:rPr>
          <w:spacing w:val="-5"/>
        </w:rPr>
        <w:t xml:space="preserve"> </w:t>
      </w:r>
      <w:r>
        <w:t>estén sujetas a la normas de la ley de transparencia.</w:t>
      </w:r>
    </w:p>
    <w:p w:rsidR="00220374" w:rsidRDefault="00220374">
      <w:pPr>
        <w:pStyle w:val="Textoindependiente"/>
        <w:rPr>
          <w:b/>
          <w:sz w:val="28"/>
        </w:rPr>
      </w:pPr>
    </w:p>
    <w:p w:rsidR="00220374" w:rsidRDefault="001F3987">
      <w:pPr>
        <w:ind w:left="121"/>
        <w:rPr>
          <w:b/>
          <w:sz w:val="24"/>
        </w:rPr>
      </w:pPr>
      <w:r>
        <w:rPr>
          <w:b/>
          <w:spacing w:val="-2"/>
          <w:sz w:val="24"/>
        </w:rPr>
        <w:t>Antecedentes</w:t>
      </w:r>
    </w:p>
    <w:p w:rsidR="00220374" w:rsidRDefault="001F3987">
      <w:pPr>
        <w:pStyle w:val="Textoindependiente"/>
        <w:ind w:left="121" w:right="99"/>
        <w:jc w:val="both"/>
      </w:pPr>
      <w:r>
        <w:t>En los últimos años en nuestro país se han</w:t>
      </w:r>
      <w:r>
        <w:rPr>
          <w:spacing w:val="-4"/>
        </w:rPr>
        <w:t xml:space="preserve"> </w:t>
      </w:r>
      <w:r>
        <w:t>conocido</w:t>
      </w:r>
      <w:r>
        <w:rPr>
          <w:spacing w:val="-4"/>
        </w:rPr>
        <w:t xml:space="preserve"> </w:t>
      </w:r>
      <w:r>
        <w:t>diversos</w:t>
      </w:r>
      <w:r>
        <w:rPr>
          <w:spacing w:val="-4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corrupción,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que se han vinculados a corporaciones que son financiadas con recursos públicos, particularmente corpo</w:t>
      </w:r>
      <w:r>
        <w:t>raciones municipales.</w:t>
      </w:r>
      <w:r>
        <w:rPr>
          <w:spacing w:val="-6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corporaciones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Vitacura,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 xml:space="preserve">Condes, Lo Barnechea, por nombrar sólo algunas, han sido vinculadas a eventuales casos de corrupción en el manejo de corporaciones y/o personas jurídicas, creadas bajo su alero y </w:t>
      </w:r>
      <w:r>
        <w:rPr>
          <w:spacing w:val="-2"/>
        </w:rPr>
        <w:t>financiamiento.</w:t>
      </w:r>
    </w:p>
    <w:p w:rsidR="00220374" w:rsidRDefault="00220374">
      <w:pPr>
        <w:pStyle w:val="Textoindependiente"/>
      </w:pPr>
    </w:p>
    <w:p w:rsidR="00220374" w:rsidRDefault="001F3987">
      <w:pPr>
        <w:pStyle w:val="Textoindependiente"/>
        <w:ind w:left="121" w:right="101"/>
        <w:jc w:val="both"/>
      </w:pPr>
      <w:r>
        <w:t>Una de las dificultades en la administración de dichas corporaciones es que, legalmente, no tienen obligación de aplicar la Ley Nº 20.285 de Transparencia, y</w:t>
      </w:r>
      <w:r>
        <w:rPr>
          <w:spacing w:val="-4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ahora,</w:t>
      </w:r>
      <w:r>
        <w:rPr>
          <w:spacing w:val="-4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por vía judicial se ha logrado el cumplimiento de la misma.</w:t>
      </w:r>
      <w:r>
        <w:rPr>
          <w:spacing w:val="-3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duda,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rol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Consejo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 Transparencia ha sido esencial en estos casos, pues a través de sus decisiones, se ha obligado a las corporaciones municipales a cumplir la normativa vigente con dictámenes ratificados por los tribunales superiores de justicia. Así, por</w:t>
      </w:r>
      <w:r>
        <w:t xml:space="preserve"> ejemplo, ha dispuesto:</w:t>
      </w:r>
    </w:p>
    <w:p w:rsidR="00220374" w:rsidRDefault="00220374">
      <w:pPr>
        <w:pStyle w:val="Textoindependiente"/>
      </w:pPr>
    </w:p>
    <w:p w:rsidR="00220374" w:rsidRDefault="001F3987">
      <w:pPr>
        <w:pStyle w:val="Textoindependiente"/>
        <w:ind w:left="121" w:right="99"/>
        <w:jc w:val="both"/>
        <w:rPr>
          <w:b/>
        </w:rPr>
      </w:pPr>
      <w:r>
        <w:t xml:space="preserve">“Existen una serie de entidades que formadas bajo el Derecho Privado han sido creadas por el Estado -por intermedio de sus autoridades-, </w:t>
      </w:r>
      <w:r>
        <w:rPr>
          <w:b/>
        </w:rPr>
        <w:t>pero que en la actualidad no están sujetas a</w:t>
      </w:r>
      <w:r>
        <w:rPr>
          <w:b/>
          <w:spacing w:val="-4"/>
        </w:rPr>
        <w:t xml:space="preserve"> </w:t>
      </w:r>
      <w:r>
        <w:rPr>
          <w:b/>
        </w:rPr>
        <w:t>ningún</w:t>
      </w:r>
      <w:r>
        <w:rPr>
          <w:b/>
          <w:spacing w:val="-4"/>
        </w:rPr>
        <w:t xml:space="preserve"> </w:t>
      </w:r>
      <w:r>
        <w:rPr>
          <w:b/>
        </w:rPr>
        <w:t>tipo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rendición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cuentas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control</w:t>
      </w:r>
      <w:r>
        <w:rPr>
          <w:b/>
          <w:spacing w:val="-4"/>
        </w:rPr>
        <w:t xml:space="preserve"> </w:t>
      </w:r>
      <w:r>
        <w:rPr>
          <w:b/>
        </w:rPr>
        <w:t>soc</w:t>
      </w:r>
      <w:r>
        <w:rPr>
          <w:b/>
        </w:rPr>
        <w:t>ial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favor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ciudadanía</w:t>
      </w:r>
      <w:r>
        <w:t>,</w:t>
      </w:r>
      <w:r>
        <w:rPr>
          <w:spacing w:val="-4"/>
        </w:rPr>
        <w:t xml:space="preserve"> </w:t>
      </w:r>
      <w:r>
        <w:t>ya sea por no haber sido</w:t>
      </w:r>
      <w:r>
        <w:rPr>
          <w:spacing w:val="-3"/>
        </w:rPr>
        <w:t xml:space="preserve"> </w:t>
      </w:r>
      <w:r>
        <w:t>creadas</w:t>
      </w:r>
      <w:r>
        <w:rPr>
          <w:spacing w:val="-3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alero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fuerza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N° 1-3.063 de 1980, del entonces Ministerio del Interior;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129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ley N° 18.695 conforme al criterio dispuesto por la Contraloría General 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República</w:t>
      </w:r>
      <w:r>
        <w:rPr>
          <w:spacing w:val="-5"/>
        </w:rPr>
        <w:t xml:space="preserve"> </w:t>
      </w:r>
      <w:r>
        <w:t>en el referido dictamen. Por tratarse de entidades en las que no existió una concurrencia mayoritaria o exclusiva de órganos</w:t>
      </w:r>
      <w:r>
        <w:rPr>
          <w:spacing w:val="-5"/>
        </w:rPr>
        <w:t xml:space="preserve"> </w:t>
      </w:r>
      <w:r>
        <w:t>públicos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creación,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tienen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integración</w:t>
      </w:r>
      <w:r>
        <w:rPr>
          <w:spacing w:val="-5"/>
        </w:rPr>
        <w:t xml:space="preserve"> </w:t>
      </w:r>
      <w:r>
        <w:t>de sus órganos de decisión, administración y/o control por autoridades o funcionarios públicos, o por personas nombradas por éstos como es el caso de muchas corporaciones culturales o deportivas, tal es el caso de la Corporación del Deporte de</w:t>
      </w:r>
      <w:r>
        <w:t xml:space="preserve"> la Ilustre Municipalidad de Cerro Navia (decisión de amparo</w:t>
      </w:r>
      <w:r>
        <w:rPr>
          <w:spacing w:val="-5"/>
        </w:rPr>
        <w:t xml:space="preserve"> </w:t>
      </w:r>
      <w:r>
        <w:t>Rol</w:t>
      </w:r>
      <w:r>
        <w:rPr>
          <w:spacing w:val="-5"/>
        </w:rPr>
        <w:t xml:space="preserve"> </w:t>
      </w:r>
      <w:r>
        <w:t>C75-12);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Corporación</w:t>
      </w:r>
      <w:r>
        <w:rPr>
          <w:spacing w:val="-5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de La Florida (decisión de amparo Rol C484-15); Corporación Cultural de Ancud (decisión de amparo</w:t>
      </w:r>
      <w:r>
        <w:rPr>
          <w:spacing w:val="40"/>
        </w:rPr>
        <w:t xml:space="preserve"> </w:t>
      </w:r>
      <w:r>
        <w:t>rol</w:t>
      </w:r>
      <w:r>
        <w:rPr>
          <w:spacing w:val="40"/>
        </w:rPr>
        <w:t xml:space="preserve"> </w:t>
      </w:r>
      <w:r>
        <w:t>C1387-14);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Corporación</w:t>
      </w:r>
      <w:r>
        <w:rPr>
          <w:spacing w:val="40"/>
        </w:rPr>
        <w:t xml:space="preserve"> </w:t>
      </w:r>
      <w:r>
        <w:t>Cultural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Ñuñoa</w:t>
      </w:r>
      <w:r>
        <w:rPr>
          <w:spacing w:val="40"/>
        </w:rPr>
        <w:t xml:space="preserve"> </w:t>
      </w:r>
      <w:r>
        <w:t>(decisión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amparo</w:t>
      </w:r>
      <w:r>
        <w:rPr>
          <w:spacing w:val="40"/>
        </w:rPr>
        <w:t xml:space="preserve"> </w:t>
      </w:r>
      <w:r>
        <w:t>Rol C1672-18); Corporación Cultural Municipal de Puente Alto (decisión de amparo Rol</w:t>
      </w:r>
      <w:r>
        <w:rPr>
          <w:spacing w:val="80"/>
        </w:rPr>
        <w:t xml:space="preserve"> </w:t>
      </w:r>
      <w:r>
        <w:t xml:space="preserve">C6146-18); y la Corporación Cultural de las Condes (decisión de amparo Rol C6509-19); entre otras. Sin embargo, </w:t>
      </w:r>
      <w:r>
        <w:rPr>
          <w:b/>
        </w:rPr>
        <w:t>es evidente que, en todas dichas instituciones conf</w:t>
      </w:r>
      <w:r>
        <w:rPr>
          <w:b/>
        </w:rPr>
        <w:t>luye una finalidad</w:t>
      </w:r>
      <w:r>
        <w:rPr>
          <w:b/>
          <w:spacing w:val="12"/>
        </w:rPr>
        <w:t xml:space="preserve"> </w:t>
      </w:r>
      <w:r>
        <w:rPr>
          <w:b/>
        </w:rPr>
        <w:t>de</w:t>
      </w:r>
      <w:r>
        <w:rPr>
          <w:b/>
          <w:spacing w:val="13"/>
        </w:rPr>
        <w:t xml:space="preserve"> </w:t>
      </w:r>
      <w:r>
        <w:rPr>
          <w:b/>
        </w:rPr>
        <w:t>satisfacción</w:t>
      </w:r>
      <w:r>
        <w:rPr>
          <w:b/>
          <w:spacing w:val="13"/>
        </w:rPr>
        <w:t xml:space="preserve"> </w:t>
      </w:r>
      <w:r>
        <w:rPr>
          <w:b/>
        </w:rPr>
        <w:t>de</w:t>
      </w:r>
      <w:r>
        <w:rPr>
          <w:b/>
          <w:spacing w:val="13"/>
        </w:rPr>
        <w:t xml:space="preserve"> </w:t>
      </w:r>
      <w:r>
        <w:rPr>
          <w:b/>
        </w:rPr>
        <w:t>necesidades</w:t>
      </w:r>
      <w:r>
        <w:rPr>
          <w:b/>
          <w:spacing w:val="12"/>
        </w:rPr>
        <w:t xml:space="preserve"> </w:t>
      </w:r>
      <w:r>
        <w:rPr>
          <w:b/>
        </w:rPr>
        <w:t>de</w:t>
      </w:r>
      <w:r>
        <w:rPr>
          <w:b/>
          <w:spacing w:val="13"/>
        </w:rPr>
        <w:t xml:space="preserve"> </w:t>
      </w:r>
      <w:r>
        <w:rPr>
          <w:b/>
        </w:rPr>
        <w:t>la</w:t>
      </w:r>
      <w:r>
        <w:rPr>
          <w:b/>
          <w:spacing w:val="13"/>
        </w:rPr>
        <w:t xml:space="preserve"> </w:t>
      </w:r>
      <w:r>
        <w:rPr>
          <w:b/>
        </w:rPr>
        <w:t>comunidad</w:t>
      </w:r>
      <w:r>
        <w:rPr>
          <w:b/>
          <w:spacing w:val="13"/>
        </w:rPr>
        <w:t xml:space="preserve"> </w:t>
      </w:r>
      <w:r>
        <w:rPr>
          <w:b/>
        </w:rPr>
        <w:t>y</w:t>
      </w:r>
      <w:r>
        <w:rPr>
          <w:b/>
          <w:spacing w:val="12"/>
        </w:rPr>
        <w:t xml:space="preserve"> </w:t>
      </w:r>
      <w:r>
        <w:rPr>
          <w:b/>
        </w:rPr>
        <w:t>para</w:t>
      </w:r>
      <w:r>
        <w:rPr>
          <w:b/>
          <w:spacing w:val="13"/>
        </w:rPr>
        <w:t xml:space="preserve"> </w:t>
      </w:r>
      <w:r>
        <w:rPr>
          <w:b/>
        </w:rPr>
        <w:t>cuyo</w:t>
      </w:r>
      <w:r>
        <w:rPr>
          <w:b/>
          <w:spacing w:val="13"/>
        </w:rPr>
        <w:t xml:space="preserve"> </w:t>
      </w:r>
      <w:r>
        <w:rPr>
          <w:b/>
        </w:rPr>
        <w:t>efecto</w:t>
      </w:r>
      <w:r>
        <w:rPr>
          <w:b/>
          <w:spacing w:val="-2"/>
        </w:rPr>
        <w:t xml:space="preserve"> </w:t>
      </w:r>
      <w:r>
        <w:rPr>
          <w:b/>
        </w:rPr>
        <w:t>le</w:t>
      </w:r>
      <w:r>
        <w:rPr>
          <w:b/>
          <w:spacing w:val="-2"/>
        </w:rPr>
        <w:t xml:space="preserve"> </w:t>
      </w:r>
      <w:r>
        <w:rPr>
          <w:b/>
        </w:rPr>
        <w:t>han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sido</w:t>
      </w:r>
    </w:p>
    <w:p w:rsidR="00220374" w:rsidRDefault="00220374">
      <w:pPr>
        <w:jc w:val="both"/>
        <w:sectPr w:rsidR="00220374">
          <w:type w:val="continuous"/>
          <w:pgSz w:w="12240" w:h="15840"/>
          <w:pgMar w:top="1740" w:right="1600" w:bottom="280" w:left="1580" w:header="720" w:footer="720" w:gutter="0"/>
          <w:cols w:space="720"/>
        </w:sectPr>
      </w:pPr>
    </w:p>
    <w:p w:rsidR="00220374" w:rsidRDefault="001F3987">
      <w:pPr>
        <w:pStyle w:val="Ttulo1"/>
        <w:spacing w:before="41"/>
        <w:rPr>
          <w:b w:val="0"/>
        </w:rPr>
      </w:pPr>
      <w:proofErr w:type="gramStart"/>
      <w:r>
        <w:lastRenderedPageBreak/>
        <w:t>atribuidas</w:t>
      </w:r>
      <w:proofErr w:type="gramEnd"/>
      <w:r>
        <w:t xml:space="preserve"> potestades públicas y se financia mayoritaria o exclusivamente con recursos </w:t>
      </w:r>
      <w:r>
        <w:rPr>
          <w:spacing w:val="-2"/>
        </w:rPr>
        <w:t>públicos”</w:t>
      </w:r>
      <w:r>
        <w:rPr>
          <w:spacing w:val="-2"/>
          <w:vertAlign w:val="superscript"/>
        </w:rPr>
        <w:t>1</w:t>
      </w:r>
      <w:r>
        <w:rPr>
          <w:b w:val="0"/>
          <w:spacing w:val="-2"/>
        </w:rPr>
        <w:t>.</w:t>
      </w:r>
    </w:p>
    <w:p w:rsidR="00220374" w:rsidRDefault="00220374">
      <w:pPr>
        <w:pStyle w:val="Textoindependiente"/>
      </w:pPr>
    </w:p>
    <w:p w:rsidR="00220374" w:rsidRDefault="001F3987">
      <w:pPr>
        <w:pStyle w:val="Textoindependiente"/>
        <w:ind w:left="121" w:right="99"/>
        <w:jc w:val="both"/>
      </w:pPr>
      <w:r>
        <w:t xml:space="preserve">Es por lo anterior que, en este orden de ideas, el consagrar a nivel legal la obligación de cumplimiento de la Ley Nº 20.285 de toda corporación, fundación o persona jurídica creada por instituciones públicas y financiadas, total o parcialmente con fondos </w:t>
      </w:r>
      <w:r>
        <w:t>públicos, resulta útil a objeto de transparentar el ejercicio de las mismas, haciendo exigible las normas sobre transparencia activa.</w:t>
      </w:r>
    </w:p>
    <w:p w:rsidR="00220374" w:rsidRDefault="00220374">
      <w:pPr>
        <w:pStyle w:val="Textoindependiente"/>
      </w:pPr>
    </w:p>
    <w:p w:rsidR="00220374" w:rsidRDefault="001F3987">
      <w:pPr>
        <w:pStyle w:val="Textoindependiente"/>
        <w:ind w:left="121" w:right="100"/>
        <w:jc w:val="both"/>
      </w:pPr>
      <w:r>
        <w:t>Además, dicha situación podemos avizorar que ocurrirá también con las corporaciones financiadas con recursos de los Gobie</w:t>
      </w:r>
      <w:r>
        <w:t>rnos Regionales, pues tampoco se encuentran obligadas a cumplir las normas sobre</w:t>
      </w:r>
      <w:r>
        <w:rPr>
          <w:spacing w:val="-7"/>
        </w:rPr>
        <w:t xml:space="preserve"> </w:t>
      </w:r>
      <w:r>
        <w:t>transparencia,</w:t>
      </w:r>
      <w:r>
        <w:rPr>
          <w:spacing w:val="-7"/>
        </w:rPr>
        <w:t xml:space="preserve"> </w:t>
      </w:r>
      <w:r>
        <w:t>generando</w:t>
      </w:r>
      <w:r>
        <w:rPr>
          <w:spacing w:val="-7"/>
        </w:rPr>
        <w:t xml:space="preserve"> </w:t>
      </w:r>
      <w:r>
        <w:t>opacidad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actuar.</w:t>
      </w:r>
      <w:r>
        <w:rPr>
          <w:spacing w:val="-7"/>
        </w:rPr>
        <w:t xml:space="preserve"> </w:t>
      </w:r>
      <w:r>
        <w:t>Por ello, el presente proyecto de ley busca zanjar de manera definitiva la aplicación de la Ley de Transparencia a toda corpora</w:t>
      </w:r>
      <w:r>
        <w:t>ción que sea financiada con recursos públicos.</w:t>
      </w:r>
    </w:p>
    <w:p w:rsidR="00220374" w:rsidRDefault="00220374">
      <w:pPr>
        <w:pStyle w:val="Textoindependiente"/>
      </w:pPr>
    </w:p>
    <w:p w:rsidR="00220374" w:rsidRDefault="00220374">
      <w:pPr>
        <w:pStyle w:val="Textoindependiente"/>
      </w:pPr>
    </w:p>
    <w:p w:rsidR="00220374" w:rsidRDefault="001F3987">
      <w:pPr>
        <w:pStyle w:val="Ttulo1"/>
        <w:ind w:left="2414" w:right="2394"/>
        <w:jc w:val="center"/>
      </w:pPr>
      <w:r>
        <w:t>PROYECTO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5"/>
        </w:rPr>
        <w:t>LEY</w:t>
      </w:r>
    </w:p>
    <w:p w:rsidR="00220374" w:rsidRDefault="00220374">
      <w:pPr>
        <w:pStyle w:val="Textoindependiente"/>
        <w:rPr>
          <w:b/>
        </w:rPr>
      </w:pPr>
    </w:p>
    <w:p w:rsidR="00220374" w:rsidRDefault="001F3987">
      <w:pPr>
        <w:pStyle w:val="Textoindependiente"/>
        <w:ind w:left="121" w:right="104"/>
        <w:jc w:val="both"/>
      </w:pPr>
      <w:r>
        <w:rPr>
          <w:b/>
        </w:rPr>
        <w:t xml:space="preserve">Artículo único. </w:t>
      </w:r>
      <w:r>
        <w:t>Incorpórese un inciso cuarto al artículo 2º de la ley Nº 20.285,</w:t>
      </w:r>
      <w:r>
        <w:rPr>
          <w:spacing w:val="-3"/>
        </w:rPr>
        <w:t xml:space="preserve"> </w:t>
      </w:r>
      <w:r>
        <w:t>pasando</w:t>
      </w:r>
      <w:r>
        <w:rPr>
          <w:spacing w:val="-3"/>
        </w:rPr>
        <w:t xml:space="preserve"> </w:t>
      </w:r>
      <w:r>
        <w:t>el actual inciso cuarto a ser el inciso quinto, bajo el tenor siguiente:</w:t>
      </w:r>
    </w:p>
    <w:p w:rsidR="00220374" w:rsidRDefault="00220374">
      <w:pPr>
        <w:pStyle w:val="Textoindependiente"/>
      </w:pPr>
    </w:p>
    <w:p w:rsidR="00220374" w:rsidRDefault="001F3987">
      <w:pPr>
        <w:pStyle w:val="Ttulo1"/>
        <w:ind w:right="99"/>
      </w:pPr>
      <w:r>
        <w:t>“Las corporaciones, fundaciones y/o personas jurídicas creadas por las municipalidades</w:t>
      </w:r>
      <w:r>
        <w:rPr>
          <w:spacing w:val="40"/>
        </w:rPr>
        <w:t xml:space="preserve"> </w:t>
      </w:r>
      <w:r>
        <w:t>o por los gobiernos regionales estarán sujetas a las disposiciones de la presente ley. Lo anterior, independiente de su fuente de financiamiento, siempre que la direcció</w:t>
      </w:r>
      <w:r>
        <w:t>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 citadas organizaciones esté bajo el alero del municipio o gobierno regional respectivo”.</w:t>
      </w:r>
    </w:p>
    <w:p w:rsidR="00220374" w:rsidRDefault="00220374">
      <w:pPr>
        <w:pStyle w:val="Textoindependiente"/>
        <w:rPr>
          <w:b/>
        </w:rPr>
      </w:pPr>
    </w:p>
    <w:p w:rsidR="00220374" w:rsidRDefault="00220374">
      <w:pPr>
        <w:pStyle w:val="Textoindependiente"/>
        <w:rPr>
          <w:b/>
        </w:rPr>
      </w:pPr>
    </w:p>
    <w:p w:rsidR="00220374" w:rsidRDefault="00220374">
      <w:pPr>
        <w:pStyle w:val="Textoindependiente"/>
        <w:rPr>
          <w:b/>
        </w:rPr>
      </w:pPr>
    </w:p>
    <w:p w:rsidR="00220374" w:rsidRDefault="00220374">
      <w:pPr>
        <w:pStyle w:val="Textoindependiente"/>
        <w:rPr>
          <w:b/>
        </w:rPr>
      </w:pPr>
    </w:p>
    <w:p w:rsidR="00220374" w:rsidRDefault="001F3987">
      <w:pPr>
        <w:ind w:left="3435" w:right="3413"/>
        <w:jc w:val="center"/>
        <w:rPr>
          <w:b/>
          <w:sz w:val="24"/>
        </w:rPr>
      </w:pPr>
      <w:r>
        <w:rPr>
          <w:b/>
          <w:sz w:val="24"/>
        </w:rPr>
        <w:t>Matías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Ramirez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Pascal </w:t>
      </w:r>
      <w:r>
        <w:rPr>
          <w:b/>
          <w:spacing w:val="-2"/>
          <w:sz w:val="24"/>
        </w:rPr>
        <w:t>Diputado</w:t>
      </w:r>
    </w:p>
    <w:p w:rsidR="00220374" w:rsidRDefault="00220374">
      <w:pPr>
        <w:pStyle w:val="Textoindependiente"/>
        <w:rPr>
          <w:b/>
          <w:sz w:val="20"/>
        </w:rPr>
      </w:pPr>
    </w:p>
    <w:p w:rsidR="00220374" w:rsidRDefault="00220374">
      <w:pPr>
        <w:pStyle w:val="Textoindependiente"/>
        <w:rPr>
          <w:b/>
          <w:sz w:val="20"/>
        </w:rPr>
      </w:pPr>
    </w:p>
    <w:p w:rsidR="00220374" w:rsidRDefault="00220374">
      <w:pPr>
        <w:pStyle w:val="Textoindependiente"/>
        <w:rPr>
          <w:b/>
          <w:sz w:val="20"/>
        </w:rPr>
      </w:pPr>
    </w:p>
    <w:p w:rsidR="00220374" w:rsidRDefault="00220374">
      <w:pPr>
        <w:pStyle w:val="Textoindependiente"/>
        <w:rPr>
          <w:b/>
          <w:sz w:val="20"/>
        </w:rPr>
      </w:pPr>
    </w:p>
    <w:p w:rsidR="00220374" w:rsidRDefault="00220374">
      <w:pPr>
        <w:pStyle w:val="Textoindependiente"/>
        <w:rPr>
          <w:b/>
          <w:sz w:val="20"/>
        </w:rPr>
      </w:pPr>
    </w:p>
    <w:p w:rsidR="00220374" w:rsidRDefault="00220374">
      <w:pPr>
        <w:pStyle w:val="Textoindependiente"/>
        <w:rPr>
          <w:b/>
          <w:sz w:val="20"/>
        </w:rPr>
      </w:pPr>
    </w:p>
    <w:p w:rsidR="00220374" w:rsidRDefault="00220374">
      <w:pPr>
        <w:pStyle w:val="Textoindependiente"/>
        <w:rPr>
          <w:b/>
          <w:sz w:val="20"/>
        </w:rPr>
      </w:pPr>
    </w:p>
    <w:p w:rsidR="00220374" w:rsidRDefault="00220374">
      <w:pPr>
        <w:pStyle w:val="Textoindependiente"/>
        <w:rPr>
          <w:b/>
          <w:sz w:val="20"/>
        </w:rPr>
      </w:pPr>
    </w:p>
    <w:p w:rsidR="00220374" w:rsidRDefault="00220374">
      <w:pPr>
        <w:pStyle w:val="Textoindependiente"/>
        <w:rPr>
          <w:b/>
          <w:sz w:val="20"/>
        </w:rPr>
      </w:pPr>
    </w:p>
    <w:p w:rsidR="00220374" w:rsidRDefault="00220374">
      <w:pPr>
        <w:pStyle w:val="Textoindependiente"/>
        <w:rPr>
          <w:b/>
          <w:sz w:val="20"/>
        </w:rPr>
      </w:pPr>
    </w:p>
    <w:p w:rsidR="00220374" w:rsidRDefault="00220374">
      <w:pPr>
        <w:pStyle w:val="Textoindependiente"/>
        <w:rPr>
          <w:b/>
          <w:sz w:val="20"/>
        </w:rPr>
      </w:pPr>
    </w:p>
    <w:p w:rsidR="00220374" w:rsidRDefault="00220374">
      <w:pPr>
        <w:pStyle w:val="Textoindependiente"/>
        <w:rPr>
          <w:b/>
          <w:sz w:val="20"/>
        </w:rPr>
      </w:pPr>
    </w:p>
    <w:p w:rsidR="00220374" w:rsidRDefault="00220374">
      <w:pPr>
        <w:pStyle w:val="Textoindependiente"/>
        <w:rPr>
          <w:b/>
          <w:sz w:val="20"/>
        </w:rPr>
      </w:pPr>
    </w:p>
    <w:p w:rsidR="00220374" w:rsidRDefault="001F3987">
      <w:pPr>
        <w:pStyle w:val="Textoindependiente"/>
        <w:spacing w:before="6"/>
        <w:rPr>
          <w:b/>
          <w:sz w:val="10"/>
        </w:rPr>
      </w:pPr>
      <w:r>
        <w:pict>
          <v:shape id="docshape1" o:spid="_x0000_s1026" style="position:absolute;margin-left:84.75pt;margin-top:7.65pt;width:2in;height:.1pt;z-index:-251658752;mso-wrap-distance-left:0;mso-wrap-distance-right:0;mso-position-horizontal-relative:page" coordorigin="1695,153" coordsize="2880,0" path="m1695,153r2880,e" filled="f">
            <v:path arrowok="t"/>
            <w10:wrap type="topAndBottom" anchorx="page"/>
          </v:shape>
        </w:pict>
      </w:r>
    </w:p>
    <w:p w:rsidR="00220374" w:rsidRDefault="001F3987">
      <w:pPr>
        <w:spacing w:before="101"/>
        <w:ind w:left="121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Decisión</w:t>
      </w:r>
      <w:r>
        <w:rPr>
          <w:spacing w:val="-5"/>
          <w:sz w:val="20"/>
        </w:rPr>
        <w:t xml:space="preserve"> </w:t>
      </w:r>
      <w:r>
        <w:rPr>
          <w:sz w:val="20"/>
        </w:rPr>
        <w:t>NºC-1519-22,</w:t>
      </w:r>
      <w:r>
        <w:rPr>
          <w:spacing w:val="37"/>
          <w:sz w:val="20"/>
        </w:rPr>
        <w:t xml:space="preserve"> </w:t>
      </w:r>
      <w:r>
        <w:rPr>
          <w:sz w:val="20"/>
        </w:rPr>
        <w:t>“Jorge</w:t>
      </w:r>
      <w:r>
        <w:rPr>
          <w:spacing w:val="37"/>
          <w:sz w:val="20"/>
        </w:rPr>
        <w:t xml:space="preserve"> </w:t>
      </w:r>
      <w:r>
        <w:rPr>
          <w:sz w:val="20"/>
        </w:rPr>
        <w:t>Condesa</w:t>
      </w:r>
      <w:r>
        <w:rPr>
          <w:spacing w:val="37"/>
          <w:sz w:val="20"/>
        </w:rPr>
        <w:t xml:space="preserve"> </w:t>
      </w:r>
      <w:proofErr w:type="spellStart"/>
      <w:r>
        <w:rPr>
          <w:sz w:val="20"/>
        </w:rPr>
        <w:t>Neube</w:t>
      </w:r>
      <w:proofErr w:type="spellEnd"/>
      <w:r>
        <w:rPr>
          <w:spacing w:val="37"/>
          <w:sz w:val="20"/>
        </w:rPr>
        <w:t xml:space="preserve"> </w:t>
      </w:r>
      <w:r>
        <w:rPr>
          <w:sz w:val="20"/>
        </w:rPr>
        <w:t>con</w:t>
      </w:r>
      <w:r>
        <w:rPr>
          <w:spacing w:val="37"/>
          <w:sz w:val="20"/>
        </w:rPr>
        <w:t xml:space="preserve"> </w:t>
      </w:r>
      <w:r>
        <w:rPr>
          <w:sz w:val="20"/>
        </w:rPr>
        <w:t>Corporación</w:t>
      </w:r>
      <w:r>
        <w:rPr>
          <w:spacing w:val="37"/>
          <w:sz w:val="20"/>
        </w:rPr>
        <w:t xml:space="preserve"> </w:t>
      </w:r>
      <w:r>
        <w:rPr>
          <w:sz w:val="20"/>
        </w:rPr>
        <w:t>Cultural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Las</w:t>
      </w:r>
      <w:r>
        <w:rPr>
          <w:spacing w:val="37"/>
          <w:sz w:val="20"/>
        </w:rPr>
        <w:t xml:space="preserve"> </w:t>
      </w:r>
      <w:r>
        <w:rPr>
          <w:sz w:val="20"/>
        </w:rPr>
        <w:t>Condes”,</w:t>
      </w:r>
      <w:r>
        <w:rPr>
          <w:spacing w:val="-5"/>
          <w:sz w:val="20"/>
        </w:rPr>
        <w:t xml:space="preserve"> </w:t>
      </w:r>
      <w:r>
        <w:rPr>
          <w:sz w:val="20"/>
        </w:rPr>
        <w:t>disponible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en </w:t>
      </w:r>
      <w:r>
        <w:rPr>
          <w:color w:val="002060"/>
          <w:spacing w:val="-2"/>
          <w:sz w:val="20"/>
          <w:u w:val="thick" w:color="002060"/>
        </w:rPr>
        <w:t>https://jurisprudencia.cplt.cl/cplt/decision.php?id=CPLT000057923</w:t>
      </w:r>
    </w:p>
    <w:sectPr w:rsidR="00220374">
      <w:pgSz w:w="12240" w:h="15840"/>
      <w:pgMar w:top="138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0374"/>
    <w:rsid w:val="001F3987"/>
    <w:rsid w:val="0022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58B046AB-F981-4520-9906-3E714978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21" w:right="103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24"/>
      <w:ind w:left="2414" w:right="2394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Ley.docx</dc:title>
  <dc:creator>Leonardo Lueiza Ureta</dc:creator>
  <cp:lastModifiedBy>Leonardo Lueiza Ureta</cp:lastModifiedBy>
  <cp:revision>1</cp:revision>
  <dcterms:created xsi:type="dcterms:W3CDTF">2022-12-01T13:04:00Z</dcterms:created>
  <dcterms:modified xsi:type="dcterms:W3CDTF">2022-12-14T15:05:00Z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