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B0" w:rsidRDefault="00BD0CE0">
      <w:pPr>
        <w:pStyle w:val="Ttulo1"/>
        <w:spacing w:before="64" w:line="360" w:lineRule="auto"/>
        <w:ind w:left="783" w:hanging="156"/>
        <w:rPr>
          <w:b/>
        </w:rPr>
      </w:pPr>
      <w:bookmarkStart w:id="0" w:name="_GoBack"/>
      <w:bookmarkEnd w:id="0"/>
      <w:r>
        <w:rPr>
          <w:b/>
        </w:rPr>
        <w:t>PROYECTO</w:t>
      </w:r>
      <w:r>
        <w:rPr>
          <w:b/>
          <w:spacing w:val="-7"/>
        </w:rPr>
        <w:t xml:space="preserve"> </w:t>
      </w:r>
      <w:r>
        <w:rPr>
          <w:b/>
        </w:rPr>
        <w:t>DE</w:t>
      </w:r>
      <w:r>
        <w:rPr>
          <w:b/>
          <w:spacing w:val="-6"/>
        </w:rPr>
        <w:t xml:space="preserve"> </w:t>
      </w:r>
      <w:r>
        <w:rPr>
          <w:b/>
        </w:rPr>
        <w:t>LEY</w:t>
      </w:r>
      <w:r>
        <w:rPr>
          <w:b/>
          <w:spacing w:val="-6"/>
        </w:rPr>
        <w:t xml:space="preserve"> </w:t>
      </w:r>
      <w:r>
        <w:rPr>
          <w:b/>
        </w:rPr>
        <w:t>QUE</w:t>
      </w:r>
      <w:r>
        <w:rPr>
          <w:b/>
          <w:spacing w:val="-6"/>
        </w:rPr>
        <w:t xml:space="preserve"> </w:t>
      </w:r>
      <w:r>
        <w:rPr>
          <w:b/>
        </w:rPr>
        <w:t>PRORROGA</w:t>
      </w:r>
      <w:r>
        <w:rPr>
          <w:b/>
          <w:spacing w:val="-6"/>
        </w:rPr>
        <w:t xml:space="preserve"> </w:t>
      </w:r>
      <w:r>
        <w:rPr>
          <w:b/>
        </w:rPr>
        <w:t>TRANSITORIAMENTE</w:t>
      </w:r>
      <w:r>
        <w:rPr>
          <w:b/>
          <w:spacing w:val="-7"/>
        </w:rPr>
        <w:t xml:space="preserve"> </w:t>
      </w:r>
      <w:r>
        <w:rPr>
          <w:b/>
        </w:rPr>
        <w:t>LA VIGENCIA DE LAS PATENTES MUNICIPALES PROVISORIAS.</w:t>
      </w:r>
    </w:p>
    <w:p w:rsidR="009354B0" w:rsidRDefault="009354B0">
      <w:pPr>
        <w:pStyle w:val="Textoindependiente"/>
        <w:rPr>
          <w:b/>
          <w:sz w:val="28"/>
        </w:rPr>
      </w:pPr>
    </w:p>
    <w:p w:rsidR="009354B0" w:rsidRDefault="009354B0">
      <w:pPr>
        <w:pStyle w:val="Textoindependiente"/>
        <w:rPr>
          <w:b/>
          <w:sz w:val="28"/>
        </w:rPr>
      </w:pPr>
    </w:p>
    <w:p w:rsidR="009354B0" w:rsidRDefault="00BD0CE0">
      <w:pPr>
        <w:pStyle w:val="Prrafodelista"/>
        <w:numPr>
          <w:ilvl w:val="0"/>
          <w:numId w:val="1"/>
        </w:numPr>
        <w:tabs>
          <w:tab w:val="left" w:pos="822"/>
        </w:tabs>
        <w:spacing w:before="187"/>
        <w:ind w:hanging="361"/>
        <w:rPr>
          <w:b/>
          <w:sz w:val="24"/>
        </w:rPr>
      </w:pPr>
      <w:r>
        <w:rPr>
          <w:b/>
          <w:spacing w:val="-2"/>
          <w:sz w:val="24"/>
        </w:rPr>
        <w:t>ANTECEDENTES.</w:t>
      </w:r>
    </w:p>
    <w:p w:rsidR="009354B0" w:rsidRDefault="009354B0">
      <w:pPr>
        <w:pStyle w:val="Textoindependiente"/>
        <w:rPr>
          <w:b/>
          <w:sz w:val="28"/>
        </w:rPr>
      </w:pPr>
    </w:p>
    <w:p w:rsidR="009354B0" w:rsidRDefault="00BD0CE0">
      <w:pPr>
        <w:pStyle w:val="Textoindependiente"/>
        <w:spacing w:before="238" w:line="360" w:lineRule="auto"/>
        <w:ind w:left="102" w:right="115" w:firstLine="707"/>
        <w:jc w:val="both"/>
      </w:pPr>
      <w:r>
        <w:t>El</w:t>
      </w:r>
      <w:r>
        <w:rPr>
          <w:spacing w:val="-18"/>
        </w:rPr>
        <w:t xml:space="preserve"> </w:t>
      </w:r>
      <w:r>
        <w:t>artículo</w:t>
      </w:r>
      <w:r>
        <w:rPr>
          <w:spacing w:val="-18"/>
        </w:rPr>
        <w:t xml:space="preserve"> </w:t>
      </w:r>
      <w:r>
        <w:t>19</w:t>
      </w:r>
      <w:r>
        <w:rPr>
          <w:spacing w:val="-18"/>
        </w:rPr>
        <w:t xml:space="preserve"> </w:t>
      </w:r>
      <w:r>
        <w:t>Nº20</w:t>
      </w:r>
      <w:r>
        <w:rPr>
          <w:spacing w:val="-18"/>
        </w:rPr>
        <w:t xml:space="preserve"> </w:t>
      </w:r>
      <w:r>
        <w:t>de</w:t>
      </w:r>
      <w:r>
        <w:rPr>
          <w:spacing w:val="-18"/>
        </w:rPr>
        <w:t xml:space="preserve"> </w:t>
      </w:r>
      <w:r>
        <w:t>la</w:t>
      </w:r>
      <w:r>
        <w:rPr>
          <w:spacing w:val="-18"/>
        </w:rPr>
        <w:t xml:space="preserve"> </w:t>
      </w:r>
      <w:r>
        <w:t>Constitución</w:t>
      </w:r>
      <w:r>
        <w:rPr>
          <w:spacing w:val="-18"/>
        </w:rPr>
        <w:t xml:space="preserve"> </w:t>
      </w:r>
      <w:r>
        <w:t>Política</w:t>
      </w:r>
      <w:r>
        <w:rPr>
          <w:spacing w:val="-18"/>
        </w:rPr>
        <w:t xml:space="preserve"> </w:t>
      </w:r>
      <w:r>
        <w:t>de</w:t>
      </w:r>
      <w:r>
        <w:rPr>
          <w:spacing w:val="-18"/>
        </w:rPr>
        <w:t xml:space="preserve"> </w:t>
      </w:r>
      <w:r>
        <w:t>la</w:t>
      </w:r>
      <w:r>
        <w:rPr>
          <w:spacing w:val="-18"/>
        </w:rPr>
        <w:t xml:space="preserve"> </w:t>
      </w:r>
      <w:r>
        <w:t>República</w:t>
      </w:r>
      <w:r>
        <w:rPr>
          <w:spacing w:val="-14"/>
        </w:rPr>
        <w:t xml:space="preserve"> </w:t>
      </w:r>
      <w:r>
        <w:t>asegura a todas las personas la igual repartición de los tributos en proporción a las rentas</w:t>
      </w:r>
      <w:r>
        <w:rPr>
          <w:spacing w:val="-3"/>
        </w:rPr>
        <w:t xml:space="preserve"> </w:t>
      </w:r>
      <w:r>
        <w:t>o</w:t>
      </w:r>
      <w:r>
        <w:rPr>
          <w:spacing w:val="-3"/>
        </w:rPr>
        <w:t xml:space="preserve"> </w:t>
      </w:r>
      <w:r>
        <w:t>en</w:t>
      </w:r>
      <w:r>
        <w:rPr>
          <w:spacing w:val="-3"/>
        </w:rPr>
        <w:t xml:space="preserve"> </w:t>
      </w:r>
      <w:r>
        <w:t>la</w:t>
      </w:r>
      <w:r>
        <w:rPr>
          <w:spacing w:val="-3"/>
        </w:rPr>
        <w:t xml:space="preserve"> </w:t>
      </w:r>
      <w:r>
        <w:t>progresión</w:t>
      </w:r>
      <w:r>
        <w:rPr>
          <w:spacing w:val="-3"/>
        </w:rPr>
        <w:t xml:space="preserve"> </w:t>
      </w:r>
      <w:r>
        <w:t>o</w:t>
      </w:r>
      <w:r>
        <w:rPr>
          <w:spacing w:val="-3"/>
        </w:rPr>
        <w:t xml:space="preserve"> </w:t>
      </w:r>
      <w:r>
        <w:t>forma</w:t>
      </w:r>
      <w:r>
        <w:rPr>
          <w:spacing w:val="-3"/>
        </w:rPr>
        <w:t xml:space="preserve"> </w:t>
      </w:r>
      <w:r>
        <w:t>que</w:t>
      </w:r>
      <w:r>
        <w:rPr>
          <w:spacing w:val="-3"/>
        </w:rPr>
        <w:t xml:space="preserve"> </w:t>
      </w:r>
      <w:r>
        <w:t>fije</w:t>
      </w:r>
      <w:r>
        <w:rPr>
          <w:spacing w:val="-6"/>
        </w:rPr>
        <w:t xml:space="preserve"> </w:t>
      </w:r>
      <w:r>
        <w:t>la</w:t>
      </w:r>
      <w:r>
        <w:rPr>
          <w:spacing w:val="-3"/>
        </w:rPr>
        <w:t xml:space="preserve"> </w:t>
      </w:r>
      <w:r>
        <w:t>ley,</w:t>
      </w:r>
      <w:r>
        <w:rPr>
          <w:spacing w:val="-3"/>
        </w:rPr>
        <w:t xml:space="preserve"> </w:t>
      </w:r>
      <w:r>
        <w:t>y</w:t>
      </w:r>
      <w:r>
        <w:rPr>
          <w:spacing w:val="-3"/>
        </w:rPr>
        <w:t xml:space="preserve"> </w:t>
      </w:r>
      <w:r>
        <w:t>la</w:t>
      </w:r>
      <w:r>
        <w:rPr>
          <w:spacing w:val="-3"/>
        </w:rPr>
        <w:t xml:space="preserve"> </w:t>
      </w:r>
      <w:r>
        <w:t>igual</w:t>
      </w:r>
      <w:r>
        <w:rPr>
          <w:spacing w:val="-3"/>
        </w:rPr>
        <w:t xml:space="preserve"> </w:t>
      </w:r>
      <w:r>
        <w:t>repartición</w:t>
      </w:r>
      <w:r>
        <w:rPr>
          <w:spacing w:val="-3"/>
        </w:rPr>
        <w:t xml:space="preserve"> </w:t>
      </w:r>
      <w:r>
        <w:t>de</w:t>
      </w:r>
      <w:r>
        <w:rPr>
          <w:spacing w:val="-4"/>
        </w:rPr>
        <w:t xml:space="preserve"> </w:t>
      </w:r>
      <w:r>
        <w:t>las demás cargas públicas, agregando que, en ningún caso la ley podrá establecer tributos man</w:t>
      </w:r>
      <w:r>
        <w:t>ifiestamente desproporcionados o injustos.</w:t>
      </w:r>
    </w:p>
    <w:p w:rsidR="009354B0" w:rsidRDefault="009354B0">
      <w:pPr>
        <w:pStyle w:val="Textoindependiente"/>
        <w:spacing w:before="10"/>
        <w:rPr>
          <w:sz w:val="35"/>
        </w:rPr>
      </w:pPr>
    </w:p>
    <w:p w:rsidR="009354B0" w:rsidRDefault="00BD0CE0">
      <w:pPr>
        <w:pStyle w:val="Textoindependiente"/>
        <w:spacing w:before="1" w:line="360" w:lineRule="auto"/>
        <w:ind w:left="102" w:right="115" w:firstLine="707"/>
        <w:jc w:val="both"/>
      </w:pPr>
      <w:r>
        <w:t>El artículo 24 de la Ley sobre Rentas Municipales, ubicada en su Título IV sobre Impuestos Municipales, grava con patente la actividad que se</w:t>
      </w:r>
      <w:r>
        <w:rPr>
          <w:spacing w:val="-5"/>
        </w:rPr>
        <w:t xml:space="preserve"> </w:t>
      </w:r>
      <w:r>
        <w:t>ejerza</w:t>
      </w:r>
      <w:r>
        <w:rPr>
          <w:spacing w:val="-5"/>
        </w:rPr>
        <w:t xml:space="preserve"> </w:t>
      </w:r>
      <w:r>
        <w:t>por</w:t>
      </w:r>
      <w:r>
        <w:rPr>
          <w:spacing w:val="-5"/>
        </w:rPr>
        <w:t xml:space="preserve"> </w:t>
      </w:r>
      <w:r>
        <w:t>un</w:t>
      </w:r>
      <w:r>
        <w:rPr>
          <w:spacing w:val="-5"/>
        </w:rPr>
        <w:t xml:space="preserve"> </w:t>
      </w:r>
      <w:r>
        <w:t>mismo</w:t>
      </w:r>
      <w:r>
        <w:rPr>
          <w:spacing w:val="-5"/>
        </w:rPr>
        <w:t xml:space="preserve"> </w:t>
      </w:r>
      <w:r>
        <w:t>contribuyente,</w:t>
      </w:r>
      <w:r>
        <w:rPr>
          <w:spacing w:val="-5"/>
        </w:rPr>
        <w:t xml:space="preserve"> </w:t>
      </w:r>
      <w:r>
        <w:t>en</w:t>
      </w:r>
      <w:r>
        <w:rPr>
          <w:spacing w:val="-5"/>
        </w:rPr>
        <w:t xml:space="preserve"> </w:t>
      </w:r>
      <w:r>
        <w:t>su</w:t>
      </w:r>
      <w:r>
        <w:rPr>
          <w:spacing w:val="-5"/>
        </w:rPr>
        <w:t xml:space="preserve"> </w:t>
      </w:r>
      <w:r>
        <w:t>local,</w:t>
      </w:r>
      <w:r>
        <w:rPr>
          <w:spacing w:val="-5"/>
        </w:rPr>
        <w:t xml:space="preserve"> </w:t>
      </w:r>
      <w:r>
        <w:t>oficina,</w:t>
      </w:r>
      <w:r>
        <w:rPr>
          <w:spacing w:val="-5"/>
        </w:rPr>
        <w:t xml:space="preserve"> </w:t>
      </w:r>
      <w:r>
        <w:t>establecimiento, kiosco</w:t>
      </w:r>
      <w:r>
        <w:rPr>
          <w:spacing w:val="-7"/>
        </w:rPr>
        <w:t xml:space="preserve"> </w:t>
      </w:r>
      <w:r>
        <w:t>o</w:t>
      </w:r>
      <w:r>
        <w:rPr>
          <w:spacing w:val="-7"/>
        </w:rPr>
        <w:t xml:space="preserve"> </w:t>
      </w:r>
      <w:r>
        <w:t>lugar</w:t>
      </w:r>
      <w:r>
        <w:rPr>
          <w:spacing w:val="-7"/>
        </w:rPr>
        <w:t xml:space="preserve"> </w:t>
      </w:r>
      <w:r>
        <w:t>determinado</w:t>
      </w:r>
      <w:r>
        <w:rPr>
          <w:spacing w:val="-7"/>
        </w:rPr>
        <w:t xml:space="preserve"> </w:t>
      </w:r>
      <w:r>
        <w:t>con</w:t>
      </w:r>
      <w:r>
        <w:rPr>
          <w:spacing w:val="-7"/>
        </w:rPr>
        <w:t xml:space="preserve"> </w:t>
      </w:r>
      <w:r>
        <w:t>prescindencia</w:t>
      </w:r>
      <w:r>
        <w:rPr>
          <w:spacing w:val="-7"/>
        </w:rPr>
        <w:t xml:space="preserve"> </w:t>
      </w:r>
      <w:r>
        <w:t>de</w:t>
      </w:r>
      <w:r>
        <w:rPr>
          <w:spacing w:val="-7"/>
        </w:rPr>
        <w:t xml:space="preserve"> </w:t>
      </w:r>
      <w:r>
        <w:t>la</w:t>
      </w:r>
      <w:r>
        <w:rPr>
          <w:spacing w:val="-7"/>
        </w:rPr>
        <w:t xml:space="preserve"> </w:t>
      </w:r>
      <w:r>
        <w:t>clase</w:t>
      </w:r>
      <w:r>
        <w:rPr>
          <w:spacing w:val="-9"/>
        </w:rPr>
        <w:t xml:space="preserve"> </w:t>
      </w:r>
      <w:r>
        <w:t>o</w:t>
      </w:r>
      <w:r>
        <w:rPr>
          <w:spacing w:val="-7"/>
        </w:rPr>
        <w:t xml:space="preserve"> </w:t>
      </w:r>
      <w:r>
        <w:t>número</w:t>
      </w:r>
      <w:r>
        <w:rPr>
          <w:spacing w:val="-7"/>
        </w:rPr>
        <w:t xml:space="preserve"> </w:t>
      </w:r>
      <w:r>
        <w:t>de</w:t>
      </w:r>
      <w:r>
        <w:rPr>
          <w:spacing w:val="-7"/>
        </w:rPr>
        <w:t xml:space="preserve"> </w:t>
      </w:r>
      <w:r>
        <w:t>giros o rubros distintos que comprenda. El valor de esa patente es un monto equivalente</w:t>
      </w:r>
      <w:r>
        <w:rPr>
          <w:spacing w:val="-13"/>
        </w:rPr>
        <w:t xml:space="preserve"> </w:t>
      </w:r>
      <w:r>
        <w:t>entre</w:t>
      </w:r>
      <w:r>
        <w:rPr>
          <w:spacing w:val="-13"/>
        </w:rPr>
        <w:t xml:space="preserve"> </w:t>
      </w:r>
      <w:r>
        <w:t>los</w:t>
      </w:r>
      <w:r>
        <w:rPr>
          <w:spacing w:val="-15"/>
        </w:rPr>
        <w:t xml:space="preserve"> </w:t>
      </w:r>
      <w:r>
        <w:t>dos</w:t>
      </w:r>
      <w:r>
        <w:rPr>
          <w:spacing w:val="-12"/>
        </w:rPr>
        <w:t xml:space="preserve"> </w:t>
      </w:r>
      <w:r>
        <w:t>y</w:t>
      </w:r>
      <w:r>
        <w:rPr>
          <w:spacing w:val="-13"/>
        </w:rPr>
        <w:t xml:space="preserve"> </w:t>
      </w:r>
      <w:r>
        <w:t>medio</w:t>
      </w:r>
      <w:r>
        <w:rPr>
          <w:spacing w:val="-15"/>
        </w:rPr>
        <w:t xml:space="preserve"> </w:t>
      </w:r>
      <w:r>
        <w:t>por</w:t>
      </w:r>
      <w:r>
        <w:rPr>
          <w:spacing w:val="-13"/>
        </w:rPr>
        <w:t xml:space="preserve"> </w:t>
      </w:r>
      <w:r>
        <w:t>mil</w:t>
      </w:r>
      <w:r>
        <w:rPr>
          <w:spacing w:val="-17"/>
        </w:rPr>
        <w:t xml:space="preserve"> </w:t>
      </w:r>
      <w:r>
        <w:t>y</w:t>
      </w:r>
      <w:r>
        <w:rPr>
          <w:spacing w:val="-13"/>
        </w:rPr>
        <w:t xml:space="preserve"> </w:t>
      </w:r>
      <w:r>
        <w:t>el</w:t>
      </w:r>
      <w:r>
        <w:rPr>
          <w:spacing w:val="-13"/>
        </w:rPr>
        <w:t xml:space="preserve"> </w:t>
      </w:r>
      <w:r>
        <w:t>cinco</w:t>
      </w:r>
      <w:r>
        <w:rPr>
          <w:spacing w:val="-13"/>
        </w:rPr>
        <w:t xml:space="preserve"> </w:t>
      </w:r>
      <w:r>
        <w:t>por</w:t>
      </w:r>
      <w:r>
        <w:rPr>
          <w:spacing w:val="-15"/>
        </w:rPr>
        <w:t xml:space="preserve"> </w:t>
      </w:r>
      <w:r>
        <w:t>mil</w:t>
      </w:r>
      <w:r>
        <w:rPr>
          <w:spacing w:val="-13"/>
        </w:rPr>
        <w:t xml:space="preserve"> </w:t>
      </w:r>
      <w:r>
        <w:t>del</w:t>
      </w:r>
      <w:r>
        <w:rPr>
          <w:spacing w:val="-17"/>
        </w:rPr>
        <w:t xml:space="preserve"> </w:t>
      </w:r>
      <w:r>
        <w:t>capital</w:t>
      </w:r>
      <w:r>
        <w:rPr>
          <w:spacing w:val="-13"/>
        </w:rPr>
        <w:t xml:space="preserve"> </w:t>
      </w:r>
      <w:r>
        <w:t>propio de cada contri</w:t>
      </w:r>
      <w:r>
        <w:t>buyente. En ningún caso esa patente puede ser inferior a 1 UTM ni superior a 8.000 UTM.</w:t>
      </w:r>
    </w:p>
    <w:p w:rsidR="009354B0" w:rsidRDefault="009354B0">
      <w:pPr>
        <w:pStyle w:val="Textoindependiente"/>
        <w:spacing w:before="1"/>
        <w:rPr>
          <w:sz w:val="36"/>
        </w:rPr>
      </w:pPr>
    </w:p>
    <w:p w:rsidR="009354B0" w:rsidRDefault="00BD0CE0">
      <w:pPr>
        <w:pStyle w:val="Textoindependiente"/>
        <w:spacing w:line="360" w:lineRule="auto"/>
        <w:ind w:left="102" w:right="117" w:firstLine="707"/>
        <w:jc w:val="both"/>
      </w:pPr>
      <w:r>
        <w:t>La patente tiene una duración de doce meses, entre el 1° de julio del año</w:t>
      </w:r>
      <w:r>
        <w:rPr>
          <w:spacing w:val="-12"/>
        </w:rPr>
        <w:t xml:space="preserve"> </w:t>
      </w:r>
      <w:r>
        <w:t>de</w:t>
      </w:r>
      <w:r>
        <w:rPr>
          <w:spacing w:val="-12"/>
        </w:rPr>
        <w:t xml:space="preserve"> </w:t>
      </w:r>
      <w:r>
        <w:t>la</w:t>
      </w:r>
      <w:r>
        <w:rPr>
          <w:spacing w:val="-12"/>
        </w:rPr>
        <w:t xml:space="preserve"> </w:t>
      </w:r>
      <w:r>
        <w:t>declaración</w:t>
      </w:r>
      <w:r>
        <w:rPr>
          <w:spacing w:val="-12"/>
        </w:rPr>
        <w:t xml:space="preserve"> </w:t>
      </w:r>
      <w:r>
        <w:t>y</w:t>
      </w:r>
      <w:r>
        <w:rPr>
          <w:spacing w:val="-12"/>
        </w:rPr>
        <w:t xml:space="preserve"> </w:t>
      </w:r>
      <w:r>
        <w:t>el</w:t>
      </w:r>
      <w:r>
        <w:rPr>
          <w:spacing w:val="-12"/>
        </w:rPr>
        <w:t xml:space="preserve"> </w:t>
      </w:r>
      <w:r>
        <w:t>30</w:t>
      </w:r>
      <w:r>
        <w:rPr>
          <w:spacing w:val="-12"/>
        </w:rPr>
        <w:t xml:space="preserve"> </w:t>
      </w:r>
      <w:r>
        <w:t>de</w:t>
      </w:r>
      <w:r>
        <w:rPr>
          <w:spacing w:val="-12"/>
        </w:rPr>
        <w:t xml:space="preserve"> </w:t>
      </w:r>
      <w:r>
        <w:t>junio</w:t>
      </w:r>
      <w:r>
        <w:rPr>
          <w:spacing w:val="-10"/>
        </w:rPr>
        <w:t xml:space="preserve"> </w:t>
      </w:r>
      <w:r>
        <w:t>del</w:t>
      </w:r>
      <w:r>
        <w:rPr>
          <w:spacing w:val="-10"/>
        </w:rPr>
        <w:t xml:space="preserve"> </w:t>
      </w:r>
      <w:r>
        <w:t>año</w:t>
      </w:r>
      <w:r>
        <w:rPr>
          <w:spacing w:val="-12"/>
        </w:rPr>
        <w:t xml:space="preserve"> </w:t>
      </w:r>
      <w:r>
        <w:t>siguiente,</w:t>
      </w:r>
      <w:r>
        <w:rPr>
          <w:spacing w:val="-12"/>
        </w:rPr>
        <w:t xml:space="preserve"> </w:t>
      </w:r>
      <w:r>
        <w:t>y</w:t>
      </w:r>
      <w:r>
        <w:rPr>
          <w:spacing w:val="-12"/>
        </w:rPr>
        <w:t xml:space="preserve"> </w:t>
      </w:r>
      <w:r>
        <w:t>se</w:t>
      </w:r>
      <w:r>
        <w:rPr>
          <w:spacing w:val="-12"/>
        </w:rPr>
        <w:t xml:space="preserve"> </w:t>
      </w:r>
      <w:r>
        <w:t>paga</w:t>
      </w:r>
      <w:r>
        <w:rPr>
          <w:spacing w:val="-12"/>
        </w:rPr>
        <w:t xml:space="preserve"> </w:t>
      </w:r>
      <w:r>
        <w:t>al</w:t>
      </w:r>
      <w:r>
        <w:rPr>
          <w:spacing w:val="-12"/>
        </w:rPr>
        <w:t xml:space="preserve"> </w:t>
      </w:r>
      <w:r>
        <w:t>contado o en dos cuotas iguales dentro de los meses de julio y enero de cada año.</w:t>
      </w:r>
    </w:p>
    <w:p w:rsidR="009354B0" w:rsidRDefault="009354B0">
      <w:pPr>
        <w:pStyle w:val="Textoindependiente"/>
        <w:spacing w:before="10"/>
        <w:rPr>
          <w:sz w:val="41"/>
        </w:rPr>
      </w:pPr>
    </w:p>
    <w:p w:rsidR="009354B0" w:rsidRDefault="00BD0CE0">
      <w:pPr>
        <w:pStyle w:val="Textoindependiente"/>
        <w:spacing w:before="1" w:line="360" w:lineRule="auto"/>
        <w:ind w:left="102" w:right="116" w:firstLine="707"/>
        <w:jc w:val="both"/>
      </w:pPr>
      <w:r>
        <w:t xml:space="preserve">Las patentes comerciales representan importantes ingresos para las </w:t>
      </w:r>
      <w:r>
        <w:rPr>
          <w:spacing w:val="-2"/>
        </w:rPr>
        <w:t>municipalidades:</w:t>
      </w:r>
    </w:p>
    <w:p w:rsidR="009354B0" w:rsidRDefault="009354B0">
      <w:pPr>
        <w:spacing w:line="360" w:lineRule="auto"/>
        <w:jc w:val="both"/>
        <w:sectPr w:rsidR="009354B0">
          <w:headerReference w:type="default" r:id="rId7"/>
          <w:footerReference w:type="default" r:id="rId8"/>
          <w:type w:val="continuous"/>
          <w:pgSz w:w="12240" w:h="15840"/>
          <w:pgMar w:top="2700" w:right="1580" w:bottom="1240" w:left="1600" w:header="782" w:footer="1044" w:gutter="0"/>
          <w:pgNumType w:start="1"/>
          <w:cols w:space="720"/>
        </w:sectPr>
      </w:pPr>
    </w:p>
    <w:p w:rsidR="009354B0" w:rsidRDefault="00BD0CE0">
      <w:pPr>
        <w:pStyle w:val="Ttulo1"/>
        <w:spacing w:before="64"/>
        <w:ind w:left="1905" w:right="1922" w:firstLine="0"/>
        <w:jc w:val="center"/>
        <w:rPr>
          <w:b/>
        </w:rPr>
      </w:pPr>
      <w:r>
        <w:rPr>
          <w:b/>
        </w:rPr>
        <w:lastRenderedPageBreak/>
        <w:t>INGRESOS</w:t>
      </w:r>
      <w:r>
        <w:rPr>
          <w:b/>
          <w:spacing w:val="-6"/>
        </w:rPr>
        <w:t xml:space="preserve"> </w:t>
      </w:r>
      <w:r>
        <w:rPr>
          <w:b/>
        </w:rPr>
        <w:t>POR</w:t>
      </w:r>
      <w:r>
        <w:rPr>
          <w:b/>
          <w:spacing w:val="-4"/>
        </w:rPr>
        <w:t xml:space="preserve"> </w:t>
      </w:r>
      <w:r>
        <w:rPr>
          <w:b/>
        </w:rPr>
        <w:t>PATENTES</w:t>
      </w:r>
      <w:r>
        <w:rPr>
          <w:b/>
          <w:spacing w:val="-3"/>
        </w:rPr>
        <w:t xml:space="preserve"> </w:t>
      </w:r>
      <w:r>
        <w:rPr>
          <w:b/>
          <w:spacing w:val="-2"/>
        </w:rPr>
        <w:t>MUNICIPALES</w:t>
      </w:r>
    </w:p>
    <w:p w:rsidR="009354B0" w:rsidRDefault="00BD0CE0">
      <w:pPr>
        <w:pStyle w:val="Textoindependiente"/>
        <w:spacing w:before="141"/>
        <w:ind w:left="1905" w:right="1920"/>
        <w:jc w:val="center"/>
        <w:rPr>
          <w:b/>
        </w:rPr>
      </w:pPr>
      <w:r>
        <w:rPr>
          <w:b/>
        </w:rPr>
        <w:t>(En</w:t>
      </w:r>
      <w:r>
        <w:rPr>
          <w:b/>
          <w:spacing w:val="-1"/>
        </w:rPr>
        <w:t xml:space="preserve"> </w:t>
      </w:r>
      <w:r>
        <w:rPr>
          <w:b/>
        </w:rPr>
        <w:t>miles de</w:t>
      </w:r>
      <w:r>
        <w:rPr>
          <w:b/>
          <w:spacing w:val="-1"/>
        </w:rPr>
        <w:t xml:space="preserve"> </w:t>
      </w:r>
      <w:r>
        <w:rPr>
          <w:b/>
          <w:spacing w:val="-2"/>
        </w:rPr>
        <w:t>pesos)</w:t>
      </w:r>
    </w:p>
    <w:p w:rsidR="009354B0" w:rsidRDefault="009354B0">
      <w:pPr>
        <w:pStyle w:val="Textoindependiente"/>
        <w:rPr>
          <w:b/>
          <w:sz w:val="20"/>
        </w:rPr>
      </w:pPr>
    </w:p>
    <w:p w:rsidR="009354B0" w:rsidRDefault="009354B0">
      <w:pPr>
        <w:pStyle w:val="Textoindependiente"/>
        <w:rPr>
          <w:b/>
          <w:sz w:val="20"/>
        </w:rPr>
      </w:pPr>
    </w:p>
    <w:p w:rsidR="009354B0" w:rsidRDefault="009354B0">
      <w:pPr>
        <w:pStyle w:val="Textoindependiente"/>
        <w:spacing w:before="5"/>
        <w:rPr>
          <w:b/>
          <w:sz w:val="18"/>
        </w:rPr>
      </w:pPr>
    </w:p>
    <w:tbl>
      <w:tblPr>
        <w:tblStyle w:val="TableNormal"/>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3"/>
        <w:gridCol w:w="3533"/>
      </w:tblGrid>
      <w:tr w:rsidR="009354B0">
        <w:trPr>
          <w:trHeight w:val="421"/>
        </w:trPr>
        <w:tc>
          <w:tcPr>
            <w:tcW w:w="3533" w:type="dxa"/>
          </w:tcPr>
          <w:p w:rsidR="009354B0" w:rsidRDefault="00BD0CE0">
            <w:pPr>
              <w:pStyle w:val="TableParagraph"/>
              <w:rPr>
                <w:b/>
                <w:sz w:val="24"/>
              </w:rPr>
            </w:pPr>
            <w:r>
              <w:rPr>
                <w:b/>
                <w:spacing w:val="-5"/>
                <w:sz w:val="24"/>
              </w:rPr>
              <w:t>Año</w:t>
            </w:r>
          </w:p>
        </w:tc>
        <w:tc>
          <w:tcPr>
            <w:tcW w:w="3533" w:type="dxa"/>
          </w:tcPr>
          <w:p w:rsidR="009354B0" w:rsidRDefault="00BD0CE0">
            <w:pPr>
              <w:pStyle w:val="TableParagraph"/>
              <w:ind w:right="1426"/>
              <w:rPr>
                <w:b/>
                <w:sz w:val="24"/>
              </w:rPr>
            </w:pPr>
            <w:r>
              <w:rPr>
                <w:b/>
                <w:spacing w:val="-5"/>
                <w:sz w:val="24"/>
              </w:rPr>
              <w:t>M$</w:t>
            </w:r>
          </w:p>
        </w:tc>
      </w:tr>
      <w:tr w:rsidR="009354B0">
        <w:trPr>
          <w:trHeight w:val="422"/>
        </w:trPr>
        <w:tc>
          <w:tcPr>
            <w:tcW w:w="3533" w:type="dxa"/>
          </w:tcPr>
          <w:p w:rsidR="009354B0" w:rsidRDefault="00BD0CE0">
            <w:pPr>
              <w:pStyle w:val="TableParagraph"/>
              <w:rPr>
                <w:b/>
                <w:sz w:val="24"/>
              </w:rPr>
            </w:pPr>
            <w:r>
              <w:rPr>
                <w:b/>
                <w:spacing w:val="-4"/>
                <w:sz w:val="24"/>
              </w:rPr>
              <w:t>2021</w:t>
            </w:r>
          </w:p>
        </w:tc>
        <w:tc>
          <w:tcPr>
            <w:tcW w:w="3533" w:type="dxa"/>
          </w:tcPr>
          <w:p w:rsidR="009354B0" w:rsidRDefault="00BD0CE0">
            <w:pPr>
              <w:pStyle w:val="TableParagraph"/>
              <w:ind w:left="0" w:right="1007"/>
              <w:jc w:val="right"/>
              <w:rPr>
                <w:sz w:val="24"/>
              </w:rPr>
            </w:pPr>
            <w:r>
              <w:rPr>
                <w:spacing w:val="-2"/>
                <w:sz w:val="24"/>
              </w:rPr>
              <w:t>575.123.836</w:t>
            </w:r>
          </w:p>
        </w:tc>
      </w:tr>
      <w:tr w:rsidR="009354B0">
        <w:trPr>
          <w:trHeight w:val="421"/>
        </w:trPr>
        <w:tc>
          <w:tcPr>
            <w:tcW w:w="3533" w:type="dxa"/>
          </w:tcPr>
          <w:p w:rsidR="009354B0" w:rsidRDefault="00BD0CE0">
            <w:pPr>
              <w:pStyle w:val="TableParagraph"/>
              <w:rPr>
                <w:b/>
                <w:sz w:val="24"/>
              </w:rPr>
            </w:pPr>
            <w:r>
              <w:rPr>
                <w:b/>
                <w:spacing w:val="-4"/>
                <w:sz w:val="24"/>
              </w:rPr>
              <w:t>2020</w:t>
            </w:r>
          </w:p>
        </w:tc>
        <w:tc>
          <w:tcPr>
            <w:tcW w:w="3533" w:type="dxa"/>
          </w:tcPr>
          <w:p w:rsidR="009354B0" w:rsidRDefault="00BD0CE0">
            <w:pPr>
              <w:pStyle w:val="TableParagraph"/>
              <w:ind w:left="0" w:right="1007"/>
              <w:jc w:val="right"/>
              <w:rPr>
                <w:sz w:val="24"/>
              </w:rPr>
            </w:pPr>
            <w:r>
              <w:rPr>
                <w:spacing w:val="-2"/>
                <w:sz w:val="24"/>
              </w:rPr>
              <w:t>560.567.054</w:t>
            </w:r>
          </w:p>
        </w:tc>
      </w:tr>
      <w:tr w:rsidR="009354B0">
        <w:trPr>
          <w:trHeight w:val="424"/>
        </w:trPr>
        <w:tc>
          <w:tcPr>
            <w:tcW w:w="3533" w:type="dxa"/>
          </w:tcPr>
          <w:p w:rsidR="009354B0" w:rsidRDefault="00BD0CE0">
            <w:pPr>
              <w:pStyle w:val="TableParagraph"/>
              <w:spacing w:before="1" w:line="240" w:lineRule="auto"/>
              <w:rPr>
                <w:b/>
                <w:sz w:val="24"/>
              </w:rPr>
            </w:pPr>
            <w:r>
              <w:rPr>
                <w:b/>
                <w:spacing w:val="-4"/>
                <w:sz w:val="24"/>
              </w:rPr>
              <w:t>2019</w:t>
            </w:r>
          </w:p>
        </w:tc>
        <w:tc>
          <w:tcPr>
            <w:tcW w:w="3533" w:type="dxa"/>
          </w:tcPr>
          <w:p w:rsidR="009354B0" w:rsidRDefault="00BD0CE0">
            <w:pPr>
              <w:pStyle w:val="TableParagraph"/>
              <w:spacing w:before="1" w:line="240" w:lineRule="auto"/>
              <w:ind w:left="0" w:right="1007"/>
              <w:jc w:val="right"/>
              <w:rPr>
                <w:sz w:val="24"/>
              </w:rPr>
            </w:pPr>
            <w:r>
              <w:rPr>
                <w:spacing w:val="-2"/>
                <w:sz w:val="24"/>
              </w:rPr>
              <w:t>542.709.232</w:t>
            </w:r>
          </w:p>
        </w:tc>
      </w:tr>
      <w:tr w:rsidR="009354B0">
        <w:trPr>
          <w:trHeight w:val="422"/>
        </w:trPr>
        <w:tc>
          <w:tcPr>
            <w:tcW w:w="3533" w:type="dxa"/>
          </w:tcPr>
          <w:p w:rsidR="009354B0" w:rsidRDefault="00BD0CE0">
            <w:pPr>
              <w:pStyle w:val="TableParagraph"/>
              <w:rPr>
                <w:b/>
                <w:sz w:val="24"/>
              </w:rPr>
            </w:pPr>
            <w:r>
              <w:rPr>
                <w:b/>
                <w:spacing w:val="-4"/>
                <w:sz w:val="24"/>
              </w:rPr>
              <w:t>2018</w:t>
            </w:r>
          </w:p>
        </w:tc>
        <w:tc>
          <w:tcPr>
            <w:tcW w:w="3533" w:type="dxa"/>
          </w:tcPr>
          <w:p w:rsidR="009354B0" w:rsidRDefault="00BD0CE0">
            <w:pPr>
              <w:pStyle w:val="TableParagraph"/>
              <w:ind w:left="0" w:right="958"/>
              <w:jc w:val="right"/>
              <w:rPr>
                <w:sz w:val="16"/>
              </w:rPr>
            </w:pPr>
            <w:r>
              <w:rPr>
                <w:spacing w:val="-2"/>
                <w:sz w:val="24"/>
              </w:rPr>
              <w:t>516.544.642</w:t>
            </w:r>
            <w:r>
              <w:rPr>
                <w:spacing w:val="-2"/>
                <w:position w:val="6"/>
                <w:sz w:val="16"/>
              </w:rPr>
              <w:t>1</w:t>
            </w:r>
          </w:p>
        </w:tc>
      </w:tr>
    </w:tbl>
    <w:p w:rsidR="009354B0" w:rsidRDefault="009354B0">
      <w:pPr>
        <w:pStyle w:val="Textoindependiente"/>
        <w:rPr>
          <w:b/>
          <w:sz w:val="28"/>
        </w:rPr>
      </w:pPr>
    </w:p>
    <w:p w:rsidR="009354B0" w:rsidRDefault="009354B0">
      <w:pPr>
        <w:pStyle w:val="Textoindependiente"/>
        <w:spacing w:before="9"/>
        <w:rPr>
          <w:b/>
          <w:sz w:val="28"/>
        </w:rPr>
      </w:pPr>
    </w:p>
    <w:p w:rsidR="009354B0" w:rsidRDefault="00BD0CE0">
      <w:pPr>
        <w:pStyle w:val="Textoindependiente"/>
        <w:spacing w:line="360" w:lineRule="auto"/>
        <w:ind w:left="102" w:right="117" w:firstLine="707"/>
        <w:jc w:val="both"/>
      </w:pPr>
      <w:r>
        <w:t>Por</w:t>
      </w:r>
      <w:r>
        <w:rPr>
          <w:spacing w:val="-13"/>
        </w:rPr>
        <w:t xml:space="preserve"> </w:t>
      </w:r>
      <w:r>
        <w:t>su</w:t>
      </w:r>
      <w:r>
        <w:rPr>
          <w:spacing w:val="-13"/>
        </w:rPr>
        <w:t xml:space="preserve"> </w:t>
      </w:r>
      <w:r>
        <w:t>parte,</w:t>
      </w:r>
      <w:r>
        <w:rPr>
          <w:spacing w:val="-13"/>
        </w:rPr>
        <w:t xml:space="preserve"> </w:t>
      </w:r>
      <w:r>
        <w:t>el</w:t>
      </w:r>
      <w:r>
        <w:rPr>
          <w:spacing w:val="-13"/>
        </w:rPr>
        <w:t xml:space="preserve"> </w:t>
      </w:r>
      <w:r>
        <w:t>artículo</w:t>
      </w:r>
      <w:r>
        <w:rPr>
          <w:spacing w:val="-13"/>
        </w:rPr>
        <w:t xml:space="preserve"> </w:t>
      </w:r>
      <w:r>
        <w:t>26</w:t>
      </w:r>
      <w:r>
        <w:rPr>
          <w:spacing w:val="-13"/>
        </w:rPr>
        <w:t xml:space="preserve"> </w:t>
      </w:r>
      <w:r>
        <w:t>de</w:t>
      </w:r>
      <w:r>
        <w:rPr>
          <w:spacing w:val="-13"/>
        </w:rPr>
        <w:t xml:space="preserve"> </w:t>
      </w:r>
      <w:r>
        <w:t>Ley</w:t>
      </w:r>
      <w:r>
        <w:rPr>
          <w:spacing w:val="-13"/>
        </w:rPr>
        <w:t xml:space="preserve"> </w:t>
      </w:r>
      <w:r>
        <w:t>de</w:t>
      </w:r>
      <w:r>
        <w:rPr>
          <w:spacing w:val="-11"/>
        </w:rPr>
        <w:t xml:space="preserve"> </w:t>
      </w:r>
      <w:r>
        <w:t>Rentas</w:t>
      </w:r>
      <w:r>
        <w:rPr>
          <w:spacing w:val="-13"/>
        </w:rPr>
        <w:t xml:space="preserve"> </w:t>
      </w:r>
      <w:r>
        <w:t>Municipales,</w:t>
      </w:r>
      <w:r>
        <w:rPr>
          <w:spacing w:val="-13"/>
        </w:rPr>
        <w:t xml:space="preserve"> </w:t>
      </w:r>
      <w:r>
        <w:t>las</w:t>
      </w:r>
      <w:r>
        <w:rPr>
          <w:spacing w:val="-11"/>
        </w:rPr>
        <w:t xml:space="preserve"> </w:t>
      </w:r>
      <w:r>
        <w:t>facultan para otorgar patentes provisorias a empresas que acompañen autorización sanitaria en los casos exigidos expresamente por el Código Sanitario, siempre que esa actividad esté incorporada en la ordenanza dictada al efecto, otorgando el plazo de un añ</w:t>
      </w:r>
      <w:r>
        <w:t xml:space="preserve">o -contado desde la fecha en que se otorgue la patente provisoria-para exigir los requisitos de la patente </w:t>
      </w:r>
      <w:r>
        <w:rPr>
          <w:spacing w:val="-2"/>
        </w:rPr>
        <w:t>definitiva.</w:t>
      </w:r>
    </w:p>
    <w:p w:rsidR="009354B0" w:rsidRDefault="009354B0">
      <w:pPr>
        <w:pStyle w:val="Textoindependiente"/>
        <w:spacing w:before="11"/>
        <w:rPr>
          <w:sz w:val="35"/>
        </w:rPr>
      </w:pPr>
    </w:p>
    <w:p w:rsidR="009354B0" w:rsidRDefault="00BD0CE0">
      <w:pPr>
        <w:pStyle w:val="Ttulo1"/>
        <w:numPr>
          <w:ilvl w:val="0"/>
          <w:numId w:val="1"/>
        </w:numPr>
        <w:tabs>
          <w:tab w:val="left" w:pos="822"/>
        </w:tabs>
        <w:ind w:hanging="361"/>
      </w:pPr>
      <w:r>
        <w:rPr>
          <w:b/>
        </w:rPr>
        <w:t>FUNDAMENTOS</w:t>
      </w:r>
      <w:r>
        <w:rPr>
          <w:b/>
          <w:spacing w:val="-4"/>
        </w:rPr>
        <w:t xml:space="preserve"> </w:t>
      </w:r>
      <w:r>
        <w:rPr>
          <w:b/>
        </w:rPr>
        <w:t>DE</w:t>
      </w:r>
      <w:r>
        <w:rPr>
          <w:b/>
          <w:spacing w:val="-3"/>
        </w:rPr>
        <w:t xml:space="preserve"> </w:t>
      </w:r>
      <w:r>
        <w:rPr>
          <w:b/>
        </w:rPr>
        <w:t>LA</w:t>
      </w:r>
      <w:r>
        <w:rPr>
          <w:b/>
          <w:spacing w:val="-4"/>
        </w:rPr>
        <w:t xml:space="preserve"> </w:t>
      </w:r>
      <w:r>
        <w:rPr>
          <w:b/>
        </w:rPr>
        <w:t>MODIFICACIÓN</w:t>
      </w:r>
      <w:r>
        <w:rPr>
          <w:b/>
          <w:spacing w:val="-2"/>
        </w:rPr>
        <w:t xml:space="preserve"> PROPUESTA.</w:t>
      </w:r>
    </w:p>
    <w:p w:rsidR="009354B0" w:rsidRDefault="009354B0">
      <w:pPr>
        <w:pStyle w:val="Textoindependiente"/>
        <w:rPr>
          <w:b/>
          <w:sz w:val="28"/>
        </w:rPr>
      </w:pPr>
    </w:p>
    <w:p w:rsidR="009354B0" w:rsidRDefault="00BD0CE0">
      <w:pPr>
        <w:pStyle w:val="Textoindependiente"/>
        <w:spacing w:before="237" w:line="360" w:lineRule="auto"/>
        <w:ind w:left="102" w:right="116" w:firstLine="707"/>
        <w:jc w:val="both"/>
      </w:pPr>
      <w:r>
        <w:t>El proyecto de ley, en consideración a las actuales condiciones sanitarias imperantes en el p</w:t>
      </w:r>
      <w:r>
        <w:t>aís con motivo de la pandemia por Covid-19 y a</w:t>
      </w:r>
      <w:r>
        <w:rPr>
          <w:spacing w:val="-20"/>
        </w:rPr>
        <w:t xml:space="preserve"> </w:t>
      </w:r>
      <w:r>
        <w:t>la</w:t>
      </w:r>
      <w:r>
        <w:rPr>
          <w:spacing w:val="-19"/>
        </w:rPr>
        <w:t xml:space="preserve"> </w:t>
      </w:r>
      <w:r>
        <w:t>actual</w:t>
      </w:r>
      <w:r>
        <w:rPr>
          <w:spacing w:val="-19"/>
        </w:rPr>
        <w:t xml:space="preserve"> </w:t>
      </w:r>
      <w:r>
        <w:t>situación</w:t>
      </w:r>
      <w:r>
        <w:rPr>
          <w:spacing w:val="-19"/>
        </w:rPr>
        <w:t xml:space="preserve"> </w:t>
      </w:r>
      <w:r>
        <w:t>económica,</w:t>
      </w:r>
      <w:r>
        <w:rPr>
          <w:spacing w:val="-19"/>
        </w:rPr>
        <w:t xml:space="preserve"> </w:t>
      </w:r>
      <w:r>
        <w:t>busca</w:t>
      </w:r>
      <w:r>
        <w:rPr>
          <w:spacing w:val="-20"/>
        </w:rPr>
        <w:t xml:space="preserve"> </w:t>
      </w:r>
      <w:r>
        <w:t>incorporar</w:t>
      </w:r>
      <w:r>
        <w:rPr>
          <w:spacing w:val="-19"/>
        </w:rPr>
        <w:t xml:space="preserve"> </w:t>
      </w:r>
      <w:r>
        <w:t>un</w:t>
      </w:r>
      <w:r>
        <w:rPr>
          <w:spacing w:val="-19"/>
        </w:rPr>
        <w:t xml:space="preserve"> </w:t>
      </w:r>
      <w:r>
        <w:t>nuevo</w:t>
      </w:r>
      <w:r>
        <w:rPr>
          <w:spacing w:val="-19"/>
        </w:rPr>
        <w:t xml:space="preserve"> </w:t>
      </w:r>
      <w:r>
        <w:t>artículo</w:t>
      </w:r>
      <w:r>
        <w:rPr>
          <w:spacing w:val="-19"/>
        </w:rPr>
        <w:t xml:space="preserve"> </w:t>
      </w:r>
      <w:r>
        <w:t>séptimo de carácter transitorio a la Ley sobre Rentas Municipales para extender la vigencia por dos años de las patentes municipales provisoria</w:t>
      </w:r>
      <w:r>
        <w:t>s otorgadas durante</w:t>
      </w:r>
      <w:r>
        <w:rPr>
          <w:spacing w:val="32"/>
        </w:rPr>
        <w:t xml:space="preserve"> </w:t>
      </w:r>
      <w:r>
        <w:t>los</w:t>
      </w:r>
      <w:r>
        <w:rPr>
          <w:spacing w:val="32"/>
        </w:rPr>
        <w:t xml:space="preserve"> </w:t>
      </w:r>
      <w:r>
        <w:t>años</w:t>
      </w:r>
      <w:r>
        <w:rPr>
          <w:spacing w:val="34"/>
        </w:rPr>
        <w:t xml:space="preserve"> </w:t>
      </w:r>
      <w:r>
        <w:t>2021</w:t>
      </w:r>
      <w:r>
        <w:rPr>
          <w:spacing w:val="32"/>
        </w:rPr>
        <w:t xml:space="preserve"> </w:t>
      </w:r>
      <w:r>
        <w:t>a</w:t>
      </w:r>
      <w:r>
        <w:rPr>
          <w:spacing w:val="32"/>
        </w:rPr>
        <w:t xml:space="preserve"> </w:t>
      </w:r>
      <w:r>
        <w:t>2023,</w:t>
      </w:r>
      <w:r>
        <w:rPr>
          <w:spacing w:val="32"/>
        </w:rPr>
        <w:t xml:space="preserve"> </w:t>
      </w:r>
      <w:r>
        <w:t>inclusive,</w:t>
      </w:r>
      <w:r>
        <w:rPr>
          <w:spacing w:val="32"/>
        </w:rPr>
        <w:t xml:space="preserve"> </w:t>
      </w:r>
      <w:r>
        <w:t>sin</w:t>
      </w:r>
      <w:r>
        <w:rPr>
          <w:spacing w:val="32"/>
        </w:rPr>
        <w:t xml:space="preserve"> </w:t>
      </w:r>
      <w:r>
        <w:t>alterar</w:t>
      </w:r>
      <w:r>
        <w:rPr>
          <w:spacing w:val="32"/>
        </w:rPr>
        <w:t xml:space="preserve"> </w:t>
      </w:r>
      <w:r>
        <w:t>el</w:t>
      </w:r>
      <w:r>
        <w:rPr>
          <w:spacing w:val="32"/>
        </w:rPr>
        <w:t xml:space="preserve"> </w:t>
      </w:r>
      <w:r>
        <w:t>pago</w:t>
      </w:r>
      <w:r>
        <w:rPr>
          <w:spacing w:val="32"/>
        </w:rPr>
        <w:t xml:space="preserve"> </w:t>
      </w:r>
      <w:r>
        <w:t>anual</w:t>
      </w:r>
      <w:r>
        <w:rPr>
          <w:spacing w:val="32"/>
        </w:rPr>
        <w:t xml:space="preserve"> </w:t>
      </w:r>
      <w:r>
        <w:t>de</w:t>
      </w:r>
      <w:r>
        <w:rPr>
          <w:spacing w:val="32"/>
        </w:rPr>
        <w:t xml:space="preserve"> </w:t>
      </w:r>
      <w:r>
        <w:t>la</w:t>
      </w:r>
    </w:p>
    <w:p w:rsidR="009354B0" w:rsidRDefault="00BD0CE0">
      <w:pPr>
        <w:pStyle w:val="Textoindependiente"/>
        <w:spacing w:before="8"/>
        <w:rPr>
          <w:sz w:val="22"/>
        </w:rPr>
      </w:pPr>
      <w:r>
        <w:pict>
          <v:rect id="docshape2" o:spid="_x0000_s1026" style="position:absolute;margin-left:85.1pt;margin-top:14.5pt;width:2in;height:.85pt;z-index:-251658752;mso-wrap-distance-left:0;mso-wrap-distance-right:0;mso-position-horizontal-relative:page" fillcolor="black" stroked="f">
            <w10:wrap type="topAndBottom" anchorx="page"/>
          </v:rect>
        </w:pict>
      </w:r>
    </w:p>
    <w:p w:rsidR="009354B0" w:rsidRDefault="00BD0CE0">
      <w:pPr>
        <w:spacing w:before="109"/>
        <w:ind w:left="102"/>
        <w:rPr>
          <w:rFonts w:ascii="Calibri"/>
          <w:sz w:val="20"/>
        </w:rPr>
      </w:pPr>
      <w:r>
        <w:rPr>
          <w:rFonts w:ascii="Calibri"/>
          <w:sz w:val="20"/>
          <w:vertAlign w:val="superscript"/>
        </w:rPr>
        <w:t>1</w:t>
      </w:r>
      <w:r>
        <w:rPr>
          <w:rFonts w:ascii="Calibri"/>
          <w:spacing w:val="-2"/>
          <w:sz w:val="20"/>
        </w:rPr>
        <w:t xml:space="preserve"> </w:t>
      </w:r>
      <w:hyperlink r:id="rId9">
        <w:r>
          <w:rPr>
            <w:rFonts w:ascii="Calibri"/>
            <w:color w:val="0000FF"/>
            <w:spacing w:val="-2"/>
            <w:sz w:val="20"/>
            <w:u w:val="single" w:color="0000FF"/>
          </w:rPr>
          <w:t>http://datos.sinim.gov.cl/datos_municipales.php</w:t>
        </w:r>
      </w:hyperlink>
    </w:p>
    <w:p w:rsidR="009354B0" w:rsidRDefault="009354B0">
      <w:pPr>
        <w:rPr>
          <w:rFonts w:ascii="Calibri"/>
          <w:sz w:val="20"/>
        </w:rPr>
        <w:sectPr w:rsidR="009354B0">
          <w:pgSz w:w="12240" w:h="15840"/>
          <w:pgMar w:top="2700" w:right="1580" w:bottom="1240" w:left="1600" w:header="782" w:footer="1044" w:gutter="0"/>
          <w:cols w:space="720"/>
        </w:sectPr>
      </w:pPr>
    </w:p>
    <w:p w:rsidR="009354B0" w:rsidRDefault="00BD0CE0">
      <w:pPr>
        <w:pStyle w:val="Textoindependiente"/>
        <w:spacing w:before="64" w:line="360" w:lineRule="auto"/>
        <w:ind w:left="102" w:right="123"/>
        <w:jc w:val="both"/>
      </w:pPr>
      <w:r>
        <w:lastRenderedPageBreak/>
        <w:t>misma sino afectando únicamente al período requerido para que la municipalidad proceda a verificar el cumplimiento de los requisitos de funcionamiento del local de que se trate.</w:t>
      </w:r>
    </w:p>
    <w:p w:rsidR="009354B0" w:rsidRDefault="009354B0">
      <w:pPr>
        <w:pStyle w:val="Textoindependiente"/>
        <w:spacing w:before="11"/>
        <w:rPr>
          <w:sz w:val="35"/>
        </w:rPr>
      </w:pPr>
    </w:p>
    <w:p w:rsidR="009354B0" w:rsidRDefault="00BD0CE0">
      <w:pPr>
        <w:pStyle w:val="Textoindependiente"/>
        <w:spacing w:line="360" w:lineRule="auto"/>
        <w:ind w:left="102" w:firstLine="707"/>
      </w:pPr>
      <w:r>
        <w:rPr>
          <w:b/>
        </w:rPr>
        <w:t>POR</w:t>
      </w:r>
      <w:r>
        <w:rPr>
          <w:b/>
          <w:spacing w:val="80"/>
        </w:rPr>
        <w:t xml:space="preserve"> </w:t>
      </w:r>
      <w:r>
        <w:rPr>
          <w:b/>
        </w:rPr>
        <w:t>TANTO,</w:t>
      </w:r>
      <w:r>
        <w:rPr>
          <w:b/>
          <w:spacing w:val="80"/>
        </w:rPr>
        <w:t xml:space="preserve"> </w:t>
      </w:r>
      <w:r>
        <w:t>y</w:t>
      </w:r>
      <w:r>
        <w:rPr>
          <w:spacing w:val="80"/>
        </w:rPr>
        <w:t xml:space="preserve"> </w:t>
      </w:r>
      <w:r>
        <w:t>en</w:t>
      </w:r>
      <w:r>
        <w:rPr>
          <w:spacing w:val="80"/>
        </w:rPr>
        <w:t xml:space="preserve"> </w:t>
      </w:r>
      <w:r>
        <w:t>uso</w:t>
      </w:r>
      <w:r>
        <w:rPr>
          <w:spacing w:val="80"/>
        </w:rPr>
        <w:t xml:space="preserve"> </w:t>
      </w:r>
      <w:r>
        <w:t>de</w:t>
      </w:r>
      <w:r>
        <w:rPr>
          <w:spacing w:val="80"/>
        </w:rPr>
        <w:t xml:space="preserve"> </w:t>
      </w:r>
      <w:r>
        <w:t>nuestras</w:t>
      </w:r>
      <w:r>
        <w:rPr>
          <w:spacing w:val="80"/>
        </w:rPr>
        <w:t xml:space="preserve"> </w:t>
      </w:r>
      <w:r>
        <w:t>facultades</w:t>
      </w:r>
      <w:r>
        <w:rPr>
          <w:spacing w:val="80"/>
        </w:rPr>
        <w:t xml:space="preserve"> </w:t>
      </w:r>
      <w:r>
        <w:t>constitucionales venimos en propon</w:t>
      </w:r>
      <w:r>
        <w:t>er el siguiente:</w:t>
      </w:r>
    </w:p>
    <w:p w:rsidR="009354B0" w:rsidRDefault="009354B0">
      <w:pPr>
        <w:pStyle w:val="Textoindependiente"/>
        <w:spacing w:before="3"/>
        <w:rPr>
          <w:sz w:val="36"/>
        </w:rPr>
      </w:pPr>
    </w:p>
    <w:p w:rsidR="009354B0" w:rsidRDefault="00BD0CE0">
      <w:pPr>
        <w:ind w:left="1905" w:right="1921"/>
        <w:jc w:val="center"/>
        <w:rPr>
          <w:b/>
          <w:sz w:val="24"/>
        </w:rPr>
      </w:pPr>
      <w:r>
        <w:rPr>
          <w:b/>
          <w:sz w:val="24"/>
          <w:u w:val="single"/>
        </w:rPr>
        <w:t>PROYECTO</w:t>
      </w:r>
      <w:r>
        <w:rPr>
          <w:b/>
          <w:spacing w:val="-5"/>
          <w:sz w:val="24"/>
          <w:u w:val="single"/>
        </w:rPr>
        <w:t xml:space="preserve"> </w:t>
      </w:r>
      <w:r>
        <w:rPr>
          <w:b/>
          <w:sz w:val="24"/>
          <w:u w:val="single"/>
        </w:rPr>
        <w:t>DE</w:t>
      </w:r>
      <w:r>
        <w:rPr>
          <w:b/>
          <w:spacing w:val="-3"/>
          <w:sz w:val="24"/>
          <w:u w:val="single"/>
        </w:rPr>
        <w:t xml:space="preserve"> </w:t>
      </w:r>
      <w:r>
        <w:rPr>
          <w:b/>
          <w:spacing w:val="-5"/>
          <w:sz w:val="24"/>
          <w:u w:val="single"/>
        </w:rPr>
        <w:t>LEY</w:t>
      </w:r>
    </w:p>
    <w:p w:rsidR="009354B0" w:rsidRDefault="009354B0">
      <w:pPr>
        <w:pStyle w:val="Textoindependiente"/>
        <w:rPr>
          <w:b/>
          <w:sz w:val="20"/>
        </w:rPr>
      </w:pPr>
    </w:p>
    <w:p w:rsidR="009354B0" w:rsidRDefault="009354B0">
      <w:pPr>
        <w:pStyle w:val="Textoindependiente"/>
        <w:spacing w:before="5"/>
        <w:rPr>
          <w:b/>
          <w:sz w:val="19"/>
        </w:rPr>
      </w:pPr>
    </w:p>
    <w:p w:rsidR="009354B0" w:rsidRDefault="00BD0CE0">
      <w:pPr>
        <w:pStyle w:val="Textoindependiente"/>
        <w:spacing w:before="100" w:line="360" w:lineRule="auto"/>
        <w:ind w:left="102" w:right="119"/>
        <w:jc w:val="both"/>
      </w:pPr>
      <w:r>
        <w:rPr>
          <w:b/>
        </w:rPr>
        <w:t>ARTÍCULO ÚNICO</w:t>
      </w:r>
      <w:r>
        <w:t>-. Para incorporar un nuevo artículo 7º transitorio al Decreto Supremo Nº 2.385, de 1996, del Ministerio del Interior, que Fija el Texto Refundido y Sistematizado del Decreto Ley Nº 3.063, de 1979, sobre Rentas Municipales, del siguiente tenor:</w:t>
      </w:r>
    </w:p>
    <w:p w:rsidR="009354B0" w:rsidRDefault="009354B0">
      <w:pPr>
        <w:pStyle w:val="Textoindependiente"/>
        <w:spacing w:before="11"/>
        <w:rPr>
          <w:sz w:val="35"/>
        </w:rPr>
      </w:pPr>
    </w:p>
    <w:p w:rsidR="009354B0" w:rsidRDefault="00BD0CE0">
      <w:pPr>
        <w:pStyle w:val="Textoindependiente"/>
        <w:spacing w:line="360" w:lineRule="auto"/>
        <w:ind w:left="102" w:right="117"/>
        <w:jc w:val="both"/>
      </w:pPr>
      <w:r>
        <w:t xml:space="preserve">“Artículo </w:t>
      </w:r>
      <w:r>
        <w:t>7º transitorio-. Las patentes provisorias otorgados durante los años</w:t>
      </w:r>
      <w:r>
        <w:rPr>
          <w:spacing w:val="-5"/>
        </w:rPr>
        <w:t xml:space="preserve"> </w:t>
      </w:r>
      <w:r>
        <w:t>2021,</w:t>
      </w:r>
      <w:r>
        <w:rPr>
          <w:spacing w:val="-5"/>
        </w:rPr>
        <w:t xml:space="preserve"> </w:t>
      </w:r>
      <w:r>
        <w:t>2022</w:t>
      </w:r>
      <w:r>
        <w:rPr>
          <w:spacing w:val="-5"/>
        </w:rPr>
        <w:t xml:space="preserve"> </w:t>
      </w:r>
      <w:r>
        <w:t>y</w:t>
      </w:r>
      <w:r>
        <w:rPr>
          <w:spacing w:val="-5"/>
        </w:rPr>
        <w:t xml:space="preserve"> </w:t>
      </w:r>
      <w:r>
        <w:t>2023,</w:t>
      </w:r>
      <w:r>
        <w:rPr>
          <w:spacing w:val="-5"/>
        </w:rPr>
        <w:t xml:space="preserve"> </w:t>
      </w:r>
      <w:r>
        <w:t>de</w:t>
      </w:r>
      <w:r>
        <w:rPr>
          <w:spacing w:val="-5"/>
        </w:rPr>
        <w:t xml:space="preserve"> </w:t>
      </w:r>
      <w:r>
        <w:t>conformidad</w:t>
      </w:r>
      <w:r>
        <w:rPr>
          <w:spacing w:val="-3"/>
        </w:rPr>
        <w:t xml:space="preserve"> </w:t>
      </w:r>
      <w:r>
        <w:t>al</w:t>
      </w:r>
      <w:r>
        <w:rPr>
          <w:spacing w:val="-5"/>
        </w:rPr>
        <w:t xml:space="preserve"> </w:t>
      </w:r>
      <w:r>
        <w:t>artículo</w:t>
      </w:r>
      <w:r>
        <w:rPr>
          <w:spacing w:val="-5"/>
        </w:rPr>
        <w:t xml:space="preserve"> </w:t>
      </w:r>
      <w:r>
        <w:t>26</w:t>
      </w:r>
      <w:r>
        <w:rPr>
          <w:spacing w:val="-5"/>
        </w:rPr>
        <w:t xml:space="preserve"> </w:t>
      </w:r>
      <w:r>
        <w:t>de</w:t>
      </w:r>
      <w:r>
        <w:rPr>
          <w:spacing w:val="-5"/>
        </w:rPr>
        <w:t xml:space="preserve"> </w:t>
      </w:r>
      <w:r>
        <w:t>esta</w:t>
      </w:r>
      <w:r>
        <w:rPr>
          <w:spacing w:val="-5"/>
        </w:rPr>
        <w:t xml:space="preserve"> </w:t>
      </w:r>
      <w:r>
        <w:t>ley,</w:t>
      </w:r>
      <w:r>
        <w:rPr>
          <w:spacing w:val="-5"/>
        </w:rPr>
        <w:t xml:space="preserve"> </w:t>
      </w:r>
      <w:r>
        <w:t>tendrán una</w:t>
      </w:r>
      <w:r>
        <w:rPr>
          <w:spacing w:val="-13"/>
        </w:rPr>
        <w:t xml:space="preserve"> </w:t>
      </w:r>
      <w:r>
        <w:t>duración</w:t>
      </w:r>
      <w:r>
        <w:rPr>
          <w:spacing w:val="-13"/>
        </w:rPr>
        <w:t xml:space="preserve"> </w:t>
      </w:r>
      <w:r>
        <w:t>máxima</w:t>
      </w:r>
      <w:r>
        <w:rPr>
          <w:spacing w:val="-13"/>
        </w:rPr>
        <w:t xml:space="preserve"> </w:t>
      </w:r>
      <w:r>
        <w:t>de</w:t>
      </w:r>
      <w:r>
        <w:rPr>
          <w:spacing w:val="-13"/>
        </w:rPr>
        <w:t xml:space="preserve"> </w:t>
      </w:r>
      <w:r>
        <w:t>dos</w:t>
      </w:r>
      <w:r>
        <w:rPr>
          <w:spacing w:val="-13"/>
        </w:rPr>
        <w:t xml:space="preserve"> </w:t>
      </w:r>
      <w:r>
        <w:t>años,</w:t>
      </w:r>
      <w:r>
        <w:rPr>
          <w:spacing w:val="-11"/>
        </w:rPr>
        <w:t xml:space="preserve"> </w:t>
      </w:r>
      <w:r>
        <w:t>contada</w:t>
      </w:r>
      <w:r>
        <w:rPr>
          <w:spacing w:val="-13"/>
        </w:rPr>
        <w:t xml:space="preserve"> </w:t>
      </w:r>
      <w:r>
        <w:t>desde</w:t>
      </w:r>
      <w:r>
        <w:rPr>
          <w:spacing w:val="-13"/>
        </w:rPr>
        <w:t xml:space="preserve"> </w:t>
      </w:r>
      <w:r>
        <w:t>la</w:t>
      </w:r>
      <w:r>
        <w:rPr>
          <w:spacing w:val="-13"/>
        </w:rPr>
        <w:t xml:space="preserve"> </w:t>
      </w:r>
      <w:r>
        <w:t>fecha</w:t>
      </w:r>
      <w:r>
        <w:rPr>
          <w:spacing w:val="-11"/>
        </w:rPr>
        <w:t xml:space="preserve"> </w:t>
      </w:r>
      <w:r>
        <w:t>del</w:t>
      </w:r>
      <w:r>
        <w:rPr>
          <w:spacing w:val="-11"/>
        </w:rPr>
        <w:t xml:space="preserve"> </w:t>
      </w:r>
      <w:r>
        <w:t>otorgamiento de la patente”.</w:t>
      </w:r>
    </w:p>
    <w:p w:rsidR="009354B0" w:rsidRDefault="009354B0">
      <w:pPr>
        <w:pStyle w:val="Textoindependiente"/>
        <w:rPr>
          <w:sz w:val="28"/>
        </w:rPr>
      </w:pPr>
    </w:p>
    <w:p w:rsidR="009354B0" w:rsidRDefault="009354B0">
      <w:pPr>
        <w:pStyle w:val="Textoindependiente"/>
        <w:rPr>
          <w:sz w:val="28"/>
        </w:rPr>
      </w:pPr>
    </w:p>
    <w:p w:rsidR="009354B0" w:rsidRDefault="009354B0">
      <w:pPr>
        <w:pStyle w:val="Textoindependiente"/>
        <w:rPr>
          <w:sz w:val="28"/>
        </w:rPr>
      </w:pPr>
    </w:p>
    <w:p w:rsidR="009354B0" w:rsidRDefault="009354B0">
      <w:pPr>
        <w:pStyle w:val="Textoindependiente"/>
        <w:rPr>
          <w:sz w:val="28"/>
        </w:rPr>
      </w:pPr>
    </w:p>
    <w:p w:rsidR="009354B0" w:rsidRDefault="009354B0">
      <w:pPr>
        <w:pStyle w:val="Textoindependiente"/>
        <w:spacing w:before="2"/>
        <w:rPr>
          <w:sz w:val="32"/>
        </w:rPr>
      </w:pPr>
    </w:p>
    <w:p w:rsidR="009354B0" w:rsidRDefault="00BD0CE0">
      <w:pPr>
        <w:spacing w:line="360" w:lineRule="auto"/>
        <w:ind w:left="3851" w:right="1661" w:hanging="944"/>
        <w:rPr>
          <w:b/>
          <w:sz w:val="24"/>
        </w:rPr>
      </w:pPr>
      <w:r>
        <w:rPr>
          <w:b/>
          <w:sz w:val="24"/>
        </w:rPr>
        <w:t>AGUSTÍN</w:t>
      </w:r>
      <w:r>
        <w:rPr>
          <w:b/>
          <w:spacing w:val="-19"/>
          <w:sz w:val="24"/>
        </w:rPr>
        <w:t xml:space="preserve"> </w:t>
      </w:r>
      <w:r>
        <w:rPr>
          <w:b/>
          <w:sz w:val="24"/>
        </w:rPr>
        <w:t>ROMERO</w:t>
      </w:r>
      <w:r>
        <w:rPr>
          <w:b/>
          <w:spacing w:val="-18"/>
          <w:sz w:val="24"/>
        </w:rPr>
        <w:t xml:space="preserve"> </w:t>
      </w:r>
      <w:r>
        <w:rPr>
          <w:b/>
          <w:sz w:val="24"/>
        </w:rPr>
        <w:t xml:space="preserve">LEIVA </w:t>
      </w:r>
      <w:r>
        <w:rPr>
          <w:b/>
          <w:spacing w:val="-2"/>
          <w:sz w:val="24"/>
        </w:rPr>
        <w:t>DIPUTADO</w:t>
      </w:r>
    </w:p>
    <w:sectPr w:rsidR="009354B0">
      <w:pgSz w:w="12240" w:h="15840"/>
      <w:pgMar w:top="2700" w:right="1580" w:bottom="1240" w:left="1600" w:header="782"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E0" w:rsidRDefault="00BD0CE0">
      <w:r>
        <w:separator/>
      </w:r>
    </w:p>
  </w:endnote>
  <w:endnote w:type="continuationSeparator" w:id="0">
    <w:p w:rsidR="00BD0CE0" w:rsidRDefault="00B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B0" w:rsidRDefault="00BD0CE0">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72.55pt;margin-top:728.8pt;width:67.15pt;height:14pt;z-index:-251658240;mso-position-horizontal-relative:page;mso-position-vertical-relative:page" filled="f" stroked="f">
          <v:textbox inset="0,0,0,0">
            <w:txbxContent>
              <w:p w:rsidR="009354B0" w:rsidRDefault="00BD0CE0">
                <w:pPr>
                  <w:pStyle w:val="Textoindependiente"/>
                  <w:spacing w:line="264" w:lineRule="exact"/>
                  <w:ind w:left="20"/>
                  <w:rPr>
                    <w:rFonts w:ascii="Calibri" w:hAnsi="Calibri"/>
                  </w:rPr>
                </w:pPr>
                <w:r>
                  <w:rPr>
                    <w:rFonts w:ascii="Calibri" w:hAnsi="Calibri"/>
                  </w:rPr>
                  <w:t>Página</w:t>
                </w:r>
                <w:r>
                  <w:rPr>
                    <w:rFonts w:ascii="Calibri" w:hAnsi="Calibri"/>
                    <w:spacing w:val="-1"/>
                  </w:rPr>
                  <w:t xml:space="preserve"> </w:t>
                </w:r>
                <w:r>
                  <w:rPr>
                    <w:rFonts w:ascii="Calibri" w:hAnsi="Calibri"/>
                  </w:rPr>
                  <w:fldChar w:fldCharType="begin"/>
                </w:r>
                <w:r>
                  <w:rPr>
                    <w:rFonts w:ascii="Calibri" w:hAnsi="Calibri"/>
                  </w:rPr>
                  <w:instrText xml:space="preserve"> PAGE </w:instrText>
                </w:r>
                <w:r>
                  <w:rPr>
                    <w:rFonts w:ascii="Calibri" w:hAnsi="Calibri"/>
                  </w:rPr>
                  <w:fldChar w:fldCharType="separate"/>
                </w:r>
                <w:r w:rsidR="00D74F3B">
                  <w:rPr>
                    <w:rFonts w:ascii="Calibri" w:hAnsi="Calibri"/>
                    <w:noProof/>
                  </w:rPr>
                  <w:t>1</w:t>
                </w:r>
                <w:r>
                  <w:rPr>
                    <w:rFonts w:ascii="Calibri" w:hAnsi="Calibri"/>
                  </w:rPr>
                  <w:fldChar w:fldCharType="end"/>
                </w:r>
                <w:r>
                  <w:rPr>
                    <w:rFonts w:ascii="Calibri" w:hAnsi="Calibri"/>
                    <w:spacing w:val="-1"/>
                  </w:rPr>
                  <w:t xml:space="preserve"> </w:t>
                </w:r>
                <w:r>
                  <w:rPr>
                    <w:rFonts w:ascii="Calibri" w:hAnsi="Calibri"/>
                  </w:rPr>
                  <w:t>de</w:t>
                </w:r>
                <w:r>
                  <w:rPr>
                    <w:rFonts w:ascii="Calibri" w:hAnsi="Calibri"/>
                    <w:spacing w:val="2"/>
                  </w:rPr>
                  <w:t xml:space="preserve"> </w:t>
                </w:r>
                <w:r>
                  <w:rPr>
                    <w:rFonts w:ascii="Calibri" w:hAnsi="Calibri"/>
                    <w:spacing w:val="-10"/>
                  </w:rPr>
                  <w:fldChar w:fldCharType="begin"/>
                </w:r>
                <w:r>
                  <w:rPr>
                    <w:rFonts w:ascii="Calibri" w:hAnsi="Calibri"/>
                    <w:spacing w:val="-10"/>
                  </w:rPr>
                  <w:instrText xml:space="preserve"> NUMPAGES </w:instrText>
                </w:r>
                <w:r>
                  <w:rPr>
                    <w:rFonts w:ascii="Calibri" w:hAnsi="Calibri"/>
                    <w:spacing w:val="-10"/>
                  </w:rPr>
                  <w:fldChar w:fldCharType="separate"/>
                </w:r>
                <w:r w:rsidR="00D74F3B">
                  <w:rPr>
                    <w:rFonts w:ascii="Calibri" w:hAnsi="Calibri"/>
                    <w:noProof/>
                    <w:spacing w:val="-10"/>
                  </w:rPr>
                  <w:t>3</w:t>
                </w:r>
                <w:r>
                  <w:rPr>
                    <w:rFonts w:ascii="Calibri" w:hAnsi="Calibri"/>
                    <w:spacing w:val="-1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E0" w:rsidRDefault="00BD0CE0">
      <w:r>
        <w:separator/>
      </w:r>
    </w:p>
  </w:footnote>
  <w:footnote w:type="continuationSeparator" w:id="0">
    <w:p w:rsidR="00BD0CE0" w:rsidRDefault="00BD0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B0" w:rsidRDefault="00BD0CE0">
    <w:pPr>
      <w:pStyle w:val="Textoindependiente"/>
      <w:spacing w:line="14" w:lineRule="auto"/>
      <w:rPr>
        <w:sz w:val="20"/>
      </w:rPr>
    </w:pPr>
    <w:r>
      <w:rPr>
        <w:noProof/>
        <w:lang w:val="es-CL" w:eastAsia="es-CL"/>
      </w:rPr>
      <w:drawing>
        <wp:anchor distT="0" distB="0" distL="0" distR="0" simplePos="0" relativeHeight="251657216" behindDoc="1" locked="0" layoutInCell="1" allowOverlap="1">
          <wp:simplePos x="0" y="0"/>
          <wp:positionH relativeFrom="page">
            <wp:posOffset>3285826</wp:posOffset>
          </wp:positionH>
          <wp:positionV relativeFrom="page">
            <wp:posOffset>496707</wp:posOffset>
          </wp:positionV>
          <wp:extent cx="1242152" cy="12253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2152" cy="12253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AA5"/>
    <w:multiLevelType w:val="hybridMultilevel"/>
    <w:tmpl w:val="FBCE9628"/>
    <w:lvl w:ilvl="0" w:tplc="1272EF10">
      <w:start w:val="1"/>
      <w:numFmt w:val="decimal"/>
      <w:lvlText w:val="%1."/>
      <w:lvlJc w:val="left"/>
      <w:pPr>
        <w:ind w:left="822" w:hanging="360"/>
        <w:jc w:val="left"/>
      </w:pPr>
      <w:rPr>
        <w:rFonts w:hint="default"/>
        <w:spacing w:val="-1"/>
        <w:w w:val="100"/>
        <w:lang w:val="es-ES" w:eastAsia="en-US" w:bidi="ar-SA"/>
      </w:rPr>
    </w:lvl>
    <w:lvl w:ilvl="1" w:tplc="C98ECB1C">
      <w:numFmt w:val="bullet"/>
      <w:lvlText w:val="•"/>
      <w:lvlJc w:val="left"/>
      <w:pPr>
        <w:ind w:left="1644" w:hanging="360"/>
      </w:pPr>
      <w:rPr>
        <w:rFonts w:hint="default"/>
        <w:lang w:val="es-ES" w:eastAsia="en-US" w:bidi="ar-SA"/>
      </w:rPr>
    </w:lvl>
    <w:lvl w:ilvl="2" w:tplc="994A342E">
      <w:numFmt w:val="bullet"/>
      <w:lvlText w:val="•"/>
      <w:lvlJc w:val="left"/>
      <w:pPr>
        <w:ind w:left="2468" w:hanging="360"/>
      </w:pPr>
      <w:rPr>
        <w:rFonts w:hint="default"/>
        <w:lang w:val="es-ES" w:eastAsia="en-US" w:bidi="ar-SA"/>
      </w:rPr>
    </w:lvl>
    <w:lvl w:ilvl="3" w:tplc="0F2A3198">
      <w:numFmt w:val="bullet"/>
      <w:lvlText w:val="•"/>
      <w:lvlJc w:val="left"/>
      <w:pPr>
        <w:ind w:left="3292" w:hanging="360"/>
      </w:pPr>
      <w:rPr>
        <w:rFonts w:hint="default"/>
        <w:lang w:val="es-ES" w:eastAsia="en-US" w:bidi="ar-SA"/>
      </w:rPr>
    </w:lvl>
    <w:lvl w:ilvl="4" w:tplc="1EDEA2B0">
      <w:numFmt w:val="bullet"/>
      <w:lvlText w:val="•"/>
      <w:lvlJc w:val="left"/>
      <w:pPr>
        <w:ind w:left="4116" w:hanging="360"/>
      </w:pPr>
      <w:rPr>
        <w:rFonts w:hint="default"/>
        <w:lang w:val="es-ES" w:eastAsia="en-US" w:bidi="ar-SA"/>
      </w:rPr>
    </w:lvl>
    <w:lvl w:ilvl="5" w:tplc="E5A6D2C4">
      <w:numFmt w:val="bullet"/>
      <w:lvlText w:val="•"/>
      <w:lvlJc w:val="left"/>
      <w:pPr>
        <w:ind w:left="4940" w:hanging="360"/>
      </w:pPr>
      <w:rPr>
        <w:rFonts w:hint="default"/>
        <w:lang w:val="es-ES" w:eastAsia="en-US" w:bidi="ar-SA"/>
      </w:rPr>
    </w:lvl>
    <w:lvl w:ilvl="6" w:tplc="3CD8BCF6">
      <w:numFmt w:val="bullet"/>
      <w:lvlText w:val="•"/>
      <w:lvlJc w:val="left"/>
      <w:pPr>
        <w:ind w:left="5764" w:hanging="360"/>
      </w:pPr>
      <w:rPr>
        <w:rFonts w:hint="default"/>
        <w:lang w:val="es-ES" w:eastAsia="en-US" w:bidi="ar-SA"/>
      </w:rPr>
    </w:lvl>
    <w:lvl w:ilvl="7" w:tplc="E14EFF38">
      <w:numFmt w:val="bullet"/>
      <w:lvlText w:val="•"/>
      <w:lvlJc w:val="left"/>
      <w:pPr>
        <w:ind w:left="6588" w:hanging="360"/>
      </w:pPr>
      <w:rPr>
        <w:rFonts w:hint="default"/>
        <w:lang w:val="es-ES" w:eastAsia="en-US" w:bidi="ar-SA"/>
      </w:rPr>
    </w:lvl>
    <w:lvl w:ilvl="8" w:tplc="AF22295E">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354B0"/>
    <w:rsid w:val="009354B0"/>
    <w:rsid w:val="00BD0CE0"/>
    <w:rsid w:val="00D74F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4C1946-1C27-4CBD-98BE-2CFECCB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paragraph" w:styleId="Ttulo1">
    <w:name w:val="heading 1"/>
    <w:basedOn w:val="Normal"/>
    <w:uiPriority w:val="1"/>
    <w:qFormat/>
    <w:pPr>
      <w:ind w:left="822" w:hanging="361"/>
      <w:outlineLvl w:val="0"/>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pPr>
      <w:spacing w:line="281" w:lineRule="exact"/>
      <w:ind w:left="1437" w:right="142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tos.sinim.gov.cl/datos_municipal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2822</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cuevas</dc:creator>
  <cp:lastModifiedBy>Leonardo Lueiza Ureta</cp:lastModifiedBy>
  <cp:revision>1</cp:revision>
  <dcterms:created xsi:type="dcterms:W3CDTF">2022-08-16T20:32:00Z</dcterms:created>
  <dcterms:modified xsi:type="dcterms:W3CDTF">2022-08-30T16:22:00Z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LTSC</vt:lpwstr>
  </property>
  <property fmtid="{D5CDD505-2E9C-101B-9397-08002B2CF9AE}" pid="4" name="LastSaved">
    <vt:filetime>2022-08-16T00:00:00Z</vt:filetime>
  </property>
  <property fmtid="{D5CDD505-2E9C-101B-9397-08002B2CF9AE}" pid="5" name="Producer">
    <vt:lpwstr>Microsoft® Word LTSC</vt:lpwstr>
  </property>
</Properties>
</file>