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65A" w:rsidRDefault="0089465A" w:rsidP="009277A3">
      <w:pPr>
        <w:tabs>
          <w:tab w:val="left" w:pos="1418"/>
        </w:tabs>
        <w:spacing w:line="276" w:lineRule="auto"/>
        <w:jc w:val="right"/>
        <w:rPr>
          <w:rStyle w:val="text"/>
          <w:b/>
          <w:sz w:val="24"/>
          <w:szCs w:val="24"/>
        </w:rPr>
      </w:pPr>
    </w:p>
    <w:p w:rsidR="009277A3" w:rsidRPr="009277A3" w:rsidRDefault="009277A3" w:rsidP="009277A3">
      <w:pPr>
        <w:tabs>
          <w:tab w:val="left" w:pos="1418"/>
        </w:tabs>
        <w:spacing w:line="276" w:lineRule="auto"/>
        <w:jc w:val="right"/>
        <w:rPr>
          <w:rStyle w:val="text"/>
          <w:b/>
          <w:sz w:val="24"/>
          <w:szCs w:val="24"/>
        </w:rPr>
      </w:pPr>
      <w:bookmarkStart w:id="0" w:name="_GoBack"/>
      <w:r w:rsidRPr="009277A3">
        <w:rPr>
          <w:rStyle w:val="text"/>
          <w:b/>
          <w:sz w:val="24"/>
          <w:szCs w:val="24"/>
        </w:rPr>
        <w:t>Boletín N° 13.931-03</w:t>
      </w:r>
    </w:p>
    <w:p w:rsidR="009277A3" w:rsidRPr="009277A3" w:rsidRDefault="009277A3" w:rsidP="009277A3">
      <w:pPr>
        <w:tabs>
          <w:tab w:val="left" w:pos="1418"/>
        </w:tabs>
        <w:spacing w:line="276" w:lineRule="auto"/>
        <w:jc w:val="both"/>
        <w:rPr>
          <w:rStyle w:val="text"/>
          <w:b/>
          <w:sz w:val="24"/>
          <w:szCs w:val="24"/>
        </w:rPr>
      </w:pPr>
    </w:p>
    <w:p w:rsidR="009277A3" w:rsidRPr="009277A3" w:rsidRDefault="009277A3" w:rsidP="009277A3">
      <w:pPr>
        <w:tabs>
          <w:tab w:val="left" w:pos="1418"/>
        </w:tabs>
        <w:spacing w:line="276" w:lineRule="auto"/>
        <w:jc w:val="both"/>
        <w:rPr>
          <w:rStyle w:val="text"/>
          <w:b/>
          <w:sz w:val="24"/>
          <w:szCs w:val="24"/>
        </w:rPr>
      </w:pPr>
      <w:r w:rsidRPr="009277A3">
        <w:rPr>
          <w:rStyle w:val="text"/>
          <w:b/>
          <w:sz w:val="24"/>
          <w:szCs w:val="24"/>
        </w:rPr>
        <w:t xml:space="preserve">Proyecto de ley, </w:t>
      </w:r>
      <w:proofErr w:type="spellStart"/>
      <w:r w:rsidRPr="009277A3">
        <w:rPr>
          <w:rStyle w:val="text"/>
          <w:b/>
          <w:sz w:val="24"/>
          <w:szCs w:val="24"/>
        </w:rPr>
        <w:t>iniciado</w:t>
      </w:r>
      <w:proofErr w:type="spellEnd"/>
      <w:r w:rsidRPr="009277A3">
        <w:rPr>
          <w:rStyle w:val="text"/>
          <w:b/>
          <w:sz w:val="24"/>
          <w:szCs w:val="24"/>
        </w:rPr>
        <w:t xml:space="preserve"> </w:t>
      </w:r>
      <w:proofErr w:type="spellStart"/>
      <w:r w:rsidRPr="009277A3">
        <w:rPr>
          <w:rStyle w:val="text"/>
          <w:b/>
          <w:sz w:val="24"/>
          <w:szCs w:val="24"/>
        </w:rPr>
        <w:t>en</w:t>
      </w:r>
      <w:proofErr w:type="spellEnd"/>
      <w:r w:rsidRPr="009277A3">
        <w:rPr>
          <w:rStyle w:val="text"/>
          <w:b/>
          <w:sz w:val="24"/>
          <w:szCs w:val="24"/>
        </w:rPr>
        <w:t xml:space="preserve"> </w:t>
      </w:r>
      <w:proofErr w:type="spellStart"/>
      <w:r w:rsidRPr="009277A3">
        <w:rPr>
          <w:rStyle w:val="text"/>
          <w:b/>
          <w:sz w:val="24"/>
          <w:szCs w:val="24"/>
        </w:rPr>
        <w:t>moción</w:t>
      </w:r>
      <w:proofErr w:type="spellEnd"/>
      <w:r w:rsidRPr="009277A3">
        <w:rPr>
          <w:rStyle w:val="text"/>
          <w:b/>
          <w:sz w:val="24"/>
          <w:szCs w:val="24"/>
        </w:rPr>
        <w:t xml:space="preserve"> de </w:t>
      </w:r>
      <w:proofErr w:type="spellStart"/>
      <w:r w:rsidRPr="009277A3">
        <w:rPr>
          <w:rStyle w:val="text"/>
          <w:b/>
          <w:sz w:val="24"/>
          <w:szCs w:val="24"/>
        </w:rPr>
        <w:t>los</w:t>
      </w:r>
      <w:proofErr w:type="spellEnd"/>
      <w:r w:rsidRPr="009277A3">
        <w:rPr>
          <w:rStyle w:val="text"/>
          <w:b/>
          <w:sz w:val="24"/>
          <w:szCs w:val="24"/>
        </w:rPr>
        <w:t xml:space="preserve"> </w:t>
      </w:r>
      <w:proofErr w:type="spellStart"/>
      <w:r w:rsidRPr="009277A3">
        <w:rPr>
          <w:rStyle w:val="text"/>
          <w:b/>
          <w:sz w:val="24"/>
          <w:szCs w:val="24"/>
        </w:rPr>
        <w:t>Honorables</w:t>
      </w:r>
      <w:proofErr w:type="spellEnd"/>
      <w:r w:rsidRPr="009277A3">
        <w:rPr>
          <w:rStyle w:val="text"/>
          <w:b/>
          <w:sz w:val="24"/>
          <w:szCs w:val="24"/>
        </w:rPr>
        <w:t xml:space="preserve"> </w:t>
      </w:r>
      <w:proofErr w:type="spellStart"/>
      <w:r w:rsidRPr="009277A3">
        <w:rPr>
          <w:rStyle w:val="text"/>
          <w:b/>
          <w:sz w:val="24"/>
          <w:szCs w:val="24"/>
        </w:rPr>
        <w:t>senadores</w:t>
      </w:r>
      <w:proofErr w:type="spellEnd"/>
      <w:r w:rsidRPr="009277A3">
        <w:rPr>
          <w:rStyle w:val="text"/>
          <w:b/>
          <w:sz w:val="24"/>
          <w:szCs w:val="24"/>
        </w:rPr>
        <w:t xml:space="preserve"> </w:t>
      </w:r>
      <w:proofErr w:type="spellStart"/>
      <w:r w:rsidRPr="009277A3">
        <w:rPr>
          <w:rStyle w:val="text"/>
          <w:b/>
          <w:sz w:val="24"/>
          <w:szCs w:val="24"/>
        </w:rPr>
        <w:t>señor</w:t>
      </w:r>
      <w:proofErr w:type="spellEnd"/>
      <w:r w:rsidRPr="009277A3">
        <w:rPr>
          <w:rStyle w:val="text"/>
          <w:b/>
          <w:sz w:val="24"/>
          <w:szCs w:val="24"/>
        </w:rPr>
        <w:t xml:space="preserve"> Girardi, </w:t>
      </w:r>
      <w:proofErr w:type="spellStart"/>
      <w:r w:rsidRPr="009277A3">
        <w:rPr>
          <w:rStyle w:val="text"/>
          <w:b/>
          <w:sz w:val="24"/>
          <w:szCs w:val="24"/>
        </w:rPr>
        <w:t>señora</w:t>
      </w:r>
      <w:proofErr w:type="spellEnd"/>
      <w:r w:rsidRPr="009277A3">
        <w:rPr>
          <w:rStyle w:val="text"/>
          <w:b/>
          <w:sz w:val="24"/>
          <w:szCs w:val="24"/>
        </w:rPr>
        <w:t xml:space="preserve"> </w:t>
      </w:r>
      <w:proofErr w:type="spellStart"/>
      <w:r w:rsidRPr="009277A3">
        <w:rPr>
          <w:rStyle w:val="text"/>
          <w:b/>
          <w:sz w:val="24"/>
          <w:szCs w:val="24"/>
        </w:rPr>
        <w:t>Rincón</w:t>
      </w:r>
      <w:proofErr w:type="spellEnd"/>
      <w:r w:rsidRPr="009277A3">
        <w:rPr>
          <w:rStyle w:val="text"/>
          <w:b/>
          <w:sz w:val="24"/>
          <w:szCs w:val="24"/>
        </w:rPr>
        <w:t xml:space="preserve"> y </w:t>
      </w:r>
      <w:proofErr w:type="spellStart"/>
      <w:r w:rsidRPr="009277A3">
        <w:rPr>
          <w:rStyle w:val="text"/>
          <w:b/>
          <w:sz w:val="24"/>
          <w:szCs w:val="24"/>
        </w:rPr>
        <w:t>señor</w:t>
      </w:r>
      <w:proofErr w:type="spellEnd"/>
      <w:r w:rsidRPr="009277A3">
        <w:rPr>
          <w:rStyle w:val="text"/>
          <w:b/>
          <w:sz w:val="24"/>
          <w:szCs w:val="24"/>
        </w:rPr>
        <w:t xml:space="preserve"> </w:t>
      </w:r>
      <w:proofErr w:type="spellStart"/>
      <w:r w:rsidRPr="009277A3">
        <w:rPr>
          <w:rStyle w:val="text"/>
          <w:b/>
          <w:sz w:val="24"/>
          <w:szCs w:val="24"/>
        </w:rPr>
        <w:t>Elizalde</w:t>
      </w:r>
      <w:proofErr w:type="spellEnd"/>
      <w:r w:rsidRPr="009277A3">
        <w:rPr>
          <w:rStyle w:val="text"/>
          <w:b/>
          <w:sz w:val="24"/>
          <w:szCs w:val="24"/>
        </w:rPr>
        <w:t xml:space="preserve">, que </w:t>
      </w:r>
      <w:proofErr w:type="spellStart"/>
      <w:r w:rsidRPr="009277A3">
        <w:rPr>
          <w:rStyle w:val="text"/>
          <w:b/>
          <w:sz w:val="24"/>
          <w:szCs w:val="24"/>
        </w:rPr>
        <w:t>garantiza</w:t>
      </w:r>
      <w:proofErr w:type="spellEnd"/>
      <w:r w:rsidRPr="009277A3">
        <w:rPr>
          <w:rStyle w:val="text"/>
          <w:b/>
          <w:sz w:val="24"/>
          <w:szCs w:val="24"/>
        </w:rPr>
        <w:t xml:space="preserve"> el derecho a </w:t>
      </w:r>
      <w:proofErr w:type="spellStart"/>
      <w:r w:rsidRPr="009277A3">
        <w:rPr>
          <w:rStyle w:val="text"/>
          <w:b/>
          <w:sz w:val="24"/>
          <w:szCs w:val="24"/>
        </w:rPr>
        <w:t>retracto</w:t>
      </w:r>
      <w:proofErr w:type="spellEnd"/>
      <w:r w:rsidRPr="009277A3">
        <w:rPr>
          <w:rStyle w:val="text"/>
          <w:b/>
          <w:sz w:val="24"/>
          <w:szCs w:val="24"/>
        </w:rPr>
        <w:t xml:space="preserve"> a </w:t>
      </w:r>
      <w:proofErr w:type="spellStart"/>
      <w:r w:rsidRPr="009277A3">
        <w:rPr>
          <w:rStyle w:val="text"/>
          <w:b/>
          <w:sz w:val="24"/>
          <w:szCs w:val="24"/>
        </w:rPr>
        <w:t>los</w:t>
      </w:r>
      <w:proofErr w:type="spellEnd"/>
      <w:r w:rsidRPr="009277A3">
        <w:rPr>
          <w:rStyle w:val="text"/>
          <w:b/>
          <w:sz w:val="24"/>
          <w:szCs w:val="24"/>
        </w:rPr>
        <w:t xml:space="preserve"> </w:t>
      </w:r>
      <w:proofErr w:type="spellStart"/>
      <w:r w:rsidRPr="009277A3">
        <w:rPr>
          <w:rStyle w:val="text"/>
          <w:b/>
          <w:sz w:val="24"/>
          <w:szCs w:val="24"/>
        </w:rPr>
        <w:t>consumidores</w:t>
      </w:r>
      <w:proofErr w:type="spellEnd"/>
      <w:r w:rsidRPr="009277A3">
        <w:rPr>
          <w:rStyle w:val="text"/>
          <w:b/>
          <w:sz w:val="24"/>
          <w:szCs w:val="24"/>
        </w:rPr>
        <w:t xml:space="preserve"> de </w:t>
      </w:r>
      <w:proofErr w:type="spellStart"/>
      <w:r w:rsidRPr="009277A3">
        <w:rPr>
          <w:rStyle w:val="text"/>
          <w:b/>
          <w:sz w:val="24"/>
          <w:szCs w:val="24"/>
        </w:rPr>
        <w:t>comercio</w:t>
      </w:r>
      <w:proofErr w:type="spellEnd"/>
      <w:r w:rsidRPr="009277A3">
        <w:rPr>
          <w:rStyle w:val="text"/>
          <w:b/>
          <w:sz w:val="24"/>
          <w:szCs w:val="24"/>
        </w:rPr>
        <w:t xml:space="preserve"> </w:t>
      </w:r>
      <w:proofErr w:type="spellStart"/>
      <w:r w:rsidRPr="009277A3">
        <w:rPr>
          <w:rStyle w:val="text"/>
          <w:b/>
          <w:sz w:val="24"/>
          <w:szCs w:val="24"/>
        </w:rPr>
        <w:t>electrónico</w:t>
      </w:r>
      <w:proofErr w:type="spellEnd"/>
      <w:r w:rsidRPr="009277A3">
        <w:rPr>
          <w:rStyle w:val="text"/>
          <w:b/>
          <w:sz w:val="24"/>
          <w:szCs w:val="24"/>
        </w:rPr>
        <w:t>.</w:t>
      </w:r>
    </w:p>
    <w:p w:rsidR="009277A3" w:rsidRDefault="009277A3" w:rsidP="009277A3">
      <w:pPr>
        <w:tabs>
          <w:tab w:val="left" w:pos="1418"/>
        </w:tabs>
        <w:spacing w:line="276" w:lineRule="auto"/>
        <w:jc w:val="both"/>
        <w:rPr>
          <w:rStyle w:val="text"/>
          <w:rFonts w:ascii="Arial" w:hAnsi="Arial" w:cs="Arial"/>
          <w:sz w:val="26"/>
          <w:szCs w:val="26"/>
        </w:rPr>
      </w:pPr>
    </w:p>
    <w:bookmarkEnd w:id="0"/>
    <w:p w:rsidR="009277A3" w:rsidRDefault="009277A3" w:rsidP="005B417F">
      <w:pPr>
        <w:textAlignment w:val="baseline"/>
        <w:rPr>
          <w:rFonts w:eastAsia="Garamond"/>
          <w:b/>
          <w:color w:val="000000"/>
          <w:spacing w:val="2"/>
          <w:sz w:val="24"/>
          <w:szCs w:val="24"/>
          <w:lang w:val="es-ES"/>
        </w:rPr>
      </w:pPr>
    </w:p>
    <w:p w:rsidR="00EB7A29" w:rsidRDefault="00962F4F" w:rsidP="005B417F">
      <w:pPr>
        <w:textAlignment w:val="baseline"/>
        <w:rPr>
          <w:rFonts w:eastAsia="Garamond"/>
          <w:b/>
          <w:color w:val="000000"/>
          <w:spacing w:val="2"/>
          <w:sz w:val="24"/>
          <w:szCs w:val="24"/>
          <w:lang w:val="es-ES"/>
        </w:rPr>
      </w:pPr>
      <w:r w:rsidRPr="005B417F">
        <w:rPr>
          <w:rFonts w:eastAsia="Garamond"/>
          <w:b/>
          <w:color w:val="000000"/>
          <w:spacing w:val="2"/>
          <w:sz w:val="24"/>
          <w:szCs w:val="24"/>
          <w:lang w:val="es-ES"/>
        </w:rPr>
        <w:t>ANTECEDENTES</w:t>
      </w:r>
    </w:p>
    <w:p w:rsidR="00B15F4D" w:rsidRDefault="00B15F4D" w:rsidP="005B417F">
      <w:pPr>
        <w:textAlignment w:val="baseline"/>
        <w:rPr>
          <w:rFonts w:eastAsia="Garamond"/>
          <w:b/>
          <w:color w:val="000000"/>
          <w:spacing w:val="2"/>
          <w:sz w:val="24"/>
          <w:szCs w:val="24"/>
          <w:lang w:val="es-ES"/>
        </w:rPr>
      </w:pPr>
    </w:p>
    <w:p w:rsidR="009277A3" w:rsidRPr="005B417F" w:rsidRDefault="009277A3" w:rsidP="005B417F">
      <w:pPr>
        <w:textAlignment w:val="baseline"/>
        <w:rPr>
          <w:rFonts w:eastAsia="Garamond"/>
          <w:b/>
          <w:color w:val="000000"/>
          <w:spacing w:val="2"/>
          <w:sz w:val="24"/>
          <w:szCs w:val="24"/>
          <w:lang w:val="es-ES"/>
        </w:rPr>
      </w:pPr>
    </w:p>
    <w:p w:rsidR="00EB7A29" w:rsidRDefault="00962F4F" w:rsidP="005B417F">
      <w:pPr>
        <w:jc w:val="both"/>
        <w:textAlignment w:val="baseline"/>
        <w:rPr>
          <w:rFonts w:eastAsia="Garamond"/>
          <w:color w:val="000000"/>
          <w:sz w:val="24"/>
          <w:szCs w:val="24"/>
          <w:lang w:val="es-ES"/>
        </w:rPr>
      </w:pPr>
      <w:r w:rsidRPr="005B417F">
        <w:rPr>
          <w:rFonts w:eastAsia="Garamond"/>
          <w:color w:val="000000"/>
          <w:sz w:val="24"/>
          <w:szCs w:val="24"/>
          <w:lang w:val="es-ES"/>
        </w:rPr>
        <w:t>De acuerdo con los datos de Transporte y Comunicaciones del Instituto Nacional de Estadísticas</w:t>
      </w:r>
      <w:r w:rsidR="00F65C71" w:rsidRPr="005B417F">
        <w:rPr>
          <w:rStyle w:val="Refdenotaalpie"/>
          <w:rFonts w:eastAsia="Garamond"/>
          <w:color w:val="000000"/>
          <w:sz w:val="24"/>
          <w:szCs w:val="24"/>
          <w:lang w:val="es-ES"/>
        </w:rPr>
        <w:footnoteReference w:id="1"/>
      </w:r>
      <w:r w:rsidRPr="005B417F">
        <w:rPr>
          <w:rFonts w:eastAsia="Garamond"/>
          <w:color w:val="000000"/>
          <w:sz w:val="24"/>
          <w:szCs w:val="24"/>
          <w:lang w:val="es-ES"/>
        </w:rPr>
        <w:t xml:space="preserve"> (INE), entre julio de 2016 y junio de 2017, sólo un 15,2% de los hogares de las capitales regionales del país declara gastar en servicio de conexión a internet. Además, el </w:t>
      </w:r>
      <w:r w:rsidR="001C4DD2" w:rsidRPr="005B417F">
        <w:rPr>
          <w:rFonts w:eastAsia="Garamond"/>
          <w:color w:val="000000"/>
          <w:sz w:val="24"/>
          <w:szCs w:val="24"/>
          <w:lang w:val="es-ES"/>
        </w:rPr>
        <w:t>número</w:t>
      </w:r>
      <w:r w:rsidRPr="005B417F">
        <w:rPr>
          <w:rFonts w:eastAsia="Garamond"/>
          <w:color w:val="000000"/>
          <w:sz w:val="24"/>
          <w:szCs w:val="24"/>
          <w:lang w:val="es-ES"/>
        </w:rPr>
        <w:t xml:space="preserve"> de clientes con internet dedicada, es decir, que tienen acceso a internet a través de un servidor de forma permanente, ha aumentado notoriamente en los últimos cinco años.</w:t>
      </w:r>
    </w:p>
    <w:p w:rsidR="009277A3" w:rsidRPr="005B417F" w:rsidRDefault="009277A3" w:rsidP="005B417F">
      <w:pPr>
        <w:jc w:val="both"/>
        <w:textAlignment w:val="baseline"/>
        <w:rPr>
          <w:rFonts w:eastAsia="Garamond"/>
          <w:color w:val="000000"/>
          <w:sz w:val="24"/>
          <w:szCs w:val="24"/>
          <w:lang w:val="es-ES"/>
        </w:rPr>
      </w:pPr>
    </w:p>
    <w:p w:rsidR="00EB7A29" w:rsidRDefault="00962F4F" w:rsidP="005B417F">
      <w:pPr>
        <w:jc w:val="both"/>
        <w:textAlignment w:val="baseline"/>
        <w:rPr>
          <w:rFonts w:eastAsia="Garamond"/>
          <w:color w:val="000000"/>
          <w:sz w:val="24"/>
          <w:szCs w:val="24"/>
          <w:lang w:val="es-ES"/>
        </w:rPr>
      </w:pPr>
      <w:r w:rsidRPr="005B417F">
        <w:rPr>
          <w:rFonts w:eastAsia="Garamond"/>
          <w:color w:val="000000"/>
          <w:sz w:val="24"/>
          <w:szCs w:val="24"/>
          <w:lang w:val="es-ES"/>
        </w:rPr>
        <w:t>En efecto, en marzo de 2015</w:t>
      </w:r>
      <w:r w:rsidR="001C4DD2" w:rsidRPr="005B417F">
        <w:rPr>
          <w:rStyle w:val="Refdenotaalpie"/>
          <w:rFonts w:eastAsia="Garamond"/>
          <w:color w:val="000000"/>
          <w:sz w:val="24"/>
          <w:szCs w:val="24"/>
          <w:lang w:val="es-ES"/>
        </w:rPr>
        <w:footnoteReference w:id="2"/>
      </w:r>
      <w:r w:rsidRPr="005B417F">
        <w:rPr>
          <w:rFonts w:eastAsia="Garamond"/>
          <w:color w:val="000000"/>
          <w:sz w:val="24"/>
          <w:szCs w:val="24"/>
          <w:lang w:val="es-ES"/>
        </w:rPr>
        <w:t xml:space="preserve"> se contabilizó un total de 2.574.641 usuarios de internet dedicada. La mayor parte de ellos, es decir, 2.274.025 clientes, correspondió a consumidores de residencias particulares. Las conexiones de empresas, en tanto, llegaron a 300.616. Cinco años más tarde, en 2020, en cambio, se registraron 3.276.058 clientes, de los cuales 2.947.648 fueron hogares y 328.410 correspondieron a empresas. Estas cifras implicaron un crecimiento de 701.417 usuarios, desde marzo de 2015 a marzo de 2020, desglosado en 673.623 clientes más del tipo residencial y 27.794 clientes del segmento empresas.</w:t>
      </w:r>
    </w:p>
    <w:p w:rsidR="009277A3" w:rsidRPr="005B417F" w:rsidRDefault="009277A3" w:rsidP="005B417F">
      <w:pPr>
        <w:jc w:val="both"/>
        <w:textAlignment w:val="baseline"/>
        <w:rPr>
          <w:rFonts w:eastAsia="Garamond"/>
          <w:color w:val="000000"/>
          <w:sz w:val="24"/>
          <w:szCs w:val="24"/>
          <w:lang w:val="es-ES"/>
        </w:rPr>
      </w:pPr>
    </w:p>
    <w:p w:rsidR="00EB7A29" w:rsidRDefault="00962F4F" w:rsidP="005B417F">
      <w:pPr>
        <w:jc w:val="both"/>
        <w:textAlignment w:val="baseline"/>
        <w:rPr>
          <w:rFonts w:eastAsia="Garamond"/>
          <w:color w:val="000000"/>
          <w:sz w:val="24"/>
          <w:szCs w:val="24"/>
          <w:lang w:val="es-ES"/>
        </w:rPr>
      </w:pPr>
      <w:r w:rsidRPr="005B417F">
        <w:rPr>
          <w:rFonts w:eastAsia="Garamond"/>
          <w:color w:val="000000"/>
          <w:sz w:val="24"/>
          <w:szCs w:val="24"/>
          <w:lang w:val="es-ES"/>
        </w:rPr>
        <w:t>Por su parte, la IX Encuesta de Acceso y Usos de Internet, de la Subsecretaría de Telecomunicaciones</w:t>
      </w:r>
      <w:r w:rsidR="00FF1532" w:rsidRPr="005B417F">
        <w:rPr>
          <w:rStyle w:val="Refdenotaalpie"/>
          <w:rFonts w:eastAsia="Garamond"/>
          <w:color w:val="000000"/>
          <w:sz w:val="24"/>
          <w:szCs w:val="24"/>
          <w:lang w:val="es-ES"/>
        </w:rPr>
        <w:footnoteReference w:id="3"/>
      </w:r>
      <w:r w:rsidRPr="005B417F">
        <w:rPr>
          <w:rFonts w:eastAsia="Garamond"/>
          <w:color w:val="000000"/>
          <w:sz w:val="24"/>
          <w:szCs w:val="24"/>
          <w:lang w:val="es-ES"/>
        </w:rPr>
        <w:t>, del Ministerio de Transportes y Telecomunicaciones muestra que la proporción de hogares que declara contar con un acceso propio y pagado a internet vía conexiones móviles mantiene su tasa creciente. Así, si en 2015 el 70,2% de los hogares contaban con acceso a internet (31,1% sólo a través de conexión fija, 19,7% sólo a través de conexión móvil y el 1 7,7%</w:t>
      </w:r>
      <w:r w:rsidR="00FF1532" w:rsidRPr="005B417F">
        <w:rPr>
          <w:rFonts w:eastAsia="Garamond"/>
          <w:color w:val="000000"/>
          <w:sz w:val="24"/>
          <w:szCs w:val="24"/>
          <w:lang w:val="es-ES"/>
        </w:rPr>
        <w:t xml:space="preserve"> a</w:t>
      </w:r>
      <w:r w:rsidRPr="005B417F">
        <w:rPr>
          <w:rFonts w:eastAsia="Garamond"/>
          <w:color w:val="000000"/>
          <w:sz w:val="24"/>
          <w:szCs w:val="24"/>
          <w:lang w:val="es-ES"/>
        </w:rPr>
        <w:t>mbas conexiones), en 2016 dicha cifra aumentó al 79,4% (22,8% sólo a través de conexión fija, 25,5% sólo a través de conexión móvil y el 30,1% ambas conexiones) y en 2017 al 87,4% (22,8% sólo a través de conexión fija, 29,6% sólo a través de conexión móvil y el 27,2% ambas conexiones).</w:t>
      </w:r>
    </w:p>
    <w:p w:rsidR="009277A3" w:rsidRPr="005B417F" w:rsidRDefault="009277A3" w:rsidP="005B417F">
      <w:pPr>
        <w:jc w:val="both"/>
        <w:textAlignment w:val="baseline"/>
        <w:rPr>
          <w:rFonts w:eastAsia="Garamond"/>
          <w:color w:val="000000"/>
          <w:sz w:val="24"/>
          <w:szCs w:val="24"/>
          <w:lang w:val="es-ES"/>
        </w:rPr>
      </w:pPr>
    </w:p>
    <w:p w:rsidR="00EB7A29" w:rsidRPr="005B417F" w:rsidRDefault="00962F4F" w:rsidP="005B417F">
      <w:pPr>
        <w:jc w:val="both"/>
        <w:textAlignment w:val="baseline"/>
        <w:rPr>
          <w:rFonts w:eastAsia="Garamond"/>
          <w:color w:val="000000"/>
          <w:sz w:val="24"/>
          <w:szCs w:val="24"/>
          <w:lang w:val="es-ES"/>
        </w:rPr>
      </w:pPr>
      <w:r w:rsidRPr="005B417F">
        <w:rPr>
          <w:rFonts w:eastAsia="Garamond"/>
          <w:color w:val="000000"/>
          <w:sz w:val="24"/>
          <w:szCs w:val="24"/>
          <w:lang w:val="es-ES"/>
        </w:rPr>
        <w:t>Los datos anteriores no sólo muestran que cada año se registra un aumento en el acceso de internet de las personas, familias y empresas, sino que también son manifestación de otro fenómeno, a saber, el uso cada vez más habitual de los servicios y la tecnología que ofrece y</w:t>
      </w:r>
    </w:p>
    <w:p w:rsidR="00EB7A29" w:rsidRPr="005B417F" w:rsidRDefault="00EB7A29" w:rsidP="005B417F">
      <w:pPr>
        <w:rPr>
          <w:sz w:val="24"/>
          <w:szCs w:val="24"/>
        </w:rPr>
        <w:sectPr w:rsidR="00EB7A29" w:rsidRPr="005B417F" w:rsidSect="009277A3">
          <w:pgSz w:w="12240" w:h="18720"/>
          <w:pgMar w:top="2060" w:right="1608" w:bottom="684" w:left="1713" w:header="720" w:footer="720" w:gutter="0"/>
          <w:cols w:space="720"/>
          <w:docGrid w:linePitch="299"/>
        </w:sectPr>
      </w:pPr>
    </w:p>
    <w:p w:rsidR="00EB7A29" w:rsidRPr="005B417F" w:rsidRDefault="00962F4F" w:rsidP="005B417F">
      <w:pPr>
        <w:jc w:val="both"/>
        <w:textAlignment w:val="baseline"/>
        <w:rPr>
          <w:rFonts w:eastAsia="Garamond"/>
          <w:color w:val="000000"/>
          <w:spacing w:val="-1"/>
          <w:sz w:val="24"/>
          <w:szCs w:val="24"/>
          <w:lang w:val="es-ES"/>
        </w:rPr>
      </w:pPr>
      <w:r w:rsidRPr="005B417F">
        <w:rPr>
          <w:rFonts w:eastAsia="Garamond"/>
          <w:color w:val="000000"/>
          <w:spacing w:val="-1"/>
          <w:sz w:val="24"/>
          <w:szCs w:val="24"/>
          <w:lang w:val="es-ES"/>
        </w:rPr>
        <w:lastRenderedPageBreak/>
        <w:t>proporciona el internet móvil, especialmente en lo que se refiere a la descarga de aplicaciones y a otros servicios. Así, el estudio "Futuro Digital Global 2018"</w:t>
      </w:r>
      <w:r w:rsidR="000D7EC2" w:rsidRPr="005B417F">
        <w:rPr>
          <w:rStyle w:val="Refdenotaalpie"/>
          <w:rFonts w:eastAsia="Garamond"/>
          <w:color w:val="000000"/>
          <w:spacing w:val="-1"/>
          <w:sz w:val="24"/>
          <w:szCs w:val="24"/>
          <w:lang w:val="es-ES"/>
        </w:rPr>
        <w:footnoteReference w:id="4"/>
      </w:r>
      <w:r w:rsidRPr="005B417F">
        <w:rPr>
          <w:rFonts w:eastAsia="Garamond"/>
          <w:color w:val="000000"/>
          <w:spacing w:val="-1"/>
          <w:sz w:val="24"/>
          <w:szCs w:val="24"/>
          <w:lang w:val="es-ES"/>
        </w:rPr>
        <w:t xml:space="preserve">, muestra que las personas usan 2/3 de su tiempo en </w:t>
      </w:r>
      <w:proofErr w:type="spellStart"/>
      <w:r w:rsidRPr="005B417F">
        <w:rPr>
          <w:rFonts w:eastAsia="Garamond"/>
          <w:color w:val="000000"/>
          <w:spacing w:val="-1"/>
          <w:sz w:val="24"/>
          <w:szCs w:val="24"/>
          <w:lang w:val="es-ES"/>
        </w:rPr>
        <w:t>smartphones</w:t>
      </w:r>
      <w:proofErr w:type="spellEnd"/>
      <w:r w:rsidR="004E717C" w:rsidRPr="005B417F">
        <w:rPr>
          <w:rFonts w:eastAsia="Garamond"/>
          <w:color w:val="000000"/>
          <w:spacing w:val="-1"/>
          <w:sz w:val="24"/>
          <w:szCs w:val="24"/>
          <w:lang w:val="es-ES"/>
        </w:rPr>
        <w:t xml:space="preserve"> y</w:t>
      </w:r>
      <w:r w:rsidRPr="005B417F">
        <w:rPr>
          <w:rFonts w:eastAsia="Garamond"/>
          <w:color w:val="000000"/>
          <w:spacing w:val="-1"/>
          <w:sz w:val="24"/>
          <w:szCs w:val="24"/>
          <w:lang w:val="es-ES"/>
        </w:rPr>
        <w:t xml:space="preserve"> sólo 1/3 en PC o Tab</w:t>
      </w:r>
      <w:r w:rsidR="004E717C" w:rsidRPr="005B417F">
        <w:rPr>
          <w:rFonts w:eastAsia="Garamond"/>
          <w:color w:val="000000"/>
          <w:spacing w:val="-1"/>
          <w:sz w:val="24"/>
          <w:szCs w:val="24"/>
          <w:lang w:val="es-ES"/>
        </w:rPr>
        <w:t>l</w:t>
      </w:r>
      <w:r w:rsidRPr="005B417F">
        <w:rPr>
          <w:rFonts w:eastAsia="Garamond"/>
          <w:color w:val="000000"/>
          <w:spacing w:val="-1"/>
          <w:sz w:val="24"/>
          <w:szCs w:val="24"/>
          <w:lang w:val="es-ES"/>
        </w:rPr>
        <w:t>et</w:t>
      </w:r>
      <w:r w:rsidR="004E717C" w:rsidRPr="005B417F">
        <w:rPr>
          <w:rFonts w:eastAsia="Garamond"/>
          <w:color w:val="000000"/>
          <w:spacing w:val="-1"/>
          <w:sz w:val="24"/>
          <w:szCs w:val="24"/>
          <w:lang w:val="es-ES"/>
        </w:rPr>
        <w:t xml:space="preserve"> y</w:t>
      </w:r>
      <w:r w:rsidRPr="005B417F">
        <w:rPr>
          <w:rFonts w:eastAsia="Garamond"/>
          <w:color w:val="000000"/>
          <w:spacing w:val="-1"/>
          <w:sz w:val="24"/>
          <w:szCs w:val="24"/>
          <w:lang w:val="es-ES"/>
        </w:rPr>
        <w:t xml:space="preserve"> que, del tiempo que gastan en su móvil, más del 80% se destina a aplicaciones. Por su parte, de acuerdo con los datos de </w:t>
      </w:r>
      <w:proofErr w:type="spellStart"/>
      <w:r w:rsidRPr="005B417F">
        <w:rPr>
          <w:rFonts w:eastAsia="Garamond"/>
          <w:color w:val="000000"/>
          <w:spacing w:val="-1"/>
          <w:sz w:val="24"/>
          <w:szCs w:val="24"/>
          <w:lang w:val="es-ES"/>
        </w:rPr>
        <w:t>Vocalink</w:t>
      </w:r>
      <w:proofErr w:type="spellEnd"/>
      <w:r w:rsidRPr="005B417F">
        <w:rPr>
          <w:rFonts w:eastAsia="Garamond"/>
          <w:color w:val="000000"/>
          <w:spacing w:val="-1"/>
          <w:sz w:val="24"/>
          <w:szCs w:val="24"/>
          <w:lang w:val="es-ES"/>
        </w:rPr>
        <w:t xml:space="preserve"> (una empresa de </w:t>
      </w:r>
      <w:proofErr w:type="spellStart"/>
      <w:r w:rsidRPr="005B417F">
        <w:rPr>
          <w:rFonts w:eastAsia="Garamond"/>
          <w:color w:val="000000"/>
          <w:spacing w:val="-1"/>
          <w:sz w:val="24"/>
          <w:szCs w:val="24"/>
          <w:lang w:val="es-ES"/>
        </w:rPr>
        <w:t>Mastercard</w:t>
      </w:r>
      <w:proofErr w:type="spellEnd"/>
      <w:r w:rsidRPr="005B417F">
        <w:rPr>
          <w:rFonts w:eastAsia="Garamond"/>
          <w:color w:val="000000"/>
          <w:spacing w:val="-1"/>
          <w:sz w:val="24"/>
          <w:szCs w:val="24"/>
          <w:lang w:val="es-ES"/>
        </w:rPr>
        <w:t>) y de un estudio que realizó en cinco países sudamericanos (Chile, Perú, Brasil, Argentina</w:t>
      </w:r>
      <w:r w:rsidR="004E717C" w:rsidRPr="005B417F">
        <w:rPr>
          <w:rFonts w:eastAsia="Garamond"/>
          <w:color w:val="000000"/>
          <w:spacing w:val="-1"/>
          <w:sz w:val="24"/>
          <w:szCs w:val="24"/>
          <w:lang w:val="es-ES"/>
        </w:rPr>
        <w:t xml:space="preserve"> y</w:t>
      </w:r>
      <w:r w:rsidRPr="005B417F">
        <w:rPr>
          <w:rFonts w:eastAsia="Garamond"/>
          <w:color w:val="000000"/>
          <w:spacing w:val="-1"/>
          <w:sz w:val="24"/>
          <w:szCs w:val="24"/>
          <w:lang w:val="es-ES"/>
        </w:rPr>
        <w:t xml:space="preserve"> Colombia), reveló, por una parte, que el 82% de las personas entre 18 y 35 años, ha utilizado aplicaciones móviles al momento de realizar transacciones en puntos de venta del comercio nacional que cuentan con tecnología sin contacto, y que, el 94% de los chilenos dice estar al tanto de la existencia de esta tecnología, la que se ha popularizado gracias a aplicaciones independientes y también las de los propios bancos.</w:t>
      </w:r>
    </w:p>
    <w:p w:rsidR="005B417F" w:rsidRPr="005B417F" w:rsidRDefault="005B417F" w:rsidP="005B417F">
      <w:pPr>
        <w:jc w:val="both"/>
        <w:textAlignment w:val="baseline"/>
        <w:rPr>
          <w:rFonts w:eastAsia="Garamond"/>
          <w:color w:val="000000"/>
          <w:sz w:val="24"/>
          <w:szCs w:val="24"/>
          <w:lang w:val="es-ES"/>
        </w:rPr>
      </w:pPr>
    </w:p>
    <w:p w:rsidR="00EB7A29" w:rsidRPr="005B417F" w:rsidRDefault="00962F4F" w:rsidP="005B417F">
      <w:pPr>
        <w:jc w:val="both"/>
        <w:textAlignment w:val="baseline"/>
        <w:rPr>
          <w:rFonts w:eastAsia="Garamond"/>
          <w:color w:val="000000"/>
          <w:sz w:val="24"/>
          <w:szCs w:val="24"/>
          <w:lang w:val="es-ES"/>
        </w:rPr>
      </w:pPr>
      <w:r w:rsidRPr="005B417F">
        <w:rPr>
          <w:rFonts w:eastAsia="Garamond"/>
          <w:color w:val="000000"/>
          <w:sz w:val="24"/>
          <w:szCs w:val="24"/>
          <w:lang w:val="es-ES"/>
        </w:rPr>
        <w:t xml:space="preserve">De hecho, con ocasión de la pandemia originada por el COVID-19, la consultora </w:t>
      </w:r>
      <w:proofErr w:type="spellStart"/>
      <w:r w:rsidRPr="005B417F">
        <w:rPr>
          <w:rFonts w:eastAsia="Garamond"/>
          <w:color w:val="000000"/>
          <w:sz w:val="24"/>
          <w:szCs w:val="24"/>
          <w:lang w:val="es-ES"/>
        </w:rPr>
        <w:t>Criteria</w:t>
      </w:r>
      <w:proofErr w:type="spellEnd"/>
      <w:r w:rsidRPr="005B417F">
        <w:rPr>
          <w:rFonts w:eastAsia="Garamond"/>
          <w:color w:val="000000"/>
          <w:sz w:val="24"/>
          <w:szCs w:val="24"/>
          <w:lang w:val="es-ES"/>
        </w:rPr>
        <w:t xml:space="preserve"> en su estudio "Epidemia, Apps</w:t>
      </w:r>
      <w:r w:rsidR="000D7EC2" w:rsidRPr="005B417F">
        <w:rPr>
          <w:rFonts w:eastAsia="Garamond"/>
          <w:color w:val="000000"/>
          <w:sz w:val="24"/>
          <w:szCs w:val="24"/>
          <w:lang w:val="es-ES"/>
        </w:rPr>
        <w:t xml:space="preserve"> y</w:t>
      </w:r>
      <w:r w:rsidRPr="005B417F">
        <w:rPr>
          <w:rFonts w:eastAsia="Garamond"/>
          <w:color w:val="000000"/>
          <w:sz w:val="24"/>
          <w:szCs w:val="24"/>
          <w:lang w:val="es-ES"/>
        </w:rPr>
        <w:t xml:space="preserve"> Cambios de hábito", concluyó que el uso promedio semanal de los usuarios pasó de 18 a 22 horas, ya que una vez decretado el confinamiento se verificó un fuerte aumento de uso de redes sociales, servicios de mensajería</w:t>
      </w:r>
      <w:r w:rsidR="000D7EC2" w:rsidRPr="005B417F">
        <w:rPr>
          <w:rFonts w:eastAsia="Garamond"/>
          <w:color w:val="000000"/>
          <w:sz w:val="24"/>
          <w:szCs w:val="24"/>
          <w:lang w:val="es-ES"/>
        </w:rPr>
        <w:t xml:space="preserve"> y</w:t>
      </w:r>
      <w:r w:rsidRPr="005B417F">
        <w:rPr>
          <w:rFonts w:eastAsia="Garamond"/>
          <w:color w:val="000000"/>
          <w:sz w:val="24"/>
          <w:szCs w:val="24"/>
          <w:lang w:val="es-ES"/>
        </w:rPr>
        <w:t xml:space="preserve"> video, además de juegos, </w:t>
      </w:r>
      <w:proofErr w:type="spellStart"/>
      <w:r w:rsidRPr="005B417F">
        <w:rPr>
          <w:rFonts w:eastAsia="Garamond"/>
          <w:color w:val="000000"/>
          <w:sz w:val="24"/>
          <w:szCs w:val="24"/>
          <w:lang w:val="es-ES"/>
        </w:rPr>
        <w:t>streaming</w:t>
      </w:r>
      <w:proofErr w:type="spellEnd"/>
      <w:r w:rsidR="000D7EC2" w:rsidRPr="005B417F">
        <w:rPr>
          <w:rFonts w:eastAsia="Garamond"/>
          <w:color w:val="000000"/>
          <w:sz w:val="24"/>
          <w:szCs w:val="24"/>
          <w:lang w:val="es-ES"/>
        </w:rPr>
        <w:t xml:space="preserve"> y</w:t>
      </w:r>
      <w:r w:rsidRPr="005B417F">
        <w:rPr>
          <w:rFonts w:eastAsia="Garamond"/>
          <w:color w:val="000000"/>
          <w:sz w:val="24"/>
          <w:szCs w:val="24"/>
          <w:lang w:val="es-ES"/>
        </w:rPr>
        <w:t xml:space="preserve"> televisión, en todos los grupos etarios, además una drástica caída en otras, como las relacionadas con transporte público o viajes.</w:t>
      </w:r>
    </w:p>
    <w:p w:rsidR="005B417F" w:rsidRPr="005B417F" w:rsidRDefault="005B417F" w:rsidP="005B417F">
      <w:pPr>
        <w:jc w:val="both"/>
        <w:textAlignment w:val="baseline"/>
        <w:rPr>
          <w:rFonts w:eastAsia="Garamond"/>
          <w:color w:val="000000"/>
          <w:sz w:val="24"/>
          <w:szCs w:val="24"/>
          <w:lang w:val="es-ES"/>
        </w:rPr>
      </w:pPr>
    </w:p>
    <w:p w:rsidR="00EB7A29" w:rsidRPr="005B417F" w:rsidRDefault="00962F4F" w:rsidP="005B417F">
      <w:pPr>
        <w:jc w:val="both"/>
        <w:textAlignment w:val="baseline"/>
        <w:rPr>
          <w:rFonts w:eastAsia="Garamond"/>
          <w:color w:val="000000"/>
          <w:sz w:val="24"/>
          <w:szCs w:val="24"/>
          <w:lang w:val="es-ES"/>
        </w:rPr>
      </w:pPr>
      <w:r w:rsidRPr="005B417F">
        <w:rPr>
          <w:rFonts w:eastAsia="Garamond"/>
          <w:color w:val="000000"/>
          <w:sz w:val="24"/>
          <w:szCs w:val="24"/>
          <w:lang w:val="es-ES"/>
        </w:rPr>
        <w:t>Lo anterior, ha generado un enorme impulso para dicha industria, volviéndose también muy usual la contratación de servicios en línea, especialmente las suscripciones a servicios y productos de prestación continua, los que suponen el pago mensual, trimestral, semestral o anual del producto o servicio. Para dichos efectos, los consumidores asocian el pago del servicio a un determinado medio de pago, cuenta a la cual se cargará la suscripción en los correspondientes períodos de pago.</w:t>
      </w:r>
    </w:p>
    <w:p w:rsidR="005B417F" w:rsidRPr="005B417F" w:rsidRDefault="005B417F" w:rsidP="005B417F">
      <w:pPr>
        <w:jc w:val="both"/>
        <w:textAlignment w:val="baseline"/>
        <w:rPr>
          <w:rFonts w:eastAsia="Garamond"/>
          <w:color w:val="000000"/>
          <w:sz w:val="24"/>
          <w:szCs w:val="24"/>
          <w:lang w:val="es-ES"/>
        </w:rPr>
      </w:pPr>
    </w:p>
    <w:p w:rsidR="005B417F" w:rsidRPr="005B417F" w:rsidRDefault="00962F4F" w:rsidP="005B417F">
      <w:pPr>
        <w:jc w:val="both"/>
        <w:textAlignment w:val="baseline"/>
        <w:rPr>
          <w:rFonts w:eastAsia="Garamond"/>
          <w:color w:val="000000"/>
          <w:sz w:val="24"/>
          <w:szCs w:val="24"/>
          <w:lang w:val="es-ES"/>
        </w:rPr>
      </w:pPr>
      <w:r w:rsidRPr="005B417F">
        <w:rPr>
          <w:rFonts w:eastAsia="Garamond"/>
          <w:color w:val="000000"/>
          <w:sz w:val="24"/>
          <w:szCs w:val="24"/>
          <w:lang w:val="es-ES"/>
        </w:rPr>
        <w:t>Generalmente, las cuentas de cargo corresponderán a tarjetas de crédito o débito del consumidor, bastando la aceptación de las condiciones de suscripción para que el cargo se efectúe y se constituya en una especie de mandato al proveedor para efectuar los cargos mensuales, trimestrales, semestrales o anuales.</w:t>
      </w:r>
    </w:p>
    <w:p w:rsidR="005B417F" w:rsidRPr="005B417F" w:rsidRDefault="005B417F" w:rsidP="005B417F">
      <w:pPr>
        <w:jc w:val="both"/>
        <w:textAlignment w:val="baseline"/>
        <w:rPr>
          <w:rFonts w:eastAsia="Garamond"/>
          <w:color w:val="000000"/>
          <w:sz w:val="24"/>
          <w:szCs w:val="24"/>
          <w:lang w:val="es-ES"/>
        </w:rPr>
      </w:pPr>
    </w:p>
    <w:p w:rsidR="00EB7A29" w:rsidRPr="005B417F" w:rsidRDefault="00962F4F" w:rsidP="005B417F">
      <w:pPr>
        <w:jc w:val="both"/>
        <w:textAlignment w:val="baseline"/>
        <w:rPr>
          <w:rFonts w:eastAsia="Garamond"/>
          <w:color w:val="000000"/>
          <w:sz w:val="24"/>
          <w:szCs w:val="24"/>
          <w:lang w:val="es-ES"/>
        </w:rPr>
      </w:pPr>
      <w:r w:rsidRPr="005B417F">
        <w:rPr>
          <w:rFonts w:eastAsia="Garamond"/>
          <w:color w:val="000000"/>
          <w:spacing w:val="-1"/>
          <w:sz w:val="24"/>
          <w:szCs w:val="24"/>
          <w:lang w:val="es-ES"/>
        </w:rPr>
        <w:t>Lo anterior, trae consigo nuevos desafíos. Así, es común que los proveedores de dichos servicios se encuentran domiciliados o son residentes en el extranjero, que intermedian o prestan servicios a consumidores domiciliados o residentes en Chile, que complejiza o hace imposible el ejercicio de los derechos que la legislación nacional reconoce a los consumidores, principalmente los consagrados en la ley N°19.496 de protección de los derechos de los consumidores.</w:t>
      </w:r>
    </w:p>
    <w:p w:rsidR="005B417F" w:rsidRPr="005B417F" w:rsidRDefault="005B417F" w:rsidP="005B417F">
      <w:pPr>
        <w:jc w:val="both"/>
        <w:textAlignment w:val="baseline"/>
        <w:rPr>
          <w:rFonts w:eastAsia="Garamond"/>
          <w:color w:val="000000"/>
          <w:sz w:val="24"/>
          <w:szCs w:val="24"/>
          <w:lang w:val="es-ES"/>
        </w:rPr>
      </w:pPr>
    </w:p>
    <w:p w:rsidR="005B417F" w:rsidRPr="005B417F" w:rsidRDefault="00962F4F" w:rsidP="005B417F">
      <w:pPr>
        <w:jc w:val="both"/>
        <w:textAlignment w:val="baseline"/>
        <w:rPr>
          <w:rFonts w:eastAsia="Garamond"/>
          <w:color w:val="000000"/>
          <w:sz w:val="24"/>
          <w:szCs w:val="24"/>
          <w:lang w:val="es-ES"/>
        </w:rPr>
      </w:pPr>
      <w:r w:rsidRPr="005B417F">
        <w:rPr>
          <w:rFonts w:eastAsia="Garamond"/>
          <w:color w:val="000000"/>
          <w:sz w:val="24"/>
          <w:szCs w:val="24"/>
          <w:lang w:val="es-ES"/>
        </w:rPr>
        <w:t>En consecuencia, cualquier problema relacionado con cargos o pagos mal efectuados que puedan afectar a un consumidor, deja a éste en la imposibilidad de reclamarlos, no solo ante el órgano de fiscalización administrativo, sino también ante los órganos jurisdiccionales, incluso ante el propio proveedor, cuando éste no dispone de mecanismos de contacto para tales efectos.</w:t>
      </w:r>
    </w:p>
    <w:p w:rsidR="00EB7A29" w:rsidRPr="005B417F" w:rsidRDefault="00962F4F" w:rsidP="005B417F">
      <w:pPr>
        <w:jc w:val="both"/>
        <w:textAlignment w:val="baseline"/>
        <w:rPr>
          <w:rFonts w:eastAsia="Garamond"/>
          <w:color w:val="000000"/>
          <w:sz w:val="24"/>
          <w:szCs w:val="24"/>
          <w:lang w:val="es-ES"/>
        </w:rPr>
      </w:pPr>
      <w:r w:rsidRPr="005B417F">
        <w:rPr>
          <w:rFonts w:eastAsia="Garamond"/>
          <w:color w:val="000000"/>
          <w:sz w:val="24"/>
          <w:szCs w:val="24"/>
          <w:lang w:val="es-ES"/>
        </w:rPr>
        <w:lastRenderedPageBreak/>
        <w:t xml:space="preserve">Si bien los sistemas operativos de los aparatos móviles generalmente intermedian en la suscripción de tales servicios, disponiendo de funcionalidades para eliminar las suscripciones, existe un universo de suscripciones que pueden ser contratadas directamente en Internet o por redes sociales, sin que medien sistemas operativos como los descritos que posibiliten al usuario cancelar dichas suscripciones; principalmente, se trata de ofertas de productos o servicios que usualmente ofrecen un periodo de prueba denominado </w:t>
      </w:r>
      <w:r w:rsidR="000B12D4">
        <w:rPr>
          <w:rFonts w:eastAsia="Garamond"/>
          <w:color w:val="000000"/>
          <w:sz w:val="24"/>
          <w:szCs w:val="24"/>
          <w:lang w:val="es-ES"/>
        </w:rPr>
        <w:t>"Tri</w:t>
      </w:r>
      <w:r w:rsidRPr="005B417F">
        <w:rPr>
          <w:rFonts w:eastAsia="Garamond"/>
          <w:color w:val="000000"/>
          <w:sz w:val="24"/>
          <w:szCs w:val="24"/>
          <w:lang w:val="es-ES"/>
        </w:rPr>
        <w:t>a</w:t>
      </w:r>
      <w:r w:rsidR="000B12D4">
        <w:rPr>
          <w:rFonts w:eastAsia="Garamond"/>
          <w:color w:val="000000"/>
          <w:sz w:val="24"/>
          <w:szCs w:val="24"/>
          <w:lang w:val="es-ES"/>
        </w:rPr>
        <w:t>l</w:t>
      </w:r>
      <w:r w:rsidRPr="005B417F">
        <w:rPr>
          <w:rFonts w:eastAsia="Garamond"/>
          <w:color w:val="000000"/>
          <w:sz w:val="24"/>
          <w:szCs w:val="24"/>
          <w:lang w:val="es-ES"/>
        </w:rPr>
        <w:t>', que queda condicionado a la previa entrega de datos de tarjetas de crédito o débito que luego de dicho periodo se usan para efectuar cargos constantes, sin posibilidades del consumidor de cancelar la suscripción o, al menos, con procedimientos engorrosos que dificultan dicha cancelación. A esta práctica se le ha llamado en la experiencia extranjera como "</w:t>
      </w:r>
      <w:proofErr w:type="spellStart"/>
      <w:r w:rsidRPr="005B417F">
        <w:rPr>
          <w:rFonts w:eastAsia="Garamond"/>
          <w:color w:val="000000"/>
          <w:sz w:val="24"/>
          <w:szCs w:val="24"/>
          <w:lang w:val="es-ES"/>
        </w:rPr>
        <w:t>subscr</w:t>
      </w:r>
      <w:r w:rsidR="000B12D4">
        <w:rPr>
          <w:rFonts w:eastAsia="Garamond"/>
          <w:color w:val="000000"/>
          <w:sz w:val="24"/>
          <w:szCs w:val="24"/>
          <w:lang w:val="es-ES"/>
        </w:rPr>
        <w:t>ip</w:t>
      </w:r>
      <w:r w:rsidRPr="005B417F">
        <w:rPr>
          <w:rFonts w:eastAsia="Garamond"/>
          <w:color w:val="000000"/>
          <w:sz w:val="24"/>
          <w:szCs w:val="24"/>
          <w:lang w:val="es-ES"/>
        </w:rPr>
        <w:t>tion</w:t>
      </w:r>
      <w:proofErr w:type="spellEnd"/>
      <w:r w:rsidRPr="005B417F">
        <w:rPr>
          <w:rFonts w:eastAsia="Garamond"/>
          <w:color w:val="000000"/>
          <w:sz w:val="24"/>
          <w:szCs w:val="24"/>
          <w:lang w:val="es-ES"/>
        </w:rPr>
        <w:t xml:space="preserve"> </w:t>
      </w:r>
      <w:proofErr w:type="spellStart"/>
      <w:r w:rsidRPr="005B417F">
        <w:rPr>
          <w:rFonts w:eastAsia="Garamond"/>
          <w:color w:val="000000"/>
          <w:sz w:val="24"/>
          <w:szCs w:val="24"/>
          <w:lang w:val="es-ES"/>
        </w:rPr>
        <w:t>trap</w:t>
      </w:r>
      <w:proofErr w:type="spellEnd"/>
      <w:r w:rsidRPr="005B417F">
        <w:rPr>
          <w:rFonts w:eastAsia="Garamond"/>
          <w:color w:val="000000"/>
          <w:sz w:val="24"/>
          <w:szCs w:val="24"/>
          <w:lang w:val="es-ES"/>
        </w:rPr>
        <w:t>" o subscripción trampa.</w:t>
      </w:r>
    </w:p>
    <w:p w:rsidR="005B417F" w:rsidRPr="005B417F" w:rsidRDefault="005B417F" w:rsidP="005B417F">
      <w:pPr>
        <w:jc w:val="both"/>
        <w:textAlignment w:val="baseline"/>
        <w:rPr>
          <w:rFonts w:eastAsia="Garamond"/>
          <w:color w:val="000000"/>
          <w:sz w:val="24"/>
          <w:szCs w:val="24"/>
          <w:lang w:val="es-ES"/>
        </w:rPr>
      </w:pPr>
    </w:p>
    <w:p w:rsidR="00EB7A29" w:rsidRDefault="00962F4F" w:rsidP="005B417F">
      <w:pPr>
        <w:jc w:val="both"/>
        <w:textAlignment w:val="baseline"/>
        <w:rPr>
          <w:rFonts w:eastAsia="Garamond"/>
          <w:color w:val="000000"/>
          <w:sz w:val="24"/>
          <w:szCs w:val="24"/>
          <w:lang w:val="es-ES"/>
        </w:rPr>
      </w:pPr>
      <w:r w:rsidRPr="005B417F">
        <w:rPr>
          <w:rFonts w:eastAsia="Garamond"/>
          <w:color w:val="000000"/>
          <w:sz w:val="24"/>
          <w:szCs w:val="24"/>
          <w:lang w:val="es-ES"/>
        </w:rPr>
        <w:t>En el contexto anterior, los elementos comunes presentes en este tipo de mecanismos f</w:t>
      </w:r>
      <w:r w:rsidR="000B12D4">
        <w:rPr>
          <w:rFonts w:eastAsia="Garamond"/>
          <w:color w:val="000000"/>
          <w:sz w:val="24"/>
          <w:szCs w:val="24"/>
          <w:lang w:val="es-ES"/>
        </w:rPr>
        <w:t>raudulentos, son los siguientes</w:t>
      </w:r>
      <w:r w:rsidR="000B12D4">
        <w:rPr>
          <w:rStyle w:val="Refdenotaalpie"/>
          <w:rFonts w:eastAsia="Garamond"/>
          <w:color w:val="000000"/>
          <w:sz w:val="24"/>
          <w:szCs w:val="24"/>
          <w:lang w:val="es-ES"/>
        </w:rPr>
        <w:footnoteReference w:id="5"/>
      </w:r>
      <w:r w:rsidRPr="005B417F">
        <w:rPr>
          <w:rFonts w:eastAsia="Garamond"/>
          <w:color w:val="000000"/>
          <w:sz w:val="24"/>
          <w:szCs w:val="24"/>
          <w:lang w:val="es-ES"/>
        </w:rPr>
        <w:t>:</w:t>
      </w:r>
    </w:p>
    <w:p w:rsidR="005B417F" w:rsidRPr="005B417F" w:rsidRDefault="005B417F" w:rsidP="005B417F">
      <w:pPr>
        <w:jc w:val="both"/>
        <w:textAlignment w:val="baseline"/>
        <w:rPr>
          <w:rFonts w:eastAsia="Garamond"/>
          <w:color w:val="000000"/>
          <w:sz w:val="24"/>
          <w:szCs w:val="24"/>
          <w:lang w:val="es-ES"/>
        </w:rPr>
      </w:pPr>
    </w:p>
    <w:p w:rsidR="00EB7A29" w:rsidRPr="000B12D4" w:rsidRDefault="00962F4F" w:rsidP="000B12D4">
      <w:pPr>
        <w:pStyle w:val="Prrafodelista"/>
        <w:numPr>
          <w:ilvl w:val="0"/>
          <w:numId w:val="2"/>
        </w:numPr>
        <w:ind w:left="0" w:firstLine="0"/>
        <w:jc w:val="both"/>
        <w:textAlignment w:val="baseline"/>
        <w:rPr>
          <w:rFonts w:eastAsia="Garamond"/>
          <w:color w:val="000000"/>
          <w:sz w:val="24"/>
          <w:szCs w:val="24"/>
          <w:lang w:val="es-ES"/>
        </w:rPr>
      </w:pPr>
      <w:r w:rsidRPr="000B12D4">
        <w:rPr>
          <w:rFonts w:eastAsia="Garamond"/>
          <w:color w:val="000000"/>
          <w:sz w:val="24"/>
          <w:szCs w:val="24"/>
          <w:lang w:val="es-ES"/>
        </w:rPr>
        <w:t>Los proveedores ut</w:t>
      </w:r>
      <w:r w:rsidR="000B12D4" w:rsidRPr="000B12D4">
        <w:rPr>
          <w:rFonts w:eastAsia="Garamond"/>
          <w:color w:val="000000"/>
          <w:sz w:val="24"/>
          <w:szCs w:val="24"/>
          <w:lang w:val="es-ES"/>
        </w:rPr>
        <w:t>iliz</w:t>
      </w:r>
      <w:r w:rsidRPr="000B12D4">
        <w:rPr>
          <w:rFonts w:eastAsia="Garamond"/>
          <w:color w:val="000000"/>
          <w:sz w:val="24"/>
          <w:szCs w:val="24"/>
          <w:lang w:val="es-ES"/>
        </w:rPr>
        <w:t xml:space="preserve">an ofertas atractivas para hacer caer al consumidor en la suscripción, como descuentos, despacho gratuito (free </w:t>
      </w:r>
      <w:proofErr w:type="spellStart"/>
      <w:r w:rsidRPr="000B12D4">
        <w:rPr>
          <w:rFonts w:eastAsia="Garamond"/>
          <w:color w:val="000000"/>
          <w:sz w:val="24"/>
          <w:szCs w:val="24"/>
          <w:lang w:val="es-ES"/>
        </w:rPr>
        <w:t>sh</w:t>
      </w:r>
      <w:r w:rsidR="000B12D4" w:rsidRPr="000B12D4">
        <w:rPr>
          <w:rFonts w:eastAsia="Garamond"/>
          <w:color w:val="000000"/>
          <w:sz w:val="24"/>
          <w:szCs w:val="24"/>
          <w:lang w:val="es-ES"/>
        </w:rPr>
        <w:t>i</w:t>
      </w:r>
      <w:r w:rsidRPr="000B12D4">
        <w:rPr>
          <w:rFonts w:eastAsia="Garamond"/>
          <w:color w:val="000000"/>
          <w:sz w:val="24"/>
          <w:szCs w:val="24"/>
          <w:lang w:val="es-ES"/>
        </w:rPr>
        <w:t>ppin</w:t>
      </w:r>
      <w:r w:rsidR="000B12D4" w:rsidRPr="000B12D4">
        <w:rPr>
          <w:rFonts w:eastAsia="Garamond"/>
          <w:color w:val="000000"/>
          <w:sz w:val="24"/>
          <w:szCs w:val="24"/>
          <w:lang w:val="es-ES"/>
        </w:rPr>
        <w:t>g</w:t>
      </w:r>
      <w:proofErr w:type="spellEnd"/>
      <w:r w:rsidRPr="000B12D4">
        <w:rPr>
          <w:rFonts w:eastAsia="Garamond"/>
          <w:color w:val="000000"/>
          <w:sz w:val="24"/>
          <w:szCs w:val="24"/>
          <w:lang w:val="es-ES"/>
        </w:rPr>
        <w:t>), muestra gratis, periodo de prueba gratuito, entre otros.</w:t>
      </w:r>
    </w:p>
    <w:p w:rsidR="005B417F" w:rsidRPr="005B417F" w:rsidRDefault="005B417F" w:rsidP="005B417F">
      <w:pPr>
        <w:jc w:val="both"/>
        <w:textAlignment w:val="baseline"/>
        <w:rPr>
          <w:rFonts w:eastAsia="Garamond"/>
          <w:color w:val="000000"/>
          <w:sz w:val="24"/>
          <w:szCs w:val="24"/>
          <w:lang w:val="es-ES"/>
        </w:rPr>
      </w:pPr>
    </w:p>
    <w:p w:rsidR="00EB7A29" w:rsidRPr="005B417F" w:rsidRDefault="00962F4F" w:rsidP="005B417F">
      <w:pPr>
        <w:numPr>
          <w:ilvl w:val="0"/>
          <w:numId w:val="1"/>
        </w:numPr>
        <w:ind w:left="0"/>
        <w:jc w:val="both"/>
        <w:textAlignment w:val="baseline"/>
        <w:rPr>
          <w:rFonts w:eastAsia="Garamond"/>
          <w:color w:val="000000"/>
          <w:sz w:val="24"/>
          <w:szCs w:val="24"/>
          <w:lang w:val="es-ES"/>
        </w:rPr>
      </w:pPr>
      <w:r w:rsidRPr="005B417F">
        <w:rPr>
          <w:rFonts w:eastAsia="Garamond"/>
          <w:color w:val="000000"/>
          <w:sz w:val="24"/>
          <w:szCs w:val="24"/>
          <w:lang w:val="es-ES"/>
        </w:rPr>
        <w:t>Los consumidores que no cancelan la suscripción durante el periodo de prueba o no pueden hacerlo por no estar disponibles los mecanismos necesarios, se ven cautivos en contratos de suscripción que implican cargos recurrentes.</w:t>
      </w:r>
    </w:p>
    <w:p w:rsidR="005B417F" w:rsidRPr="005B417F" w:rsidRDefault="005B417F" w:rsidP="005B417F">
      <w:pPr>
        <w:tabs>
          <w:tab w:val="left" w:pos="360"/>
        </w:tabs>
        <w:jc w:val="both"/>
        <w:textAlignment w:val="baseline"/>
        <w:rPr>
          <w:rFonts w:eastAsia="Garamond"/>
          <w:color w:val="000000"/>
          <w:sz w:val="24"/>
          <w:szCs w:val="24"/>
          <w:lang w:val="es-ES"/>
        </w:rPr>
      </w:pPr>
    </w:p>
    <w:p w:rsidR="00EB7A29" w:rsidRPr="005B417F" w:rsidRDefault="00962F4F" w:rsidP="005B417F">
      <w:pPr>
        <w:numPr>
          <w:ilvl w:val="0"/>
          <w:numId w:val="1"/>
        </w:numPr>
        <w:ind w:left="0"/>
        <w:jc w:val="both"/>
        <w:textAlignment w:val="baseline"/>
        <w:rPr>
          <w:rFonts w:eastAsia="Garamond"/>
          <w:color w:val="000000"/>
          <w:spacing w:val="2"/>
          <w:sz w:val="24"/>
          <w:szCs w:val="24"/>
          <w:lang w:val="es-ES"/>
        </w:rPr>
      </w:pPr>
      <w:r w:rsidRPr="005B417F">
        <w:rPr>
          <w:rFonts w:eastAsia="Garamond"/>
          <w:color w:val="000000"/>
          <w:spacing w:val="2"/>
          <w:sz w:val="24"/>
          <w:szCs w:val="24"/>
          <w:lang w:val="es-ES"/>
        </w:rPr>
        <w:t>Desconocimiento por parte de los consumidores de la existencia de tarifas o cargos de suscripción, debido a la omisión de términos</w:t>
      </w:r>
      <w:r w:rsidR="000B12D4">
        <w:rPr>
          <w:rFonts w:eastAsia="Garamond"/>
          <w:color w:val="000000"/>
          <w:spacing w:val="2"/>
          <w:sz w:val="24"/>
          <w:szCs w:val="24"/>
          <w:lang w:val="es-ES"/>
        </w:rPr>
        <w:t xml:space="preserve"> y</w:t>
      </w:r>
      <w:r w:rsidRPr="005B417F">
        <w:rPr>
          <w:rFonts w:eastAsia="Garamond"/>
          <w:color w:val="000000"/>
          <w:spacing w:val="2"/>
          <w:sz w:val="24"/>
          <w:szCs w:val="24"/>
          <w:lang w:val="es-ES"/>
        </w:rPr>
        <w:t xml:space="preserve"> condiciones determinantes; por el ocultamiento de los mismo por parte de los oferentes o, simplemente, por el uso de terminología confusa</w:t>
      </w:r>
      <w:r w:rsidR="00AC1221">
        <w:rPr>
          <w:rFonts w:eastAsia="Garamond"/>
          <w:color w:val="000000"/>
          <w:spacing w:val="2"/>
          <w:sz w:val="24"/>
          <w:szCs w:val="24"/>
          <w:lang w:val="es-ES"/>
        </w:rPr>
        <w:t>.</w:t>
      </w:r>
    </w:p>
    <w:p w:rsidR="005B417F" w:rsidRPr="005B417F" w:rsidRDefault="005B417F" w:rsidP="005B417F">
      <w:pPr>
        <w:jc w:val="both"/>
        <w:textAlignment w:val="baseline"/>
        <w:rPr>
          <w:rFonts w:eastAsia="Garamond"/>
          <w:color w:val="000000"/>
          <w:sz w:val="24"/>
          <w:szCs w:val="24"/>
          <w:lang w:val="es-ES"/>
        </w:rPr>
      </w:pPr>
    </w:p>
    <w:p w:rsidR="00EB7A29" w:rsidRPr="005B417F" w:rsidRDefault="00962F4F" w:rsidP="005B417F">
      <w:pPr>
        <w:jc w:val="both"/>
        <w:textAlignment w:val="baseline"/>
        <w:rPr>
          <w:rFonts w:eastAsia="Garamond"/>
          <w:color w:val="000000"/>
          <w:sz w:val="24"/>
          <w:szCs w:val="24"/>
          <w:lang w:val="es-ES"/>
        </w:rPr>
      </w:pPr>
      <w:r w:rsidRPr="005B417F">
        <w:rPr>
          <w:rFonts w:eastAsia="Garamond"/>
          <w:color w:val="000000"/>
          <w:sz w:val="24"/>
          <w:szCs w:val="24"/>
          <w:lang w:val="es-ES"/>
        </w:rPr>
        <w:t>De acuerdo con el Centro Europeo del Consumo (Irlanda), durante los últimos tres años, 3,5 millones de consumidores en Suecia, Noruega, Finlandia, Holanda, Bélgica</w:t>
      </w:r>
      <w:r w:rsidR="00AC1221">
        <w:rPr>
          <w:rFonts w:eastAsia="Garamond"/>
          <w:color w:val="000000"/>
          <w:sz w:val="24"/>
          <w:szCs w:val="24"/>
          <w:lang w:val="es-ES"/>
        </w:rPr>
        <w:t xml:space="preserve"> y</w:t>
      </w:r>
      <w:r w:rsidRPr="005B417F">
        <w:rPr>
          <w:rFonts w:eastAsia="Garamond"/>
          <w:color w:val="000000"/>
          <w:sz w:val="24"/>
          <w:szCs w:val="24"/>
          <w:lang w:val="es-ES"/>
        </w:rPr>
        <w:t xml:space="preserve"> Austria aceptaron una oferta en </w:t>
      </w:r>
      <w:r w:rsidR="00AC1221" w:rsidRPr="005B417F">
        <w:rPr>
          <w:rFonts w:eastAsia="Garamond"/>
          <w:color w:val="000000"/>
          <w:sz w:val="24"/>
          <w:szCs w:val="24"/>
          <w:lang w:val="es-ES"/>
        </w:rPr>
        <w:t>línea</w:t>
      </w:r>
      <w:r w:rsidRPr="005B417F">
        <w:rPr>
          <w:rFonts w:eastAsia="Garamond"/>
          <w:color w:val="000000"/>
          <w:sz w:val="24"/>
          <w:szCs w:val="24"/>
          <w:lang w:val="es-ES"/>
        </w:rPr>
        <w:t>, a través de un sitio web o en las redes sociales que condujo a una "</w:t>
      </w:r>
      <w:proofErr w:type="spellStart"/>
      <w:r w:rsidRPr="005B417F">
        <w:rPr>
          <w:rFonts w:eastAsia="Garamond"/>
          <w:color w:val="000000"/>
          <w:sz w:val="24"/>
          <w:szCs w:val="24"/>
          <w:lang w:val="es-ES"/>
        </w:rPr>
        <w:t>subscr</w:t>
      </w:r>
      <w:r w:rsidR="00AC1221">
        <w:rPr>
          <w:rFonts w:eastAsia="Garamond"/>
          <w:color w:val="000000"/>
          <w:sz w:val="24"/>
          <w:szCs w:val="24"/>
          <w:lang w:val="es-ES"/>
        </w:rPr>
        <w:t>i</w:t>
      </w:r>
      <w:r w:rsidRPr="005B417F">
        <w:rPr>
          <w:rFonts w:eastAsia="Garamond"/>
          <w:color w:val="000000"/>
          <w:sz w:val="24"/>
          <w:szCs w:val="24"/>
          <w:lang w:val="es-ES"/>
        </w:rPr>
        <w:t>ption</w:t>
      </w:r>
      <w:proofErr w:type="spellEnd"/>
      <w:r w:rsidRPr="005B417F">
        <w:rPr>
          <w:rFonts w:eastAsia="Garamond"/>
          <w:color w:val="000000"/>
          <w:sz w:val="24"/>
          <w:szCs w:val="24"/>
          <w:lang w:val="es-ES"/>
        </w:rPr>
        <w:t xml:space="preserve"> </w:t>
      </w:r>
      <w:proofErr w:type="spellStart"/>
      <w:r w:rsidRPr="005B417F">
        <w:rPr>
          <w:rFonts w:eastAsia="Garamond"/>
          <w:color w:val="000000"/>
          <w:sz w:val="24"/>
          <w:szCs w:val="24"/>
          <w:lang w:val="es-ES"/>
        </w:rPr>
        <w:t>trap</w:t>
      </w:r>
      <w:proofErr w:type="spellEnd"/>
      <w:r w:rsidRPr="005B417F">
        <w:rPr>
          <w:rFonts w:eastAsia="Garamond"/>
          <w:color w:val="000000"/>
          <w:sz w:val="24"/>
          <w:szCs w:val="24"/>
          <w:lang w:val="es-ES"/>
        </w:rPr>
        <w:t>".</w:t>
      </w:r>
    </w:p>
    <w:p w:rsidR="005B417F" w:rsidRPr="005B417F" w:rsidRDefault="005B417F" w:rsidP="005B417F">
      <w:pPr>
        <w:jc w:val="both"/>
        <w:textAlignment w:val="baseline"/>
        <w:rPr>
          <w:rFonts w:eastAsia="Garamond"/>
          <w:color w:val="000000"/>
          <w:sz w:val="24"/>
          <w:szCs w:val="24"/>
          <w:lang w:val="es-ES"/>
        </w:rPr>
      </w:pPr>
    </w:p>
    <w:p w:rsidR="00EB7A29" w:rsidRDefault="00962F4F" w:rsidP="005B417F">
      <w:pPr>
        <w:jc w:val="both"/>
        <w:textAlignment w:val="baseline"/>
        <w:rPr>
          <w:rFonts w:eastAsia="Garamond"/>
          <w:color w:val="000000"/>
          <w:sz w:val="24"/>
          <w:szCs w:val="24"/>
          <w:lang w:val="es-ES"/>
        </w:rPr>
      </w:pPr>
      <w:r w:rsidRPr="005B417F">
        <w:rPr>
          <w:rFonts w:eastAsia="Garamond"/>
          <w:color w:val="000000"/>
          <w:sz w:val="24"/>
          <w:szCs w:val="24"/>
          <w:lang w:val="es-ES"/>
        </w:rPr>
        <w:t>Si bien, en general, las legislaciones europeas disponen de estatutos de protección de los consumidores, que reconocen derechos</w:t>
      </w:r>
      <w:r w:rsidR="00AC1221">
        <w:rPr>
          <w:rFonts w:eastAsia="Garamond"/>
          <w:color w:val="000000"/>
          <w:sz w:val="24"/>
          <w:szCs w:val="24"/>
          <w:lang w:val="es-ES"/>
        </w:rPr>
        <w:t xml:space="preserve"> y</w:t>
      </w:r>
      <w:r w:rsidRPr="005B417F">
        <w:rPr>
          <w:rFonts w:eastAsia="Garamond"/>
          <w:color w:val="000000"/>
          <w:sz w:val="24"/>
          <w:szCs w:val="24"/>
          <w:lang w:val="es-ES"/>
        </w:rPr>
        <w:t xml:space="preserve"> acciones para hacer efectiva la responsabilidad de los proveedores de tales servicios de suscripción, de acuerdo a </w:t>
      </w:r>
      <w:proofErr w:type="spellStart"/>
      <w:r w:rsidRPr="005B417F">
        <w:rPr>
          <w:rFonts w:eastAsia="Garamond"/>
          <w:color w:val="000000"/>
          <w:sz w:val="24"/>
          <w:szCs w:val="24"/>
          <w:lang w:val="es-ES"/>
        </w:rPr>
        <w:t>The</w:t>
      </w:r>
      <w:proofErr w:type="spellEnd"/>
      <w:r w:rsidRPr="005B417F">
        <w:rPr>
          <w:rFonts w:eastAsia="Garamond"/>
          <w:color w:val="000000"/>
          <w:sz w:val="24"/>
          <w:szCs w:val="24"/>
          <w:lang w:val="es-ES"/>
        </w:rPr>
        <w:t xml:space="preserve"> </w:t>
      </w:r>
      <w:proofErr w:type="spellStart"/>
      <w:r w:rsidRPr="005B417F">
        <w:rPr>
          <w:rFonts w:eastAsia="Garamond"/>
          <w:color w:val="000000"/>
          <w:sz w:val="24"/>
          <w:szCs w:val="24"/>
          <w:lang w:val="es-ES"/>
        </w:rPr>
        <w:t>National</w:t>
      </w:r>
      <w:proofErr w:type="spellEnd"/>
      <w:r w:rsidRPr="005B417F">
        <w:rPr>
          <w:rFonts w:eastAsia="Garamond"/>
          <w:color w:val="000000"/>
          <w:sz w:val="24"/>
          <w:szCs w:val="24"/>
          <w:lang w:val="es-ES"/>
        </w:rPr>
        <w:t xml:space="preserve"> </w:t>
      </w:r>
      <w:proofErr w:type="spellStart"/>
      <w:r w:rsidRPr="005B417F">
        <w:rPr>
          <w:rFonts w:eastAsia="Garamond"/>
          <w:color w:val="000000"/>
          <w:sz w:val="24"/>
          <w:szCs w:val="24"/>
          <w:lang w:val="es-ES"/>
        </w:rPr>
        <w:t>Association</w:t>
      </w:r>
      <w:proofErr w:type="spellEnd"/>
      <w:r w:rsidRPr="005B417F">
        <w:rPr>
          <w:rFonts w:eastAsia="Garamond"/>
          <w:color w:val="000000"/>
          <w:sz w:val="24"/>
          <w:szCs w:val="24"/>
          <w:lang w:val="es-ES"/>
        </w:rPr>
        <w:t xml:space="preserve"> of </w:t>
      </w:r>
      <w:proofErr w:type="spellStart"/>
      <w:r w:rsidRPr="005B417F">
        <w:rPr>
          <w:rFonts w:eastAsia="Garamond"/>
          <w:color w:val="000000"/>
          <w:sz w:val="24"/>
          <w:szCs w:val="24"/>
          <w:lang w:val="es-ES"/>
        </w:rPr>
        <w:t>Citizens</w:t>
      </w:r>
      <w:proofErr w:type="spellEnd"/>
      <w:r w:rsidRPr="005B417F">
        <w:rPr>
          <w:rFonts w:eastAsia="Garamond"/>
          <w:color w:val="000000"/>
          <w:sz w:val="24"/>
          <w:szCs w:val="24"/>
          <w:lang w:val="es-ES"/>
        </w:rPr>
        <w:t xml:space="preserve"> </w:t>
      </w:r>
      <w:proofErr w:type="spellStart"/>
      <w:r w:rsidRPr="005B417F">
        <w:rPr>
          <w:rFonts w:eastAsia="Garamond"/>
          <w:color w:val="000000"/>
          <w:sz w:val="24"/>
          <w:szCs w:val="24"/>
          <w:lang w:val="es-ES"/>
        </w:rPr>
        <w:t>Advice</w:t>
      </w:r>
      <w:proofErr w:type="spellEnd"/>
      <w:r w:rsidRPr="005B417F">
        <w:rPr>
          <w:rFonts w:eastAsia="Garamond"/>
          <w:color w:val="000000"/>
          <w:sz w:val="24"/>
          <w:szCs w:val="24"/>
          <w:lang w:val="es-ES"/>
        </w:rPr>
        <w:t xml:space="preserve"> </w:t>
      </w:r>
      <w:proofErr w:type="spellStart"/>
      <w:r w:rsidRPr="005B417F">
        <w:rPr>
          <w:rFonts w:eastAsia="Garamond"/>
          <w:color w:val="000000"/>
          <w:sz w:val="24"/>
          <w:szCs w:val="24"/>
          <w:lang w:val="es-ES"/>
        </w:rPr>
        <w:t>Bureaux</w:t>
      </w:r>
      <w:proofErr w:type="spellEnd"/>
      <w:r w:rsidRPr="005B417F">
        <w:rPr>
          <w:rFonts w:eastAsia="Garamond"/>
          <w:color w:val="000000"/>
          <w:sz w:val="24"/>
          <w:szCs w:val="24"/>
          <w:lang w:val="es-ES"/>
        </w:rPr>
        <w:t xml:space="preserve"> del Reino Unido, los consumidores no obtienen un acceso constante a la reparación por parte de los bancos y emisores de tarjetas.</w:t>
      </w:r>
    </w:p>
    <w:p w:rsidR="00AC1221" w:rsidRPr="005B417F" w:rsidRDefault="00AC1221" w:rsidP="005B417F">
      <w:pPr>
        <w:jc w:val="both"/>
        <w:textAlignment w:val="baseline"/>
        <w:rPr>
          <w:rFonts w:eastAsia="Garamond"/>
          <w:color w:val="000000"/>
          <w:sz w:val="24"/>
          <w:szCs w:val="24"/>
          <w:lang w:val="es-ES"/>
        </w:rPr>
      </w:pPr>
    </w:p>
    <w:p w:rsidR="00EB7A29" w:rsidRPr="005B417F" w:rsidRDefault="00962F4F" w:rsidP="009277A3">
      <w:pPr>
        <w:jc w:val="both"/>
        <w:textAlignment w:val="baseline"/>
        <w:rPr>
          <w:rFonts w:eastAsia="Garamond"/>
          <w:color w:val="000000"/>
          <w:sz w:val="24"/>
          <w:szCs w:val="24"/>
          <w:lang w:val="es-ES"/>
        </w:rPr>
      </w:pPr>
      <w:r w:rsidRPr="005B417F">
        <w:rPr>
          <w:rFonts w:eastAsia="Garamond"/>
          <w:color w:val="000000"/>
          <w:sz w:val="24"/>
          <w:szCs w:val="24"/>
          <w:lang w:val="es-ES"/>
        </w:rPr>
        <w:t xml:space="preserve">En Estados Unidos, la mayoría de los estados disponen de cuerpos normativos que regulan la renovación automática de suscripciones (ARL), disponiendo de requisitos a </w:t>
      </w:r>
      <w:r w:rsidR="009277A3">
        <w:rPr>
          <w:rFonts w:eastAsia="Garamond"/>
          <w:color w:val="000000"/>
          <w:sz w:val="24"/>
          <w:szCs w:val="24"/>
          <w:lang w:val="es-ES"/>
        </w:rPr>
        <w:t xml:space="preserve">                  </w:t>
      </w:r>
      <w:r w:rsidRPr="005B417F">
        <w:rPr>
          <w:rFonts w:eastAsia="Garamond"/>
          <w:color w:val="000000"/>
          <w:sz w:val="24"/>
          <w:szCs w:val="24"/>
          <w:lang w:val="es-ES"/>
        </w:rPr>
        <w:t>los proveedores que las ofrecen, referidos a</w:t>
      </w:r>
      <w:r w:rsidR="009277A3">
        <w:rPr>
          <w:rFonts w:eastAsia="Garamond"/>
          <w:color w:val="000000"/>
          <w:sz w:val="24"/>
          <w:szCs w:val="24"/>
          <w:lang w:val="es-ES"/>
        </w:rPr>
        <w:t xml:space="preserve"> </w:t>
      </w:r>
      <w:r w:rsidRPr="005B417F">
        <w:rPr>
          <w:rFonts w:eastAsia="Garamond"/>
          <w:color w:val="000000"/>
          <w:sz w:val="24"/>
          <w:szCs w:val="24"/>
          <w:lang w:val="es-ES"/>
        </w:rPr>
        <w:t xml:space="preserve"> publicidad, en términos</w:t>
      </w:r>
      <w:r w:rsidR="00AC1221">
        <w:rPr>
          <w:rFonts w:eastAsia="Garamond"/>
          <w:color w:val="000000"/>
          <w:sz w:val="24"/>
          <w:szCs w:val="24"/>
          <w:lang w:val="es-ES"/>
        </w:rPr>
        <w:t xml:space="preserve"> </w:t>
      </w:r>
      <w:r w:rsidR="009277A3">
        <w:rPr>
          <w:rFonts w:eastAsia="Garamond"/>
          <w:color w:val="000000"/>
          <w:sz w:val="24"/>
          <w:szCs w:val="24"/>
          <w:lang w:val="es-ES"/>
        </w:rPr>
        <w:t xml:space="preserve"> </w:t>
      </w:r>
      <w:r w:rsidR="00AC1221">
        <w:rPr>
          <w:rFonts w:eastAsia="Garamond"/>
          <w:color w:val="000000"/>
          <w:sz w:val="24"/>
          <w:szCs w:val="24"/>
          <w:lang w:val="es-ES"/>
        </w:rPr>
        <w:t>y</w:t>
      </w:r>
      <w:r w:rsidRPr="005B417F">
        <w:rPr>
          <w:rFonts w:eastAsia="Garamond"/>
          <w:color w:val="000000"/>
          <w:sz w:val="24"/>
          <w:szCs w:val="24"/>
          <w:lang w:val="es-ES"/>
        </w:rPr>
        <w:t xml:space="preserve"> condiciones claros, y</w:t>
      </w:r>
    </w:p>
    <w:p w:rsidR="00EB7A29" w:rsidRPr="005B417F" w:rsidRDefault="00EB7A29" w:rsidP="005B417F">
      <w:pPr>
        <w:rPr>
          <w:sz w:val="24"/>
          <w:szCs w:val="24"/>
        </w:rPr>
        <w:sectPr w:rsidR="00EB7A29" w:rsidRPr="005B417F" w:rsidSect="009277A3">
          <w:pgSz w:w="12242" w:h="15840"/>
          <w:pgMar w:top="2000" w:right="1610" w:bottom="684" w:left="1744" w:header="720" w:footer="720" w:gutter="0"/>
          <w:cols w:space="720"/>
        </w:sectPr>
      </w:pPr>
    </w:p>
    <w:p w:rsidR="00EB7A29" w:rsidRPr="005B417F" w:rsidRDefault="00962F4F" w:rsidP="005B417F">
      <w:pPr>
        <w:jc w:val="both"/>
        <w:textAlignment w:val="baseline"/>
        <w:rPr>
          <w:rFonts w:eastAsia="Garamond"/>
          <w:color w:val="000000"/>
          <w:sz w:val="24"/>
          <w:szCs w:val="24"/>
          <w:lang w:val="es-ES"/>
        </w:rPr>
      </w:pPr>
      <w:r w:rsidRPr="005B417F">
        <w:rPr>
          <w:rFonts w:eastAsia="Garamond"/>
          <w:color w:val="000000"/>
          <w:sz w:val="24"/>
          <w:szCs w:val="24"/>
          <w:lang w:val="es-ES"/>
        </w:rPr>
        <w:lastRenderedPageBreak/>
        <w:t>mecanismos de manifestación de voluntad del consumidor certeros, entre otros aspectos</w:t>
      </w:r>
      <w:r w:rsidR="000F2D69">
        <w:rPr>
          <w:rStyle w:val="Refdenotaalpie"/>
          <w:rFonts w:eastAsia="Garamond"/>
          <w:color w:val="000000"/>
          <w:sz w:val="24"/>
          <w:szCs w:val="24"/>
          <w:lang w:val="es-ES"/>
        </w:rPr>
        <w:footnoteReference w:id="6"/>
      </w:r>
      <w:r w:rsidRPr="005B417F">
        <w:rPr>
          <w:rFonts w:eastAsia="Garamond"/>
          <w:color w:val="000000"/>
          <w:sz w:val="24"/>
          <w:szCs w:val="24"/>
          <w:lang w:val="es-ES"/>
        </w:rPr>
        <w:t>. Sin embargo, no se disponen de mecanismos que permitan al consumidor cancelar una suscripción por medio de la cuenta de cargo, sea una tarjeta de débito o de crédito.</w:t>
      </w:r>
    </w:p>
    <w:p w:rsidR="000F2D69" w:rsidRDefault="000F2D69" w:rsidP="000F2D69">
      <w:pPr>
        <w:jc w:val="both"/>
        <w:textAlignment w:val="baseline"/>
        <w:rPr>
          <w:rFonts w:eastAsia="Garamond"/>
          <w:color w:val="000000"/>
          <w:sz w:val="24"/>
          <w:szCs w:val="24"/>
          <w:lang w:val="es-ES"/>
        </w:rPr>
      </w:pPr>
    </w:p>
    <w:p w:rsidR="00EB7A29" w:rsidRDefault="00962F4F" w:rsidP="000F2D69">
      <w:pPr>
        <w:jc w:val="both"/>
        <w:textAlignment w:val="baseline"/>
        <w:rPr>
          <w:rFonts w:eastAsia="Garamond"/>
          <w:color w:val="000000"/>
          <w:sz w:val="24"/>
          <w:szCs w:val="24"/>
          <w:lang w:val="es-ES"/>
        </w:rPr>
      </w:pPr>
      <w:r w:rsidRPr="005B417F">
        <w:rPr>
          <w:rFonts w:eastAsia="Garamond"/>
          <w:color w:val="000000"/>
          <w:sz w:val="24"/>
          <w:szCs w:val="24"/>
          <w:lang w:val="es-ES"/>
        </w:rPr>
        <w:t>En Chile, nuestra regulación no contempla una respuesta adecuada ante mecanismos fraudulentos como "</w:t>
      </w:r>
      <w:proofErr w:type="spellStart"/>
      <w:r w:rsidRPr="005B417F">
        <w:rPr>
          <w:rFonts w:eastAsia="Garamond"/>
          <w:color w:val="000000"/>
          <w:sz w:val="24"/>
          <w:szCs w:val="24"/>
          <w:lang w:val="es-ES"/>
        </w:rPr>
        <w:t>subscription</w:t>
      </w:r>
      <w:proofErr w:type="spellEnd"/>
      <w:r w:rsidRPr="005B417F">
        <w:rPr>
          <w:rFonts w:eastAsia="Garamond"/>
          <w:color w:val="000000"/>
          <w:sz w:val="24"/>
          <w:szCs w:val="24"/>
          <w:lang w:val="es-ES"/>
        </w:rPr>
        <w:t xml:space="preserve"> </w:t>
      </w:r>
      <w:proofErr w:type="spellStart"/>
      <w:r w:rsidRPr="005B417F">
        <w:rPr>
          <w:rFonts w:eastAsia="Garamond"/>
          <w:color w:val="000000"/>
          <w:sz w:val="24"/>
          <w:szCs w:val="24"/>
          <w:lang w:val="es-ES"/>
        </w:rPr>
        <w:t>trap</w:t>
      </w:r>
      <w:proofErr w:type="spellEnd"/>
      <w:r w:rsidRPr="005B417F">
        <w:rPr>
          <w:rFonts w:eastAsia="Garamond"/>
          <w:color w:val="000000"/>
          <w:sz w:val="24"/>
          <w:szCs w:val="24"/>
          <w:lang w:val="es-ES"/>
        </w:rPr>
        <w:t>". Por una parte, la ley N°19.496, sobre protección de los derechos de los consumidores, regula en su artículo 17 el término anticipado de servicios financieros, pero nada dice sobre la posibilidad de poner término a suscripciones cuyos pagos se efectúan con cargo a productos</w:t>
      </w:r>
      <w:r w:rsidR="00623347">
        <w:rPr>
          <w:rFonts w:eastAsia="Garamond"/>
          <w:color w:val="000000"/>
          <w:sz w:val="24"/>
          <w:szCs w:val="24"/>
          <w:lang w:val="es-ES"/>
        </w:rPr>
        <w:t xml:space="preserve"> y</w:t>
      </w:r>
      <w:r w:rsidRPr="005B417F">
        <w:rPr>
          <w:rFonts w:eastAsia="Garamond"/>
          <w:color w:val="000000"/>
          <w:sz w:val="24"/>
          <w:szCs w:val="24"/>
          <w:lang w:val="es-ES"/>
        </w:rPr>
        <w:t xml:space="preserve"> servicios financieros; por otra parte, la ley N°20.009, que establece un régimen de limitación de responsabilidad para titulares o usuarios de tarjetas de pago</w:t>
      </w:r>
      <w:r w:rsidR="00623347">
        <w:rPr>
          <w:rFonts w:eastAsia="Garamond"/>
          <w:color w:val="000000"/>
          <w:sz w:val="24"/>
          <w:szCs w:val="24"/>
          <w:lang w:val="es-ES"/>
        </w:rPr>
        <w:t xml:space="preserve"> y</w:t>
      </w:r>
      <w:r w:rsidRPr="005B417F">
        <w:rPr>
          <w:rFonts w:eastAsia="Garamond"/>
          <w:color w:val="000000"/>
          <w:sz w:val="24"/>
          <w:szCs w:val="24"/>
          <w:lang w:val="es-ES"/>
        </w:rPr>
        <w:t xml:space="preserve"> transacciones electrónicas en caso de extravío, hurto, robo o fraude, dispone de una serie de mecanismos para limitar la responsabilidad de los usuarios o titulares de medios de pago frente a operaciones de fraude, respecto de las cuales el titular desconoce haber otorgado su autorización o consentimiento.</w:t>
      </w:r>
    </w:p>
    <w:p w:rsidR="00623347" w:rsidRDefault="00623347" w:rsidP="00623347">
      <w:pPr>
        <w:jc w:val="both"/>
        <w:textAlignment w:val="baseline"/>
        <w:rPr>
          <w:rFonts w:eastAsia="Garamond"/>
          <w:color w:val="000000"/>
          <w:sz w:val="24"/>
          <w:szCs w:val="24"/>
          <w:lang w:val="es-ES"/>
        </w:rPr>
      </w:pPr>
    </w:p>
    <w:p w:rsidR="00EB7A29" w:rsidRPr="005B417F" w:rsidRDefault="00962F4F" w:rsidP="00623347">
      <w:pPr>
        <w:jc w:val="both"/>
        <w:textAlignment w:val="baseline"/>
        <w:rPr>
          <w:rFonts w:eastAsia="Garamond"/>
          <w:color w:val="000000"/>
          <w:sz w:val="24"/>
          <w:szCs w:val="24"/>
          <w:lang w:val="es-ES"/>
        </w:rPr>
      </w:pPr>
      <w:r w:rsidRPr="005B417F">
        <w:rPr>
          <w:rFonts w:eastAsia="Garamond"/>
          <w:color w:val="000000"/>
          <w:sz w:val="24"/>
          <w:szCs w:val="24"/>
          <w:lang w:val="es-ES"/>
        </w:rPr>
        <w:t>Dicho sistema obliga a los proveedores de medios de pago a disponer de una infraestructura a objeto de que las víctimas de extravío, hurto, robo o fraude puedan notificar tales circunstancias a objeto de limitar su responsabilidad, sin embargo, nada dice respecto a los casos de contrataciones realizadas a través de los sistemas operativos de aparatos móviles o directamente en Internet o por redes sociales.</w:t>
      </w:r>
    </w:p>
    <w:p w:rsidR="00623347" w:rsidRDefault="00623347" w:rsidP="00623347">
      <w:pPr>
        <w:jc w:val="both"/>
        <w:textAlignment w:val="baseline"/>
        <w:rPr>
          <w:rFonts w:eastAsia="Garamond"/>
          <w:color w:val="000000"/>
          <w:sz w:val="24"/>
          <w:szCs w:val="24"/>
          <w:lang w:val="es-ES"/>
        </w:rPr>
      </w:pPr>
    </w:p>
    <w:p w:rsidR="00EB7A29" w:rsidRDefault="00962F4F" w:rsidP="00623347">
      <w:pPr>
        <w:jc w:val="both"/>
        <w:textAlignment w:val="baseline"/>
        <w:rPr>
          <w:rFonts w:eastAsia="Garamond"/>
          <w:color w:val="000000"/>
          <w:sz w:val="24"/>
          <w:szCs w:val="24"/>
          <w:lang w:val="es-ES"/>
        </w:rPr>
      </w:pPr>
      <w:r w:rsidRPr="005B417F">
        <w:rPr>
          <w:rFonts w:eastAsia="Garamond"/>
          <w:color w:val="000000"/>
          <w:sz w:val="24"/>
          <w:szCs w:val="24"/>
          <w:lang w:val="es-ES"/>
        </w:rPr>
        <w:t xml:space="preserve">Pues bien, la presente iniciativa busca dar respuesta a la problemática anterior a través de dos vías. La primera, incorporando </w:t>
      </w:r>
      <w:r w:rsidR="00623347">
        <w:rPr>
          <w:rFonts w:eastAsia="Garamond"/>
          <w:color w:val="000000"/>
          <w:sz w:val="24"/>
          <w:szCs w:val="24"/>
          <w:lang w:val="es-ES"/>
        </w:rPr>
        <w:t>un nuevo inciso al artículo 17 I</w:t>
      </w:r>
      <w:r w:rsidRPr="005B417F">
        <w:rPr>
          <w:rFonts w:eastAsia="Garamond"/>
          <w:color w:val="000000"/>
          <w:sz w:val="24"/>
          <w:szCs w:val="24"/>
          <w:lang w:val="es-ES"/>
        </w:rPr>
        <w:t xml:space="preserve"> de la ley N°19.496, sobre protección de los derechos de los consumidores, que establece el derecho a poner término anticipado a las suscripciones contratadas a través de los sistemas operativos móviles o libremente a través de internet (apps, suscripciones electrónicas, etc.)</w:t>
      </w:r>
      <w:r w:rsidR="00623347">
        <w:rPr>
          <w:rFonts w:eastAsia="Garamond"/>
          <w:color w:val="000000"/>
          <w:sz w:val="24"/>
          <w:szCs w:val="24"/>
          <w:lang w:val="es-ES"/>
        </w:rPr>
        <w:t xml:space="preserve"> y</w:t>
      </w:r>
      <w:r w:rsidRPr="005B417F">
        <w:rPr>
          <w:rFonts w:eastAsia="Garamond"/>
          <w:color w:val="000000"/>
          <w:sz w:val="24"/>
          <w:szCs w:val="24"/>
          <w:lang w:val="es-ES"/>
        </w:rPr>
        <w:t xml:space="preserve"> cuyos pagos se efectúan con cargo a productos o servicios financieros. Para ello, bastará la sola comunicación de su retracto al prestador del servicio financiero del cual el consumidor es titular.</w:t>
      </w:r>
    </w:p>
    <w:p w:rsidR="00623347" w:rsidRPr="005B417F" w:rsidRDefault="00623347" w:rsidP="00623347">
      <w:pPr>
        <w:jc w:val="both"/>
        <w:textAlignment w:val="baseline"/>
        <w:rPr>
          <w:rFonts w:eastAsia="Garamond"/>
          <w:color w:val="000000"/>
          <w:sz w:val="24"/>
          <w:szCs w:val="24"/>
          <w:lang w:val="es-ES"/>
        </w:rPr>
      </w:pPr>
    </w:p>
    <w:p w:rsidR="00EB7A29" w:rsidRDefault="00962F4F" w:rsidP="00623347">
      <w:pPr>
        <w:jc w:val="both"/>
        <w:textAlignment w:val="baseline"/>
        <w:rPr>
          <w:rFonts w:eastAsia="Garamond"/>
          <w:color w:val="000000"/>
          <w:sz w:val="24"/>
          <w:szCs w:val="24"/>
          <w:lang w:val="es-ES"/>
        </w:rPr>
      </w:pPr>
      <w:r w:rsidRPr="005B417F">
        <w:rPr>
          <w:rFonts w:eastAsia="Garamond"/>
          <w:color w:val="000000"/>
          <w:sz w:val="24"/>
          <w:szCs w:val="24"/>
          <w:lang w:val="es-ES"/>
        </w:rPr>
        <w:t xml:space="preserve">Debido a lo anterior, </w:t>
      </w:r>
      <w:r w:rsidR="00623347">
        <w:rPr>
          <w:rFonts w:eastAsia="Garamond"/>
          <w:color w:val="000000"/>
          <w:sz w:val="24"/>
          <w:szCs w:val="24"/>
          <w:lang w:val="es-ES"/>
        </w:rPr>
        <w:t>y</w:t>
      </w:r>
      <w:r w:rsidRPr="005B417F">
        <w:rPr>
          <w:rFonts w:eastAsia="Garamond"/>
          <w:color w:val="000000"/>
          <w:sz w:val="24"/>
          <w:szCs w:val="24"/>
          <w:lang w:val="es-ES"/>
        </w:rPr>
        <w:t xml:space="preserve"> como segunda vía, además de poder ejercer el derecho a retracto, es necesario establecer la responsabilidad de los emisores de medios de pagos, en los términos de la referida ley N°20.009, en aras de permitir al consumidor poner un término efectivo a la contratación respecto de la cual no se desea seguir. De este modo, el consumidor podrá solicitar al proveedor del servicio digital poner final contrato</w:t>
      </w:r>
      <w:r w:rsidR="00623347">
        <w:rPr>
          <w:rFonts w:eastAsia="Garamond"/>
          <w:color w:val="000000"/>
          <w:sz w:val="24"/>
          <w:szCs w:val="24"/>
          <w:lang w:val="es-ES"/>
        </w:rPr>
        <w:t xml:space="preserve"> y</w:t>
      </w:r>
      <w:r w:rsidRPr="005B417F">
        <w:rPr>
          <w:rFonts w:eastAsia="Garamond"/>
          <w:color w:val="000000"/>
          <w:sz w:val="24"/>
          <w:szCs w:val="24"/>
          <w:vertAlign w:val="subscript"/>
          <w:lang w:val="es-ES"/>
        </w:rPr>
        <w:t>,</w:t>
      </w:r>
      <w:r w:rsidRPr="005B417F">
        <w:rPr>
          <w:rFonts w:eastAsia="Garamond"/>
          <w:color w:val="000000"/>
          <w:sz w:val="24"/>
          <w:szCs w:val="24"/>
          <w:lang w:val="es-ES"/>
        </w:rPr>
        <w:t xml:space="preserve"> además, permite dirigirse al emisor del medio de pago a fin de que deje de cursar el pago, siendo responsable frente al incumplimiento de la orden del "usuario".</w:t>
      </w:r>
    </w:p>
    <w:p w:rsidR="00623347" w:rsidRPr="005B417F" w:rsidRDefault="00623347" w:rsidP="00623347">
      <w:pPr>
        <w:jc w:val="both"/>
        <w:textAlignment w:val="baseline"/>
        <w:rPr>
          <w:rFonts w:eastAsia="Garamond"/>
          <w:color w:val="000000"/>
          <w:sz w:val="24"/>
          <w:szCs w:val="24"/>
          <w:lang w:val="es-ES"/>
        </w:rPr>
      </w:pPr>
    </w:p>
    <w:p w:rsidR="00EB7A29" w:rsidRPr="005B417F" w:rsidRDefault="00962F4F" w:rsidP="00623347">
      <w:pPr>
        <w:tabs>
          <w:tab w:val="right" w:pos="8640"/>
        </w:tabs>
        <w:textAlignment w:val="baseline"/>
        <w:rPr>
          <w:rFonts w:eastAsia="Garamond"/>
          <w:color w:val="000000"/>
          <w:sz w:val="24"/>
          <w:szCs w:val="24"/>
          <w:u w:val="single"/>
          <w:lang w:val="es-ES"/>
        </w:rPr>
      </w:pPr>
      <w:r w:rsidRPr="005B417F">
        <w:rPr>
          <w:rFonts w:eastAsia="Garamond"/>
          <w:color w:val="000000"/>
          <w:sz w:val="24"/>
          <w:szCs w:val="24"/>
          <w:lang w:val="es-ES"/>
        </w:rPr>
        <w:tab/>
      </w:r>
    </w:p>
    <w:p w:rsidR="00EB7A29" w:rsidRPr="005B417F" w:rsidRDefault="00EB7A29" w:rsidP="005B417F">
      <w:pPr>
        <w:rPr>
          <w:sz w:val="24"/>
          <w:szCs w:val="24"/>
        </w:rPr>
        <w:sectPr w:rsidR="00EB7A29" w:rsidRPr="005B417F">
          <w:pgSz w:w="12242" w:h="15840"/>
          <w:pgMar w:top="2000" w:right="1822" w:bottom="884" w:left="1760" w:header="720" w:footer="720" w:gutter="0"/>
          <w:cols w:space="720"/>
        </w:sectPr>
      </w:pPr>
    </w:p>
    <w:p w:rsidR="00EB7A29" w:rsidRDefault="00962F4F" w:rsidP="005B417F">
      <w:pPr>
        <w:textAlignment w:val="baseline"/>
        <w:rPr>
          <w:rFonts w:eastAsia="Garamond"/>
          <w:color w:val="000000"/>
          <w:spacing w:val="1"/>
          <w:sz w:val="24"/>
          <w:szCs w:val="24"/>
          <w:lang w:val="es-ES"/>
        </w:rPr>
      </w:pPr>
      <w:r w:rsidRPr="005B417F">
        <w:rPr>
          <w:rFonts w:eastAsia="Garamond"/>
          <w:color w:val="000000"/>
          <w:spacing w:val="1"/>
          <w:sz w:val="24"/>
          <w:szCs w:val="24"/>
          <w:lang w:val="es-ES"/>
        </w:rPr>
        <w:lastRenderedPageBreak/>
        <w:t>En virtud de lo anterior, vengo en proponer el siguiente proyecto de ley:</w:t>
      </w:r>
    </w:p>
    <w:p w:rsidR="00623347" w:rsidRDefault="00623347" w:rsidP="005B417F">
      <w:pPr>
        <w:textAlignment w:val="baseline"/>
        <w:rPr>
          <w:rFonts w:eastAsia="Garamond"/>
          <w:color w:val="000000"/>
          <w:spacing w:val="1"/>
          <w:sz w:val="24"/>
          <w:szCs w:val="24"/>
          <w:lang w:val="es-ES"/>
        </w:rPr>
      </w:pPr>
    </w:p>
    <w:p w:rsidR="00623347" w:rsidRPr="005B417F" w:rsidRDefault="00623347" w:rsidP="005B417F">
      <w:pPr>
        <w:textAlignment w:val="baseline"/>
        <w:rPr>
          <w:rFonts w:eastAsia="Garamond"/>
          <w:color w:val="000000"/>
          <w:spacing w:val="1"/>
          <w:sz w:val="24"/>
          <w:szCs w:val="24"/>
          <w:lang w:val="es-ES"/>
        </w:rPr>
      </w:pPr>
    </w:p>
    <w:p w:rsidR="00EB7A29" w:rsidRDefault="00962F4F" w:rsidP="005B417F">
      <w:pPr>
        <w:textAlignment w:val="baseline"/>
        <w:rPr>
          <w:rFonts w:eastAsia="Garamond"/>
          <w:b/>
          <w:color w:val="000000"/>
          <w:spacing w:val="2"/>
          <w:sz w:val="24"/>
          <w:szCs w:val="24"/>
          <w:lang w:val="es-ES"/>
        </w:rPr>
      </w:pPr>
      <w:r w:rsidRPr="005B417F">
        <w:rPr>
          <w:rFonts w:eastAsia="Garamond"/>
          <w:b/>
          <w:color w:val="000000"/>
          <w:spacing w:val="2"/>
          <w:sz w:val="24"/>
          <w:szCs w:val="24"/>
          <w:lang w:val="es-ES"/>
        </w:rPr>
        <w:t>PROYECTO DE LEY</w:t>
      </w:r>
    </w:p>
    <w:p w:rsidR="00623347" w:rsidRPr="005B417F" w:rsidRDefault="00623347" w:rsidP="005B417F">
      <w:pPr>
        <w:textAlignment w:val="baseline"/>
        <w:rPr>
          <w:rFonts w:eastAsia="Garamond"/>
          <w:b/>
          <w:color w:val="000000"/>
          <w:spacing w:val="2"/>
          <w:sz w:val="24"/>
          <w:szCs w:val="24"/>
          <w:lang w:val="es-ES"/>
        </w:rPr>
      </w:pPr>
    </w:p>
    <w:p w:rsidR="00EB7A29" w:rsidRDefault="00962F4F" w:rsidP="005B417F">
      <w:pPr>
        <w:jc w:val="both"/>
        <w:textAlignment w:val="baseline"/>
        <w:rPr>
          <w:rFonts w:eastAsia="Garamond"/>
          <w:color w:val="000000"/>
          <w:sz w:val="24"/>
          <w:szCs w:val="24"/>
          <w:lang w:val="es-ES"/>
        </w:rPr>
      </w:pPr>
      <w:r w:rsidRPr="005B417F">
        <w:rPr>
          <w:rFonts w:eastAsia="Garamond"/>
          <w:b/>
          <w:color w:val="000000"/>
          <w:sz w:val="24"/>
          <w:szCs w:val="24"/>
          <w:lang w:val="es-ES"/>
        </w:rPr>
        <w:t xml:space="preserve">Artículo 1: </w:t>
      </w:r>
      <w:r w:rsidRPr="005B417F">
        <w:rPr>
          <w:rFonts w:eastAsia="Garamond"/>
          <w:color w:val="000000"/>
          <w:sz w:val="24"/>
          <w:szCs w:val="24"/>
          <w:lang w:val="es-ES"/>
        </w:rPr>
        <w:t>Agrégase el siguiente incis</w:t>
      </w:r>
      <w:r w:rsidR="00623347">
        <w:rPr>
          <w:rFonts w:eastAsia="Garamond"/>
          <w:color w:val="000000"/>
          <w:sz w:val="24"/>
          <w:szCs w:val="24"/>
          <w:lang w:val="es-ES"/>
        </w:rPr>
        <w:t>o tercero nuevo al artículo 17 I</w:t>
      </w:r>
      <w:r w:rsidRPr="005B417F">
        <w:rPr>
          <w:rFonts w:eastAsia="Garamond"/>
          <w:color w:val="000000"/>
          <w:sz w:val="24"/>
          <w:szCs w:val="24"/>
          <w:lang w:val="es-ES"/>
        </w:rPr>
        <w:t xml:space="preserve"> de la ley N</w:t>
      </w:r>
      <w:r w:rsidR="00623347">
        <w:rPr>
          <w:rFonts w:eastAsia="Garamond"/>
          <w:color w:val="000000"/>
          <w:sz w:val="24"/>
          <w:szCs w:val="24"/>
          <w:lang w:val="es-ES"/>
        </w:rPr>
        <w:t>°1</w:t>
      </w:r>
      <w:r w:rsidRPr="005B417F">
        <w:rPr>
          <w:rFonts w:eastAsia="Garamond"/>
          <w:color w:val="000000"/>
          <w:sz w:val="24"/>
          <w:szCs w:val="24"/>
          <w:lang w:val="es-ES"/>
        </w:rPr>
        <w:t>9.496, sobre protección de los derechos de los consumidores, del tenor que sigue:</w:t>
      </w:r>
    </w:p>
    <w:p w:rsidR="00623347" w:rsidRPr="005B417F" w:rsidRDefault="00623347" w:rsidP="005B417F">
      <w:pPr>
        <w:jc w:val="both"/>
        <w:textAlignment w:val="baseline"/>
        <w:rPr>
          <w:rFonts w:eastAsia="Garamond"/>
          <w:b/>
          <w:color w:val="000000"/>
          <w:sz w:val="24"/>
          <w:szCs w:val="24"/>
          <w:lang w:val="es-ES"/>
        </w:rPr>
      </w:pPr>
    </w:p>
    <w:p w:rsidR="00EB7A29" w:rsidRDefault="00962F4F" w:rsidP="005B417F">
      <w:pPr>
        <w:jc w:val="both"/>
        <w:textAlignment w:val="baseline"/>
        <w:rPr>
          <w:rFonts w:eastAsia="Garamond"/>
          <w:color w:val="000000"/>
          <w:sz w:val="24"/>
          <w:szCs w:val="24"/>
          <w:lang w:val="es-ES"/>
        </w:rPr>
      </w:pPr>
      <w:r w:rsidRPr="005B417F">
        <w:rPr>
          <w:rFonts w:eastAsia="Garamond"/>
          <w:color w:val="000000"/>
          <w:sz w:val="24"/>
          <w:szCs w:val="24"/>
          <w:lang w:val="es-ES"/>
        </w:rPr>
        <w:t>"Será aplicable lo dispuesto en los incisos anteriores a las aplicaciones, suscripciones</w:t>
      </w:r>
      <w:r w:rsidR="009277A3">
        <w:rPr>
          <w:rFonts w:eastAsia="Garamond"/>
          <w:color w:val="000000"/>
          <w:sz w:val="24"/>
          <w:szCs w:val="24"/>
          <w:lang w:val="es-ES"/>
        </w:rPr>
        <w:t xml:space="preserve"> y</w:t>
      </w:r>
      <w:r w:rsidRPr="005B417F">
        <w:rPr>
          <w:rFonts w:eastAsia="Garamond"/>
          <w:color w:val="000000"/>
          <w:sz w:val="24"/>
          <w:szCs w:val="24"/>
          <w:lang w:val="es-ES"/>
        </w:rPr>
        <w:t xml:space="preserve"> otros productos o servicios digitales análogos, contratadas a través de sistemas operativos móviles o por cualquier otro medio digital,</w:t>
      </w:r>
      <w:r w:rsidR="009277A3">
        <w:rPr>
          <w:rFonts w:eastAsia="Garamond"/>
          <w:color w:val="000000"/>
          <w:sz w:val="24"/>
          <w:szCs w:val="24"/>
          <w:lang w:val="es-ES"/>
        </w:rPr>
        <w:t xml:space="preserve"> y</w:t>
      </w:r>
      <w:r w:rsidRPr="005B417F">
        <w:rPr>
          <w:rFonts w:eastAsia="Garamond"/>
          <w:color w:val="000000"/>
          <w:sz w:val="24"/>
          <w:szCs w:val="24"/>
          <w:lang w:val="es-ES"/>
        </w:rPr>
        <w:t xml:space="preserve"> cuyos pagos se efectúan con cargo a medios de pago en los términos de la ley N°20.009".</w:t>
      </w:r>
    </w:p>
    <w:p w:rsidR="009277A3" w:rsidRPr="005B417F" w:rsidRDefault="009277A3" w:rsidP="005B417F">
      <w:pPr>
        <w:jc w:val="both"/>
        <w:textAlignment w:val="baseline"/>
        <w:rPr>
          <w:rFonts w:eastAsia="Garamond"/>
          <w:color w:val="000000"/>
          <w:sz w:val="24"/>
          <w:szCs w:val="24"/>
          <w:lang w:val="es-ES"/>
        </w:rPr>
      </w:pPr>
    </w:p>
    <w:p w:rsidR="00EB7A29" w:rsidRDefault="00962F4F" w:rsidP="005B417F">
      <w:pPr>
        <w:jc w:val="both"/>
        <w:textAlignment w:val="baseline"/>
        <w:rPr>
          <w:rFonts w:eastAsia="Garamond"/>
          <w:color w:val="000000"/>
          <w:sz w:val="24"/>
          <w:szCs w:val="24"/>
          <w:lang w:val="es-ES"/>
        </w:rPr>
      </w:pPr>
      <w:r w:rsidRPr="005B417F">
        <w:rPr>
          <w:rFonts w:eastAsia="Garamond"/>
          <w:color w:val="000000"/>
          <w:sz w:val="24"/>
          <w:szCs w:val="24"/>
          <w:lang w:val="es-ES"/>
        </w:rPr>
        <w:t>Artículo 2: Agrégase el siguiente inciso final nuevo al artículo 3 de la ley N°20.009 que establece un régimen de limitación de responsabilidad para titulares o usuarios de tarjetas de pago y transacciones electrónicas en caso de extravío, hurto, robo o fraude, del tenor que sigue:</w:t>
      </w:r>
    </w:p>
    <w:p w:rsidR="009277A3" w:rsidRPr="005B417F" w:rsidRDefault="009277A3" w:rsidP="005B417F">
      <w:pPr>
        <w:jc w:val="both"/>
        <w:textAlignment w:val="baseline"/>
        <w:rPr>
          <w:rFonts w:eastAsia="Garamond"/>
          <w:color w:val="000000"/>
          <w:sz w:val="24"/>
          <w:szCs w:val="24"/>
          <w:lang w:val="es-ES"/>
        </w:rPr>
      </w:pPr>
    </w:p>
    <w:p w:rsidR="00EB7A29" w:rsidRPr="005B417F" w:rsidRDefault="00962F4F" w:rsidP="005B417F">
      <w:pPr>
        <w:jc w:val="both"/>
        <w:textAlignment w:val="baseline"/>
        <w:rPr>
          <w:rFonts w:eastAsia="Garamond"/>
          <w:color w:val="000000"/>
          <w:spacing w:val="-1"/>
          <w:sz w:val="24"/>
          <w:szCs w:val="24"/>
          <w:lang w:val="es-ES"/>
        </w:rPr>
      </w:pPr>
      <w:r w:rsidRPr="005B417F">
        <w:rPr>
          <w:rFonts w:eastAsia="Garamond"/>
          <w:color w:val="000000"/>
          <w:spacing w:val="-1"/>
          <w:sz w:val="24"/>
          <w:szCs w:val="24"/>
          <w:lang w:val="es-ES"/>
        </w:rPr>
        <w:t>"Asimismo, el emisor será responsable cuando no diere cumplimiento a la orden de cese de pago solicitada por el respectivo titular en ejercicio de su derecho de retracto."</w:t>
      </w:r>
    </w:p>
    <w:sectPr w:rsidR="00EB7A29" w:rsidRPr="005B417F">
      <w:pgSz w:w="12242" w:h="15840"/>
      <w:pgMar w:top="2040" w:right="1889" w:bottom="4464" w:left="169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79D" w:rsidRDefault="00A9279D" w:rsidP="00F65C71">
      <w:r>
        <w:separator/>
      </w:r>
    </w:p>
  </w:endnote>
  <w:endnote w:type="continuationSeparator" w:id="0">
    <w:p w:rsidR="00A9279D" w:rsidRDefault="00A9279D" w:rsidP="00F65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aramond">
    <w:charset w:val="00"/>
    <w:pitch w:val="variable"/>
    <w:family w:val="roman"/>
    <w:panose1 w:val="02020603050405020304"/>
  </w:font>
  <w:font w:name="Verdana">
    <w:charset w:val="00"/>
    <w:pitch w:val="variable"/>
    <w:family w:val="swiss"/>
    <w:panose1 w:val="02020603050405020304"/>
  </w:font>
  <w:font w:name="Symbol">
    <w:pitch w:val="default"/>
    <w:family w:val="auto"/>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79D" w:rsidRDefault="00A9279D" w:rsidP="00F65C71">
      <w:r>
        <w:separator/>
      </w:r>
    </w:p>
  </w:footnote>
  <w:footnote w:type="continuationSeparator" w:id="0">
    <w:p w:rsidR="00A9279D" w:rsidRDefault="00A9279D" w:rsidP="00F65C71">
      <w:r>
        <w:continuationSeparator/>
      </w:r>
    </w:p>
  </w:footnote>
  <w:footnote w:id="1">
    <w:p w:rsidR="00F65C71" w:rsidRPr="00FF1532" w:rsidRDefault="00F65C71" w:rsidP="005B417F">
      <w:pPr>
        <w:pStyle w:val="Textonotapie"/>
        <w:rPr>
          <w:sz w:val="18"/>
          <w:lang w:val="es-CL"/>
        </w:rPr>
      </w:pPr>
      <w:r w:rsidRPr="00FF1532">
        <w:rPr>
          <w:rStyle w:val="Refdenotaalpie"/>
          <w:sz w:val="18"/>
        </w:rPr>
        <w:footnoteRef/>
      </w:r>
      <w:r w:rsidRPr="00FF1532">
        <w:rPr>
          <w:sz w:val="18"/>
        </w:rPr>
        <w:t xml:space="preserve"> </w:t>
      </w:r>
      <w:r w:rsidR="00FF1532" w:rsidRPr="00FF1532">
        <w:rPr>
          <w:rFonts w:eastAsia="Garamond"/>
          <w:color w:val="000000"/>
          <w:sz w:val="22"/>
          <w:szCs w:val="24"/>
          <w:lang w:val="es-ES"/>
        </w:rPr>
        <w:t>Información disponible en:</w:t>
      </w:r>
      <w:r w:rsidR="00FF1532">
        <w:rPr>
          <w:rFonts w:eastAsia="Garamond"/>
          <w:color w:val="000000"/>
          <w:sz w:val="22"/>
          <w:szCs w:val="24"/>
          <w:lang w:val="es-ES"/>
        </w:rPr>
        <w:t xml:space="preserve"> https://ine.cl/prensa/2020/05/16/conexiones-a-internet-en-hogares-del-pa%C3%ADs-aumentaron-en-m%C3%A1s-de-670.000-en-los-%C3%BAltimos-cinco-a%C3%B1os</w:t>
      </w:r>
    </w:p>
  </w:footnote>
  <w:footnote w:id="2">
    <w:p w:rsidR="001C4DD2" w:rsidRPr="00FF1532" w:rsidRDefault="001C4DD2" w:rsidP="005B417F">
      <w:pPr>
        <w:jc w:val="both"/>
        <w:textAlignment w:val="baseline"/>
        <w:rPr>
          <w:sz w:val="20"/>
          <w:lang w:val="es-CL"/>
        </w:rPr>
      </w:pPr>
      <w:r w:rsidRPr="00FF1532">
        <w:rPr>
          <w:rStyle w:val="Refdenotaalpie"/>
          <w:sz w:val="20"/>
        </w:rPr>
        <w:footnoteRef/>
      </w:r>
      <w:r w:rsidRPr="00FF1532">
        <w:rPr>
          <w:sz w:val="20"/>
        </w:rPr>
        <w:t xml:space="preserve"> </w:t>
      </w:r>
      <w:r w:rsidR="00FF1532" w:rsidRPr="00FF1532">
        <w:rPr>
          <w:rFonts w:eastAsia="Garamond"/>
          <w:color w:val="000000"/>
          <w:szCs w:val="24"/>
          <w:lang w:val="es-ES"/>
        </w:rPr>
        <w:t>Para 2016, la cantidad de dientes aumentó a 2.767.593 usuarios. De ese total, 2.477.997 correspondieron a clientes de residencias particulares y 289.596, a empresas, lo que implicó una baja en el número de usuarios corporativos. Por su parte, en 2017 se había constatado una nueva alza, contabilizándose 2.953.591 de conexiones en total, de las cuales 2.672.991 fueron hogares y 280.600 fueron empresas, las que mostraron nuevamente un descenso. En 2018, hubo un nuevo salto en el número total de usuarios, pasando la barrera de los tres millones, al ascender a 3.095.266. De ellos, 2.792.485 correspondieron a hogares y 302.781 fueron empresas. En 2019, en tanto, el servicio de internet con conexión dedicada alcanzó 3 235.045 dientes, de los cuales 2.895.323 fueron hogares y 339.722 empresas.</w:t>
      </w:r>
    </w:p>
  </w:footnote>
  <w:footnote w:id="3">
    <w:p w:rsidR="00FF1532" w:rsidRPr="00FF1532" w:rsidRDefault="00FF1532" w:rsidP="005B417F">
      <w:pPr>
        <w:jc w:val="both"/>
        <w:textAlignment w:val="baseline"/>
        <w:rPr>
          <w:rFonts w:eastAsia="Garamond"/>
          <w:color w:val="000000"/>
          <w:szCs w:val="24"/>
          <w:lang w:val="es-ES"/>
        </w:rPr>
      </w:pPr>
      <w:r w:rsidRPr="00FF1532">
        <w:rPr>
          <w:rStyle w:val="Refdenotaalpie"/>
          <w:sz w:val="20"/>
        </w:rPr>
        <w:footnoteRef/>
      </w:r>
      <w:r w:rsidRPr="00FF1532">
        <w:rPr>
          <w:sz w:val="20"/>
        </w:rPr>
        <w:t xml:space="preserve"> </w:t>
      </w:r>
      <w:r w:rsidRPr="00FF1532">
        <w:rPr>
          <w:rFonts w:eastAsia="Garamond"/>
          <w:color w:val="000000"/>
          <w:szCs w:val="24"/>
          <w:lang w:val="es-ES"/>
        </w:rPr>
        <w:t>IX Encuesta de Acceso y Usos de Internet. Informe Final. Subsecretaría de Telecomunicaciones. Diciembre 2017.</w:t>
      </w:r>
    </w:p>
    <w:p w:rsidR="00FF1532" w:rsidRPr="00FF1532" w:rsidRDefault="00FF1532" w:rsidP="005B417F">
      <w:pPr>
        <w:pStyle w:val="Textonotapie"/>
        <w:rPr>
          <w:lang w:val="es-CL"/>
        </w:rPr>
      </w:pPr>
    </w:p>
  </w:footnote>
  <w:footnote w:id="4">
    <w:p w:rsidR="000D7EC2" w:rsidRPr="000D7EC2" w:rsidRDefault="000D7EC2" w:rsidP="000D7EC2">
      <w:pPr>
        <w:spacing w:before="2" w:line="202" w:lineRule="exact"/>
        <w:ind w:firstLine="216"/>
        <w:jc w:val="both"/>
        <w:textAlignment w:val="baseline"/>
        <w:rPr>
          <w:rFonts w:eastAsia="Garamond"/>
          <w:color w:val="000000"/>
          <w:sz w:val="20"/>
          <w:szCs w:val="20"/>
          <w:lang w:val="es-ES"/>
        </w:rPr>
      </w:pPr>
      <w:r w:rsidRPr="000D7EC2">
        <w:rPr>
          <w:rStyle w:val="Refdenotaalpie"/>
          <w:sz w:val="20"/>
          <w:szCs w:val="20"/>
        </w:rPr>
        <w:footnoteRef/>
      </w:r>
      <w:r w:rsidRPr="000D7EC2">
        <w:rPr>
          <w:sz w:val="20"/>
          <w:szCs w:val="20"/>
        </w:rPr>
        <w:t xml:space="preserve"> </w:t>
      </w:r>
      <w:r w:rsidRPr="000D7EC2">
        <w:rPr>
          <w:rFonts w:eastAsia="Garamond"/>
          <w:color w:val="000000"/>
          <w:sz w:val="20"/>
          <w:szCs w:val="20"/>
          <w:lang w:val="es-ES"/>
        </w:rPr>
        <w:t xml:space="preserve">Información e </w:t>
      </w:r>
      <w:r w:rsidRPr="000D7EC2">
        <w:rPr>
          <w:rFonts w:eastAsia="Garamond"/>
          <w:sz w:val="20"/>
          <w:szCs w:val="20"/>
          <w:lang w:val="es-ES"/>
        </w:rPr>
        <w:t>informe disponible en: https://</w:t>
      </w:r>
      <w:hyperlink r:id="rId1" w:history="1">
        <w:r w:rsidRPr="000D7EC2">
          <w:rPr>
            <w:rStyle w:val="Hipervnculo"/>
            <w:rFonts w:eastAsia="Garamond"/>
            <w:color w:val="auto"/>
            <w:sz w:val="20"/>
            <w:szCs w:val="20"/>
            <w:u w:val="none"/>
            <w:lang w:val="es-ES"/>
          </w:rPr>
          <w:t>www.comscore.com/lat/Prensa-y-Eventos/Presentaciones-y-libros-blancos/201</w:t>
        </w:r>
      </w:hyperlink>
      <w:r w:rsidRPr="000D7EC2">
        <w:rPr>
          <w:rFonts w:eastAsia="Garamond"/>
          <w:sz w:val="20"/>
          <w:szCs w:val="20"/>
          <w:lang w:val="es-ES"/>
        </w:rPr>
        <w:t>8/Futuro-Digital-Global-2018</w:t>
      </w:r>
      <w:r w:rsidRPr="000D7EC2">
        <w:rPr>
          <w:rFonts w:eastAsia="Garamond"/>
          <w:sz w:val="20"/>
          <w:szCs w:val="20"/>
          <w:u w:val="single"/>
          <w:lang w:val="es-ES"/>
        </w:rPr>
        <w:t xml:space="preserve"> </w:t>
      </w:r>
    </w:p>
    <w:p w:rsidR="000D7EC2" w:rsidRPr="000D7EC2" w:rsidRDefault="000D7EC2">
      <w:pPr>
        <w:pStyle w:val="Textonotapie"/>
        <w:rPr>
          <w:lang w:val="es-CL"/>
        </w:rPr>
      </w:pPr>
    </w:p>
  </w:footnote>
  <w:footnote w:id="5">
    <w:p w:rsidR="000B12D4" w:rsidRPr="000B12D4" w:rsidRDefault="000B12D4">
      <w:pPr>
        <w:pStyle w:val="Textonotapie"/>
        <w:rPr>
          <w:lang w:val="es-CL"/>
        </w:rPr>
      </w:pPr>
      <w:r>
        <w:rPr>
          <w:rStyle w:val="Refdenotaalpie"/>
        </w:rPr>
        <w:footnoteRef/>
      </w:r>
      <w:r>
        <w:t xml:space="preserve"> </w:t>
      </w:r>
      <w:r w:rsidR="00A2727C" w:rsidRPr="00A2727C">
        <w:rPr>
          <w:rFonts w:eastAsia="Garamond"/>
          <w:lang w:val="es-ES"/>
        </w:rPr>
        <w:t xml:space="preserve">Comisión para la Competencia y el Consumo de Singapur. Disponible en: </w:t>
      </w:r>
      <w:hyperlink r:id="rId2">
        <w:r w:rsidR="00A2727C" w:rsidRPr="00A2727C">
          <w:rPr>
            <w:rFonts w:eastAsia="Garamond"/>
            <w:lang w:val="es-ES"/>
          </w:rPr>
          <w:t>https://www.cccs.gov.sg/-</w:t>
        </w:r>
      </w:hyperlink>
      <w:r w:rsidR="00A2727C">
        <w:rPr>
          <w:rFonts w:eastAsia="Garamond"/>
          <w:lang w:val="es-ES"/>
        </w:rPr>
        <w:t>/</w:t>
      </w:r>
      <w:r w:rsidR="00A2727C" w:rsidRPr="00A2727C">
        <w:rPr>
          <w:rFonts w:eastAsia="Garamond"/>
          <w:lang w:val="es-ES"/>
        </w:rPr>
        <w:t>media /custo</w:t>
      </w:r>
      <w:r w:rsidR="00A2727C">
        <w:rPr>
          <w:rFonts w:eastAsia="Garamond"/>
          <w:lang w:val="es-ES"/>
        </w:rPr>
        <w:t>m</w:t>
      </w:r>
      <w:r w:rsidR="00A2727C" w:rsidRPr="00A2727C">
        <w:rPr>
          <w:rFonts w:eastAsia="Garamond"/>
          <w:lang w:val="es-ES"/>
        </w:rPr>
        <w:t>/ccs</w:t>
      </w:r>
      <w:r w:rsidR="00A2727C">
        <w:rPr>
          <w:rFonts w:eastAsia="Garamond"/>
          <w:lang w:val="es-ES"/>
        </w:rPr>
        <w:t>/</w:t>
      </w:r>
      <w:r w:rsidR="00A2727C" w:rsidRPr="00A2727C">
        <w:rPr>
          <w:rFonts w:eastAsia="Garamond"/>
          <w:lang w:val="es-ES"/>
        </w:rPr>
        <w:t>files</w:t>
      </w:r>
      <w:r w:rsidR="00A2727C">
        <w:rPr>
          <w:rFonts w:eastAsia="Garamond"/>
          <w:lang w:val="es-ES"/>
        </w:rPr>
        <w:t>/</w:t>
      </w:r>
      <w:r w:rsidR="00A2727C" w:rsidRPr="00A2727C">
        <w:rPr>
          <w:rFonts w:eastAsia="Garamond"/>
          <w:lang w:val="es-ES"/>
        </w:rPr>
        <w:t>media-and-publications/media-releases/fashion-interactive-court-order/annex-d</w:t>
      </w:r>
      <w:r w:rsidR="00A2727C">
        <w:rPr>
          <w:rFonts w:eastAsia="Garamond"/>
          <w:lang w:val="es-ES"/>
        </w:rPr>
        <w:t>_</w:t>
      </w:r>
      <w:r w:rsidR="00A2727C" w:rsidRPr="00A2727C">
        <w:rPr>
          <w:rFonts w:eastAsia="Garamond"/>
          <w:lang w:val="es-ES"/>
        </w:rPr>
        <w:t>infographics</w:t>
      </w:r>
      <w:r w:rsidR="00A2727C">
        <w:rPr>
          <w:rFonts w:eastAsia="Garamond"/>
          <w:lang w:val="es-ES"/>
        </w:rPr>
        <w:t>_subscription-trap.pdf?la=en&amp;hash=BEB52F6A4D3E0CF9386EC13E350CCAFF9F3F3C8A (Septiembre, 2020).</w:t>
      </w:r>
    </w:p>
  </w:footnote>
  <w:footnote w:id="6">
    <w:p w:rsidR="00623347" w:rsidRPr="00623347" w:rsidRDefault="000F2D69" w:rsidP="00623347">
      <w:pPr>
        <w:tabs>
          <w:tab w:val="right" w:pos="8640"/>
        </w:tabs>
        <w:textAlignment w:val="baseline"/>
        <w:rPr>
          <w:rFonts w:eastAsia="Garamond"/>
          <w:sz w:val="24"/>
          <w:szCs w:val="24"/>
          <w:lang w:val="es-ES"/>
        </w:rPr>
      </w:pPr>
      <w:r w:rsidRPr="00623347">
        <w:rPr>
          <w:rStyle w:val="Refdenotaalpie"/>
        </w:rPr>
        <w:footnoteRef/>
      </w:r>
      <w:r w:rsidRPr="00623347">
        <w:t xml:space="preserve"> </w:t>
      </w:r>
      <w:r w:rsidR="00623347" w:rsidRPr="00623347">
        <w:rPr>
          <w:rFonts w:eastAsia="Garamond"/>
          <w:sz w:val="24"/>
          <w:szCs w:val="24"/>
          <w:lang w:val="es-ES"/>
        </w:rPr>
        <w:t>Disponible en: https://</w:t>
      </w:r>
      <w:hyperlink r:id="rId3" w:history="1">
        <w:r w:rsidR="00623347" w:rsidRPr="00623347">
          <w:rPr>
            <w:rStyle w:val="Hipervnculo"/>
            <w:rFonts w:eastAsia="Garamond"/>
            <w:color w:val="auto"/>
            <w:sz w:val="24"/>
            <w:szCs w:val="24"/>
            <w:u w:val="none"/>
            <w:lang w:val="es-ES"/>
          </w:rPr>
          <w:t>www.faegredrinker.com/en/insights/publications/201</w:t>
        </w:r>
      </w:hyperlink>
      <w:r w:rsidR="00623347" w:rsidRPr="00623347">
        <w:rPr>
          <w:rFonts w:eastAsia="Garamond"/>
          <w:sz w:val="24"/>
          <w:szCs w:val="24"/>
          <w:lang w:val="es-ES"/>
        </w:rPr>
        <w:t>8/7/automatic-renewals-of-</w:t>
      </w:r>
    </w:p>
    <w:p w:rsidR="00623347" w:rsidRPr="00623347" w:rsidRDefault="00623347" w:rsidP="00623347">
      <w:pPr>
        <w:textAlignment w:val="baseline"/>
        <w:rPr>
          <w:rFonts w:eastAsia="Garamond"/>
          <w:sz w:val="24"/>
          <w:szCs w:val="24"/>
          <w:lang w:val="es-ES"/>
        </w:rPr>
      </w:pPr>
      <w:r w:rsidRPr="00623347">
        <w:rPr>
          <w:rFonts w:eastAsia="Garamond"/>
          <w:sz w:val="24"/>
          <w:szCs w:val="24"/>
          <w:lang w:val="es-ES"/>
        </w:rPr>
        <w:t>consumer-contracts-everything-you-ever-wanred</w:t>
      </w:r>
      <w:r>
        <w:rPr>
          <w:rFonts w:eastAsia="Garamond"/>
          <w:sz w:val="24"/>
          <w:szCs w:val="24"/>
          <w:lang w:val="es-ES"/>
        </w:rPr>
        <w:t>-</w:t>
      </w:r>
      <w:r w:rsidRPr="00623347">
        <w:rPr>
          <w:rFonts w:eastAsia="Garamond"/>
          <w:sz w:val="24"/>
          <w:szCs w:val="24"/>
          <w:lang w:val="es-ES"/>
        </w:rPr>
        <w:t>to-know-but-were-afraid-to-as</w:t>
      </w:r>
      <w:r>
        <w:rPr>
          <w:rFonts w:eastAsia="Garamond"/>
          <w:sz w:val="24"/>
          <w:szCs w:val="24"/>
          <w:lang w:val="es-ES"/>
        </w:rPr>
        <w:t>k</w:t>
      </w:r>
      <w:r w:rsidRPr="00623347">
        <w:rPr>
          <w:rFonts w:eastAsia="Garamond"/>
          <w:sz w:val="24"/>
          <w:szCs w:val="24"/>
          <w:lang w:val="es-ES"/>
        </w:rPr>
        <w:t xml:space="preserve"> (Septiembre, 2020). También en: https://</w:t>
      </w:r>
      <w:hyperlink r:id="rId4">
        <w:r w:rsidRPr="00623347">
          <w:rPr>
            <w:rFonts w:eastAsia="Garamond"/>
            <w:sz w:val="24"/>
            <w:szCs w:val="24"/>
            <w:lang w:val="es-ES"/>
          </w:rPr>
          <w:t>news.bloomberglaw.com/product-liability-and-toxics-law/recent-developments-in-californias-automatic-renewal-law</w:t>
        </w:r>
      </w:hyperlink>
      <w:r w:rsidRPr="00623347">
        <w:rPr>
          <w:rFonts w:eastAsia="Garamond"/>
          <w:sz w:val="24"/>
          <w:szCs w:val="24"/>
          <w:lang w:val="es-ES"/>
        </w:rPr>
        <w:t xml:space="preserve"> (Septiembre, 2020).</w:t>
      </w:r>
    </w:p>
    <w:p w:rsidR="000F2D69" w:rsidRPr="000F2D69" w:rsidRDefault="000F2D69">
      <w:pPr>
        <w:pStyle w:val="Textonotapie"/>
        <w:rPr>
          <w:lang w:val="es-CL"/>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4276C"/>
    <w:multiLevelType w:val="multilevel"/>
    <w:tmpl w:val="4894D3DE"/>
    <w:lvl w:ilvl="0">
      <w:start w:val="1"/>
      <w:numFmt w:val="bullet"/>
      <w:lvlText w:val="·"/>
      <w:lvlJc w:val="left"/>
      <w:pPr>
        <w:tabs>
          <w:tab w:val="left" w:pos="360"/>
        </w:tabs>
        <w:ind w:left="720"/>
      </w:pPr>
      <w:rPr>
        <w:rFonts w:ascii="Symbol" w:eastAsia="Symbol" w:hAnsi="Symbol"/>
        <w:strike w:val="0"/>
        <w:color w:val="000000"/>
        <w:spacing w:val="0"/>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6DB3E93"/>
    <w:multiLevelType w:val="hybridMultilevel"/>
    <w:tmpl w:val="82B03B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29"/>
    <w:rsid w:val="000B12D4"/>
    <w:rsid w:val="000D7EC2"/>
    <w:rsid w:val="000F2D69"/>
    <w:rsid w:val="001C4DD2"/>
    <w:rsid w:val="004E717C"/>
    <w:rsid w:val="005439D6"/>
    <w:rsid w:val="005B417F"/>
    <w:rsid w:val="00623347"/>
    <w:rsid w:val="008154D2"/>
    <w:rsid w:val="0089465A"/>
    <w:rsid w:val="009277A3"/>
    <w:rsid w:val="00962F4F"/>
    <w:rsid w:val="00A2727C"/>
    <w:rsid w:val="00A9279D"/>
    <w:rsid w:val="00AC1221"/>
    <w:rsid w:val="00B15F4D"/>
    <w:rsid w:val="00EB7A29"/>
    <w:rsid w:val="00F65C71"/>
    <w:rsid w:val="00FF15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0E2F62-FA3C-4B8D-A5D9-BE424DF4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65C71"/>
    <w:rPr>
      <w:sz w:val="20"/>
      <w:szCs w:val="20"/>
    </w:rPr>
  </w:style>
  <w:style w:type="character" w:customStyle="1" w:styleId="TextonotapieCar">
    <w:name w:val="Texto nota pie Car"/>
    <w:basedOn w:val="Fuentedeprrafopredeter"/>
    <w:link w:val="Textonotapie"/>
    <w:uiPriority w:val="99"/>
    <w:semiHidden/>
    <w:rsid w:val="00F65C71"/>
    <w:rPr>
      <w:sz w:val="20"/>
      <w:szCs w:val="20"/>
    </w:rPr>
  </w:style>
  <w:style w:type="character" w:styleId="Refdenotaalpie">
    <w:name w:val="footnote reference"/>
    <w:basedOn w:val="Fuentedeprrafopredeter"/>
    <w:uiPriority w:val="99"/>
    <w:semiHidden/>
    <w:unhideWhenUsed/>
    <w:rsid w:val="00F65C71"/>
    <w:rPr>
      <w:vertAlign w:val="superscript"/>
    </w:rPr>
  </w:style>
  <w:style w:type="character" w:styleId="Hipervnculo">
    <w:name w:val="Hyperlink"/>
    <w:basedOn w:val="Fuentedeprrafopredeter"/>
    <w:uiPriority w:val="99"/>
    <w:unhideWhenUsed/>
    <w:rsid w:val="000D7EC2"/>
    <w:rPr>
      <w:color w:val="0000FF" w:themeColor="hyperlink"/>
      <w:u w:val="single"/>
    </w:rPr>
  </w:style>
  <w:style w:type="paragraph" w:styleId="Prrafodelista">
    <w:name w:val="List Paragraph"/>
    <w:basedOn w:val="Normal"/>
    <w:uiPriority w:val="34"/>
    <w:qFormat/>
    <w:rsid w:val="000B12D4"/>
    <w:pPr>
      <w:ind w:left="720"/>
      <w:contextualSpacing/>
    </w:pPr>
  </w:style>
  <w:style w:type="character" w:customStyle="1" w:styleId="text">
    <w:name w:val="text"/>
    <w:basedOn w:val="Fuentedeprrafopredeter"/>
    <w:rsid w:val="00927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faegredrinker.com/en/insights/publications/201" TargetMode="External"/><Relationship Id="rId2" Type="http://schemas.openxmlformats.org/officeDocument/2006/relationships/hyperlink" Target="https://www.cccs.gov.sg/-" TargetMode="External"/><Relationship Id="rId1" Type="http://schemas.openxmlformats.org/officeDocument/2006/relationships/hyperlink" Target="http://www.comscore.com/lat/Prensa-y-Eventos/Presentaciones-y-libros-blancos/201" TargetMode="External"/><Relationship Id="rId4" Type="http://schemas.openxmlformats.org/officeDocument/2006/relationships/hyperlink" Target="http://news.bloomberglaw.com/product-liability-and-toxics-law/recent-developments-in-californias-automatic-renewal-la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DFF54-F593-4FBB-8B72-2A63E7962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1839</Words>
  <Characters>10117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OFSECRETARIA</dc:creator>
  <cp:lastModifiedBy>Marcela</cp:lastModifiedBy>
  <cp:revision>2</cp:revision>
  <dcterms:created xsi:type="dcterms:W3CDTF">2020-12-02T19:39:00Z</dcterms:created>
  <dcterms:modified xsi:type="dcterms:W3CDTF">2020-12-02T19:39:00Z</dcterms:modified>
</cp:coreProperties>
</file>