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DB" w:rsidRDefault="003871DB" w:rsidP="0095067F">
      <w:pPr>
        <w:spacing w:line="360" w:lineRule="auto"/>
        <w:jc w:val="both"/>
        <w:rPr>
          <w:rFonts w:ascii="Bookman Old Style" w:hAnsi="Bookman Old Style"/>
          <w:b/>
        </w:rPr>
      </w:pPr>
      <w:r w:rsidRPr="003871DB">
        <w:rPr>
          <w:rFonts w:ascii="Bookman Old Style" w:hAnsi="Bookman Old Style"/>
          <w:b/>
        </w:rPr>
        <w:t>PROYEC</w:t>
      </w:r>
      <w:r w:rsidR="005D1A3B">
        <w:rPr>
          <w:rFonts w:ascii="Bookman Old Style" w:hAnsi="Bookman Old Style"/>
          <w:b/>
        </w:rPr>
        <w:t xml:space="preserve">TO DE LEY QUE ESTABLECE ESCAÑOS </w:t>
      </w:r>
      <w:r w:rsidRPr="003871DB">
        <w:rPr>
          <w:rFonts w:ascii="Bookman Old Style" w:hAnsi="Bookman Old Style"/>
          <w:b/>
        </w:rPr>
        <w:t>PROPORC</w:t>
      </w:r>
      <w:r w:rsidR="005D1A3B">
        <w:rPr>
          <w:rFonts w:ascii="Bookman Old Style" w:hAnsi="Bookman Old Style"/>
          <w:b/>
        </w:rPr>
        <w:t>IONALES PARA PUEBLOS INDÍGENAS.</w:t>
      </w:r>
      <w:r w:rsidRPr="003871DB">
        <w:rPr>
          <w:rFonts w:ascii="Bookman Old Style" w:hAnsi="Bookman Old Style"/>
          <w:b/>
        </w:rPr>
        <w:t xml:space="preserve"> </w:t>
      </w:r>
    </w:p>
    <w:p w:rsidR="003871DB" w:rsidRDefault="003871DB" w:rsidP="0095067F">
      <w:pPr>
        <w:spacing w:line="360" w:lineRule="auto"/>
        <w:jc w:val="both"/>
        <w:rPr>
          <w:rFonts w:ascii="Bookman Old Style" w:hAnsi="Bookman Old Style"/>
          <w:b/>
        </w:rPr>
      </w:pPr>
    </w:p>
    <w:p w:rsidR="0095067F" w:rsidRDefault="0095067F" w:rsidP="0095067F">
      <w:pPr>
        <w:spacing w:line="360" w:lineRule="auto"/>
        <w:jc w:val="both"/>
        <w:rPr>
          <w:rFonts w:ascii="Bookman Old Style" w:hAnsi="Bookman Old Style"/>
          <w:b/>
        </w:rPr>
      </w:pPr>
      <w:r>
        <w:rPr>
          <w:rFonts w:ascii="Bookman Old Style" w:hAnsi="Bookman Old Style"/>
          <w:b/>
        </w:rPr>
        <w:t>1.- Antecedentes:</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 xml:space="preserve">Un sistema democrático, es más o menos exitoso, en la medida en la que es capaz de representar apropiadamente los intereses de la población e igualmente, reflejar la diversidad propia de sus ciudadanos. Cuando esto no está debidamente garantizado, la estabilidad del sistema está en riesgo. Una parte importante de la crisis que estalló en Chile el 18 de octubre de 2019, tiene que ver con las dificultades que ha tenido la democracia chilena para garantizar una mejor representatividad de su población. </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 xml:space="preserve">En este sentido, un caso específico guarda relación con la manera en la que nuestro actual sistema político logra que la diversidad étnica existente en nuestro país se traduzca en mecanismos de participación y representación política para los pueblos indígenas. La experiencia, tanto nacional como internacional, ha sido enfática en mostrar que no resolver de manera inclusiva y oportuna esta injusticia dentro de un marco institucional, agudiza conflictos étnicos en detrimento de la paz e integración social. </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 xml:space="preserve">En la esfera internacional, se ha buscado institucionalizar la participación de los pueblos indígenas a través de varios métodos, que dependen en su estructura de los distintos niveles de organización de los </w:t>
      </w:r>
      <w:r w:rsidRPr="003871DB">
        <w:rPr>
          <w:rFonts w:ascii="Bookman Old Style" w:eastAsia="Times New Roman" w:hAnsi="Bookman Old Style"/>
        </w:rPr>
        <w:lastRenderedPageBreak/>
        <w:t>Estados, desde unidades administrativas locales a las nacionales, como también de los organismos o poderes del Estado en los que estas entidades representativas indígenas se encuentran inmersos o con los que se relacionan</w:t>
      </w:r>
      <w:r w:rsidRPr="003871DB">
        <w:rPr>
          <w:rFonts w:ascii="Bookman Old Style" w:eastAsia="Times New Roman" w:hAnsi="Bookman Old Style"/>
          <w:vertAlign w:val="superscript"/>
        </w:rPr>
        <w:footnoteReference w:id="1"/>
      </w:r>
      <w:r w:rsidRPr="003871DB">
        <w:rPr>
          <w:rFonts w:ascii="Bookman Old Style" w:eastAsia="Times New Roman" w:hAnsi="Bookman Old Style"/>
        </w:rPr>
        <w:t>.</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Este tipo de medidas, que se enmarcan en el conjunto más amplio de las acciones afirmativas, tienen como objetivo, no solo disminuir la subrrepresentación histórica de determinados pueblos indígenas, sino que también configurar el poder en la sociedad de modo que no haya grupos subordinados, o que se vean limitados en sus libertades y derechos. Lo que es coherente con los principios liberales clásicos respecto de la libre determinación o autogobierno, que el derecho internacional hace extensivo a los pueblos indígenas. Ejemplo de esto se puede encontrar en los artículos 4 y 5 de la Declaración de Naciones Unidas sobre los derechos de los pueblos indígenas de 2007:</w:t>
      </w:r>
    </w:p>
    <w:p w:rsidR="003871DB" w:rsidRPr="003871DB" w:rsidRDefault="003871DB" w:rsidP="003871DB">
      <w:pPr>
        <w:spacing w:before="240" w:after="240" w:line="480" w:lineRule="auto"/>
        <w:jc w:val="both"/>
        <w:rPr>
          <w:rFonts w:ascii="Bookman Old Style" w:eastAsia="Times New Roman" w:hAnsi="Bookman Old Style"/>
        </w:rPr>
      </w:pPr>
      <w:r w:rsidRPr="003871DB">
        <w:rPr>
          <w:rFonts w:ascii="Bookman Old Style" w:eastAsia="Times New Roman" w:hAnsi="Bookman Old Style"/>
        </w:rPr>
        <w:t>“</w:t>
      </w:r>
      <w:r w:rsidRPr="003871DB">
        <w:rPr>
          <w:rFonts w:ascii="Bookman Old Style" w:eastAsia="Times New Roman" w:hAnsi="Bookman Old Style"/>
          <w:i/>
        </w:rPr>
        <w:t>Los pueblos indígenas, en ejercicio de su derecho a la libre determinación, tienen derecho a la autonomía o al autogobierno en las cuestiones relacionadas con sus asuntos internos y locales, así como a disponer de medios para financiar sus funciones autónomas</w:t>
      </w:r>
      <w:r w:rsidRPr="003871DB">
        <w:rPr>
          <w:rFonts w:ascii="Bookman Old Style" w:eastAsia="Times New Roman" w:hAnsi="Bookman Old Style"/>
        </w:rPr>
        <w:t>” (Art. 4).</w:t>
      </w:r>
    </w:p>
    <w:p w:rsidR="003871DB" w:rsidRPr="003871DB" w:rsidRDefault="003871DB" w:rsidP="003871DB">
      <w:pPr>
        <w:spacing w:before="240" w:after="240" w:line="480" w:lineRule="auto"/>
        <w:jc w:val="both"/>
        <w:rPr>
          <w:rFonts w:ascii="Bookman Old Style" w:eastAsia="Times New Roman" w:hAnsi="Bookman Old Style"/>
        </w:rPr>
      </w:pPr>
      <w:r w:rsidRPr="003871DB">
        <w:rPr>
          <w:rFonts w:ascii="Bookman Old Style" w:eastAsia="Times New Roman" w:hAnsi="Bookman Old Style"/>
        </w:rPr>
        <w:t>“</w:t>
      </w:r>
      <w:r w:rsidRPr="003871DB">
        <w:rPr>
          <w:rFonts w:ascii="Bookman Old Style" w:eastAsia="Times New Roman" w:hAnsi="Bookman Old Style"/>
          <w:i/>
        </w:rPr>
        <w:t xml:space="preserve">Los pueblos indígenas tienen derecho a conservar y reforzar sus propias instituciones políticas, jurídicas, económicas, sociales y culturales, </w:t>
      </w:r>
      <w:r w:rsidRPr="003871DB">
        <w:rPr>
          <w:rFonts w:ascii="Bookman Old Style" w:eastAsia="Times New Roman" w:hAnsi="Bookman Old Style"/>
          <w:i/>
        </w:rPr>
        <w:lastRenderedPageBreak/>
        <w:t>manteniendo a la vez su derecho a participar plenamente, si lo desean, en la vida política, económica, social y cultural del Estado.</w:t>
      </w:r>
      <w:r w:rsidRPr="003871DB">
        <w:rPr>
          <w:rFonts w:ascii="Bookman Old Style" w:eastAsia="Times New Roman" w:hAnsi="Bookman Old Style"/>
        </w:rPr>
        <w:t>” (Art. 5).</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Así, en lo respectivo a las instituciones representativas de carácter nacional, una de las medidas que ha sido empleada en países que cuentan con una diversidad étnica relevante, es la fórmula de los escaños reservados. Misma fórmula que ha sido empleada para diferencias nacionales, lingüísticas e incluso religiosas en la medida en la que se transforman en clivajes relevantes para una apropiada distribución del poder político</w:t>
      </w:r>
      <w:r w:rsidRPr="003871DB">
        <w:rPr>
          <w:rFonts w:ascii="Bookman Old Style" w:eastAsia="Times New Roman" w:hAnsi="Bookman Old Style"/>
          <w:vertAlign w:val="superscript"/>
        </w:rPr>
        <w:footnoteReference w:id="2"/>
      </w:r>
      <w:r w:rsidRPr="003871DB">
        <w:rPr>
          <w:rFonts w:ascii="Bookman Old Style" w:eastAsia="Times New Roman" w:hAnsi="Bookman Old Style"/>
        </w:rPr>
        <w:t xml:space="preserve">. </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El mecanismo electoral de los escaños reservados, para este fin, se puede definir como: “</w:t>
      </w:r>
      <w:r w:rsidRPr="003871DB">
        <w:rPr>
          <w:rFonts w:ascii="Bookman Old Style" w:eastAsia="Times New Roman" w:hAnsi="Bookman Old Style"/>
          <w:i/>
        </w:rPr>
        <w:t>reglas electorales formales que garantizan un número mínimo de representantes políticos para determinados grupos étnicos</w:t>
      </w:r>
      <w:r w:rsidRPr="003871DB">
        <w:rPr>
          <w:rFonts w:ascii="Bookman Old Style" w:eastAsia="Times New Roman" w:hAnsi="Bookman Old Style"/>
        </w:rPr>
        <w:t>”</w:t>
      </w:r>
      <w:r w:rsidRPr="003871DB">
        <w:rPr>
          <w:rFonts w:ascii="Bookman Old Style" w:eastAsia="Times New Roman" w:hAnsi="Bookman Old Style"/>
          <w:vertAlign w:val="superscript"/>
        </w:rPr>
        <w:footnoteReference w:id="3"/>
      </w:r>
      <w:r w:rsidRPr="003871DB">
        <w:rPr>
          <w:rFonts w:ascii="Bookman Old Style" w:eastAsia="Times New Roman" w:hAnsi="Bookman Old Style"/>
        </w:rPr>
        <w:t>. Es importante diferenciarlos del sistema de cuotas, que generalmente no busca garantizar un resultado final, sino que ofrecer pisos mínimos para disminuir los factores que influyen en la subrrepresentación de algún grupo social, t</w:t>
      </w:r>
      <w:bookmarkStart w:id="0" w:name="_GoBack"/>
      <w:bookmarkEnd w:id="0"/>
      <w:r w:rsidRPr="003871DB">
        <w:rPr>
          <w:rFonts w:ascii="Bookman Old Style" w:eastAsia="Times New Roman" w:hAnsi="Bookman Old Style"/>
        </w:rPr>
        <w:t xml:space="preserve">al como lo contempla actualmente la Ley N° 20.840. </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 xml:space="preserve">Este sistema de inclusión es actualmente usado en países muy distintos entre sí, tales como Bolivia, India, Nueva Zelanda y Colombia, </w:t>
      </w:r>
      <w:r w:rsidRPr="003871DB">
        <w:rPr>
          <w:rFonts w:ascii="Bookman Old Style" w:eastAsia="Times New Roman" w:hAnsi="Bookman Old Style"/>
        </w:rPr>
        <w:lastRenderedPageBreak/>
        <w:t xml:space="preserve">aunque con arreglos y resultados diferentes dependiendo de las características históricas, políticas y culturales de cada país. De todos los analizados en la experiencia comparada, el que tendría menos dificultad de ser aplicado en Chile es el caso colombiano, ya que es más simple al establecer una circunscripción electoral nacional único diferenciado para los candidatos indígenas, al que cualquier ciudadano puede acceder sin tener que contar con un padrón distinto. </w:t>
      </w:r>
    </w:p>
    <w:p w:rsidR="003871DB" w:rsidRPr="003871DB" w:rsidRDefault="003871DB" w:rsidP="003871DB">
      <w:pPr>
        <w:spacing w:before="240" w:after="240" w:line="480" w:lineRule="auto"/>
        <w:ind w:firstLine="720"/>
        <w:jc w:val="both"/>
        <w:rPr>
          <w:rFonts w:ascii="Bookman Old Style" w:eastAsia="Times New Roman" w:hAnsi="Bookman Old Style"/>
        </w:rPr>
      </w:pPr>
      <w:r w:rsidRPr="003871DB">
        <w:rPr>
          <w:rFonts w:ascii="Bookman Old Style" w:eastAsia="Times New Roman" w:hAnsi="Bookman Old Style"/>
        </w:rPr>
        <w:t>Nuestro país ha contado desde siempre con una importante diversidad étnica, tal como lo señala la Ley N° 19.253, conocida como Ley Indígena, en su art. 1, en los incisos primero y segundo:</w:t>
      </w:r>
    </w:p>
    <w:p w:rsidR="003871DB" w:rsidRPr="003871DB" w:rsidRDefault="003871DB" w:rsidP="003871DB">
      <w:pPr>
        <w:spacing w:before="240" w:after="240" w:line="480" w:lineRule="auto"/>
        <w:jc w:val="both"/>
        <w:rPr>
          <w:rFonts w:ascii="Bookman Old Style" w:eastAsia="Times New Roman" w:hAnsi="Bookman Old Style"/>
          <w:i/>
        </w:rPr>
      </w:pPr>
      <w:r w:rsidRPr="003871DB">
        <w:rPr>
          <w:rFonts w:ascii="Bookman Old Style" w:eastAsia="Times New Roman" w:hAnsi="Bookman Old Style"/>
        </w:rPr>
        <w:t>“</w:t>
      </w:r>
      <w:r w:rsidRPr="003871DB">
        <w:rPr>
          <w:rFonts w:ascii="Bookman Old Style" w:eastAsia="Times New Roman" w:hAnsi="Bookman Old Style"/>
          <w:i/>
        </w:rPr>
        <w:t>El Estado reconoce que los indígenas de Chile son los des</w:t>
      </w:r>
      <w:r>
        <w:rPr>
          <w:rFonts w:ascii="Bookman Old Style" w:eastAsia="Times New Roman" w:hAnsi="Bookman Old Style"/>
          <w:i/>
        </w:rPr>
        <w:t xml:space="preserve">cendientes de las agrupaciones </w:t>
      </w:r>
      <w:r w:rsidRPr="003871DB">
        <w:rPr>
          <w:rFonts w:ascii="Bookman Old Style" w:eastAsia="Times New Roman" w:hAnsi="Bookman Old Style"/>
          <w:i/>
        </w:rPr>
        <w:t>humanas que existen en el territorio nacional desde  tiempos precolombinos, que conservan manifestaciones étnicas y culturales propias siendo para ellos la tierra el fundamento principal de su existencia y cultura.</w:t>
      </w:r>
    </w:p>
    <w:p w:rsidR="003871DB" w:rsidRPr="003871DB" w:rsidRDefault="003871DB" w:rsidP="003871DB">
      <w:pPr>
        <w:spacing w:before="240" w:after="240" w:line="480" w:lineRule="auto"/>
        <w:jc w:val="both"/>
        <w:rPr>
          <w:rFonts w:ascii="Bookman Old Style" w:eastAsia="Times New Roman" w:hAnsi="Bookman Old Style"/>
        </w:rPr>
      </w:pPr>
      <w:r w:rsidRPr="003871DB">
        <w:rPr>
          <w:rFonts w:ascii="Bookman Old Style" w:eastAsia="Times New Roman" w:hAnsi="Bookman Old Style"/>
          <w:i/>
        </w:rPr>
        <w:t>El Estado reconoce como principales etnias indígenas de Chile a: la Mapuche, Aimara, Rapa Nui o Pascuenses, la de las comunidades Atacameñas, Quechuas, Collas y Diaguita del norte del país, las comunidades Kawashkar o Alacalufe y Yámana o Yagán de los canales australes. El Estado valora su existencia por ser parte esencial de las raíces de la Nación chilena, así como su integridad y desarrollo, de acuerdo a sus costumbres y valores</w:t>
      </w:r>
      <w:r w:rsidRPr="003871DB">
        <w:rPr>
          <w:rFonts w:ascii="Bookman Old Style" w:eastAsia="Times New Roman" w:hAnsi="Bookman Old Style"/>
        </w:rPr>
        <w:t>”.</w:t>
      </w:r>
    </w:p>
    <w:p w:rsidR="003871DB" w:rsidRPr="003871DB" w:rsidRDefault="003871DB" w:rsidP="00962D1A">
      <w:pPr>
        <w:spacing w:line="480" w:lineRule="auto"/>
        <w:ind w:firstLine="708"/>
        <w:jc w:val="both"/>
        <w:rPr>
          <w:rFonts w:ascii="Bookman Old Style" w:eastAsia="Times New Roman" w:hAnsi="Bookman Old Style"/>
        </w:rPr>
      </w:pPr>
      <w:r w:rsidRPr="003871DB">
        <w:rPr>
          <w:rFonts w:ascii="Bookman Old Style" w:eastAsia="Times New Roman" w:hAnsi="Bookman Old Style"/>
        </w:rPr>
        <w:lastRenderedPageBreak/>
        <w:t>En términos estadísticos, este reconocimiento estatal se corresponde con el autorreconocimiento de los sectores de la población que se identifican con estas etnias, tal como lo muestra el último censo. De los cerca de 17.076.076 catastrados, un 12,8% se identifica como pueblo indígena, cuyo número exacto es 2.185.792 personas</w:t>
      </w:r>
      <w:r w:rsidRPr="003871DB">
        <w:rPr>
          <w:rFonts w:ascii="Bookman Old Style" w:eastAsia="Times New Roman" w:hAnsi="Bookman Old Style"/>
          <w:vertAlign w:val="superscript"/>
        </w:rPr>
        <w:footnoteReference w:id="4"/>
      </w:r>
      <w:r w:rsidRPr="003871DB">
        <w:rPr>
          <w:rFonts w:ascii="Bookman Old Style" w:eastAsia="Times New Roman" w:hAnsi="Bookman Old Style"/>
        </w:rPr>
        <w:t xml:space="preserve">. Dentro de ese porcentaje, el pueblo mapuche es mayoritario siendo casi un 80% del total, el resto de los distintos grupos indígenas tienen la siguiente distribución: </w:t>
      </w:r>
    </w:p>
    <w:p w:rsidR="003871DB" w:rsidRPr="003871DB" w:rsidRDefault="003871DB" w:rsidP="003871DB">
      <w:pPr>
        <w:spacing w:line="480" w:lineRule="auto"/>
        <w:jc w:val="both"/>
        <w:rPr>
          <w:rFonts w:ascii="Bookman Old Style" w:eastAsia="Times New Roman" w:hAnsi="Bookman Old Style"/>
        </w:rPr>
      </w:pPr>
      <w:r w:rsidRPr="003871DB">
        <w:rPr>
          <w:rFonts w:ascii="Bookman Old Style" w:eastAsia="Times New Roman" w:hAnsi="Bookman Old Style"/>
          <w:noProof/>
          <w:lang w:val="es-CL" w:eastAsia="es-CL"/>
        </w:rPr>
        <w:drawing>
          <wp:inline distT="114300" distB="114300" distL="114300" distR="114300" wp14:anchorId="1ECC54A8" wp14:editId="1FD868C8">
            <wp:extent cx="5734050" cy="30321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3032125"/>
                    </a:xfrm>
                    <a:prstGeom prst="rect">
                      <a:avLst/>
                    </a:prstGeom>
                    <a:ln/>
                  </pic:spPr>
                </pic:pic>
              </a:graphicData>
            </a:graphic>
          </wp:inline>
        </w:drawing>
      </w:r>
    </w:p>
    <w:p w:rsidR="00962D1A" w:rsidRDefault="00962D1A" w:rsidP="00962D1A">
      <w:pPr>
        <w:tabs>
          <w:tab w:val="left" w:pos="3531"/>
        </w:tabs>
        <w:spacing w:after="160" w:line="360" w:lineRule="auto"/>
        <w:jc w:val="both"/>
        <w:rPr>
          <w:rFonts w:ascii="Bookman Old Style" w:eastAsia="Times New Roman" w:hAnsi="Bookman Old Style"/>
        </w:rPr>
      </w:pPr>
      <w:r>
        <w:rPr>
          <w:rFonts w:ascii="Bookman Old Style" w:eastAsia="Times New Roman" w:hAnsi="Bookman Old Style"/>
        </w:rPr>
        <w:t>El contexto histórico de las relaciones entre los pueblos indígenas y el Estado chileno ha sido conflictivo, y somos además uno de los pocos países de la región que no cuenta con un reconocimiento constitucional para estos grupos étnicos. Sin embargo, es importante considerar que “</w:t>
      </w:r>
      <w:r w:rsidR="00D328CE" w:rsidRPr="00D328CE">
        <w:rPr>
          <w:rFonts w:ascii="Bookman Old Style" w:eastAsia="Times New Roman" w:hAnsi="Bookman Old Style"/>
          <w:i/>
        </w:rPr>
        <w:t>u</w:t>
      </w:r>
      <w:r w:rsidRPr="00D328CE">
        <w:rPr>
          <w:rFonts w:ascii="Bookman Old Style" w:eastAsia="Times New Roman" w:hAnsi="Bookman Old Style"/>
          <w:i/>
        </w:rPr>
        <w:t xml:space="preserve">n aspecto práctico que suele obviarse en las discusiones sobre </w:t>
      </w:r>
      <w:r w:rsidRPr="00D328CE">
        <w:rPr>
          <w:rFonts w:ascii="Bookman Old Style" w:eastAsia="Times New Roman" w:hAnsi="Bookman Old Style"/>
          <w:i/>
        </w:rPr>
        <w:lastRenderedPageBreak/>
        <w:t>reconocimiento constitucional de los pueblos indígenas es l</w:t>
      </w:r>
      <w:r w:rsidR="00D328CE" w:rsidRPr="00D328CE">
        <w:rPr>
          <w:rFonts w:ascii="Bookman Old Style" w:eastAsia="Times New Roman" w:hAnsi="Bookman Old Style"/>
          <w:i/>
        </w:rPr>
        <w:t xml:space="preserve">a cuestión de su implementación (…) </w:t>
      </w:r>
      <w:r w:rsidRPr="00D328CE">
        <w:rPr>
          <w:rFonts w:ascii="Bookman Old Style" w:eastAsia="Times New Roman" w:hAnsi="Bookman Old Style"/>
          <w:i/>
        </w:rPr>
        <w:t>el reconocimiento de</w:t>
      </w:r>
      <w:r w:rsidR="00D328CE" w:rsidRPr="00D328CE">
        <w:rPr>
          <w:rFonts w:ascii="Bookman Old Style" w:eastAsia="Times New Roman" w:hAnsi="Bookman Old Style"/>
          <w:i/>
        </w:rPr>
        <w:t xml:space="preserve"> </w:t>
      </w:r>
      <w:r w:rsidRPr="00D328CE">
        <w:rPr>
          <w:rFonts w:ascii="Bookman Old Style" w:eastAsia="Times New Roman" w:hAnsi="Bookman Old Style"/>
          <w:i/>
        </w:rPr>
        <w:t>derechos a los pueblos indígenas en las constituciones</w:t>
      </w:r>
      <w:r w:rsidR="00D328CE" w:rsidRPr="00D328CE">
        <w:rPr>
          <w:rFonts w:ascii="Bookman Old Style" w:eastAsia="Times New Roman" w:hAnsi="Bookman Old Style"/>
          <w:i/>
        </w:rPr>
        <w:t xml:space="preserve"> </w:t>
      </w:r>
      <w:r w:rsidRPr="00D328CE">
        <w:rPr>
          <w:rFonts w:ascii="Bookman Old Style" w:eastAsia="Times New Roman" w:hAnsi="Bookman Old Style"/>
          <w:i/>
        </w:rPr>
        <w:t>latinoamericanas en muchos casos no ha ido acompañado de los necesarios mecanismos institucionales para</w:t>
      </w:r>
      <w:r w:rsidR="00D328CE" w:rsidRPr="00D328CE">
        <w:rPr>
          <w:rFonts w:ascii="Bookman Old Style" w:eastAsia="Times New Roman" w:hAnsi="Bookman Old Style"/>
          <w:i/>
        </w:rPr>
        <w:t xml:space="preserve"> </w:t>
      </w:r>
      <w:r w:rsidRPr="00D328CE">
        <w:rPr>
          <w:rFonts w:ascii="Bookman Old Style" w:eastAsia="Times New Roman" w:hAnsi="Bookman Old Style"/>
          <w:i/>
        </w:rPr>
        <w:t>hacerlos efectivos</w:t>
      </w:r>
      <w:r w:rsidR="00D328CE">
        <w:rPr>
          <w:rFonts w:ascii="Bookman Old Style" w:eastAsia="Times New Roman" w:hAnsi="Bookman Old Style"/>
        </w:rPr>
        <w:t>”</w:t>
      </w:r>
      <w:r w:rsidR="00D328CE">
        <w:rPr>
          <w:rStyle w:val="Refdenotaalpie"/>
          <w:rFonts w:ascii="Bookman Old Style" w:eastAsia="Times New Roman" w:hAnsi="Bookman Old Style"/>
        </w:rPr>
        <w:footnoteReference w:id="5"/>
      </w:r>
      <w:r w:rsidRPr="00962D1A">
        <w:rPr>
          <w:rFonts w:ascii="Bookman Old Style" w:eastAsia="Times New Roman" w:hAnsi="Bookman Old Style"/>
        </w:rPr>
        <w:t>.</w:t>
      </w:r>
      <w:r w:rsidR="00D328CE">
        <w:rPr>
          <w:rFonts w:ascii="Bookman Old Style" w:eastAsia="Times New Roman" w:hAnsi="Bookman Old Style"/>
        </w:rPr>
        <w:t xml:space="preserve"> Ahora bien, en el marco de un proceso de cambio constitucional, el aspecto procedimental de la implementación puede preceder a su consagración sustantiva, al permitir desde un comienzo que los pueblos indígenas chilenos sean reconocidos como parte del poder constitucional originario. </w:t>
      </w:r>
    </w:p>
    <w:p w:rsidR="0095067F" w:rsidRDefault="0095067F" w:rsidP="0095067F">
      <w:pPr>
        <w:tabs>
          <w:tab w:val="left" w:pos="3531"/>
        </w:tabs>
        <w:spacing w:after="160" w:line="360" w:lineRule="auto"/>
        <w:jc w:val="both"/>
        <w:rPr>
          <w:rFonts w:ascii="Bookman Old Style" w:hAnsi="Bookman Old Style"/>
          <w:b/>
        </w:rPr>
      </w:pPr>
      <w:r>
        <w:rPr>
          <w:rFonts w:ascii="Bookman Old Style" w:hAnsi="Bookman Old Style"/>
          <w:b/>
        </w:rPr>
        <w:t>2.- Ideas Matrices</w:t>
      </w:r>
    </w:p>
    <w:p w:rsidR="0095067F" w:rsidRPr="00991158" w:rsidRDefault="00991158" w:rsidP="005D1A3B">
      <w:pPr>
        <w:spacing w:line="480" w:lineRule="auto"/>
        <w:jc w:val="both"/>
        <w:rPr>
          <w:rFonts w:ascii="Bookman Old Style" w:hAnsi="Bookman Old Style"/>
        </w:rPr>
      </w:pPr>
      <w:r>
        <w:rPr>
          <w:rFonts w:ascii="Bookman Old Style" w:hAnsi="Bookman Old Style"/>
        </w:rPr>
        <w:t xml:space="preserve">Establece </w:t>
      </w:r>
      <w:r w:rsidR="00070C9D">
        <w:rPr>
          <w:rFonts w:ascii="Bookman Old Style" w:hAnsi="Bookman Old Style"/>
        </w:rPr>
        <w:t>e</w:t>
      </w:r>
      <w:r>
        <w:rPr>
          <w:rFonts w:ascii="Bookman Old Style" w:hAnsi="Bookman Old Style"/>
        </w:rPr>
        <w:t xml:space="preserve">scaños reservados proporcionales para los pueblos originarios en </w:t>
      </w:r>
      <w:r w:rsidR="00070C9D">
        <w:rPr>
          <w:rFonts w:ascii="Bookman Old Style" w:hAnsi="Bookman Old Style"/>
        </w:rPr>
        <w:t xml:space="preserve">el sistema electoral regulado en </w:t>
      </w:r>
      <w:r>
        <w:rPr>
          <w:rFonts w:ascii="Bookman Old Style" w:hAnsi="Bookman Old Style"/>
        </w:rPr>
        <w:t>la Ley N° 18.700 y</w:t>
      </w:r>
      <w:r w:rsidR="00070C9D">
        <w:rPr>
          <w:rFonts w:ascii="Bookman Old Style" w:hAnsi="Bookman Old Style"/>
        </w:rPr>
        <w:t xml:space="preserve"> en la Ley N° 18.556.</w:t>
      </w:r>
      <w:r>
        <w:rPr>
          <w:rFonts w:ascii="Bookman Old Style" w:hAnsi="Bookman Old Style"/>
        </w:rPr>
        <w:t xml:space="preserve"> </w:t>
      </w:r>
    </w:p>
    <w:p w:rsidR="0095067F" w:rsidRDefault="0095067F" w:rsidP="0095067F">
      <w:pPr>
        <w:spacing w:line="360" w:lineRule="auto"/>
        <w:jc w:val="both"/>
        <w:rPr>
          <w:rFonts w:ascii="Bookman Old Style" w:hAnsi="Bookman Old Style"/>
          <w:b/>
        </w:rPr>
      </w:pPr>
      <w:r>
        <w:rPr>
          <w:rFonts w:ascii="Bookman Old Style" w:hAnsi="Bookman Old Style"/>
          <w:b/>
        </w:rPr>
        <w:t>3.- Contenido del Proyecto:</w:t>
      </w:r>
    </w:p>
    <w:p w:rsidR="001213F3" w:rsidRDefault="001213F3" w:rsidP="00991158">
      <w:pPr>
        <w:spacing w:line="480" w:lineRule="auto"/>
        <w:jc w:val="both"/>
        <w:rPr>
          <w:rFonts w:ascii="Bookman Old Style" w:hAnsi="Bookman Old Style"/>
        </w:rPr>
      </w:pPr>
      <w:r>
        <w:rPr>
          <w:rFonts w:ascii="Bookman Old Style" w:hAnsi="Bookman Old Style"/>
        </w:rPr>
        <w:t xml:space="preserve">El proyecto pretende establecer escaños reservados y proporcionales para casos especiales relacionados con cambios o procesos de modificación del texto constitucional. Tal propósito se concreta mediante la elección de cargos de representación popular, en un distrito único nacional y cuyo número varía según la cantidad de electores de un padrón especial creado al efecto. Dichos cupos son descontados del total de 155 escaños regulados en la normativa aplicable a la elección de diputados y senadores, según la desproporción de sufragio de cada distrito a la fecha de la última elección parlamentaria. </w:t>
      </w:r>
    </w:p>
    <w:p w:rsidR="001213F3" w:rsidRDefault="001213F3" w:rsidP="00991158">
      <w:pPr>
        <w:spacing w:line="480" w:lineRule="auto"/>
        <w:jc w:val="both"/>
        <w:rPr>
          <w:rFonts w:ascii="Bookman Old Style" w:hAnsi="Bookman Old Style"/>
        </w:rPr>
      </w:pPr>
    </w:p>
    <w:p w:rsidR="0095067F" w:rsidRPr="001213F3" w:rsidRDefault="001213F3" w:rsidP="001213F3">
      <w:pPr>
        <w:spacing w:line="480" w:lineRule="auto"/>
        <w:jc w:val="both"/>
        <w:rPr>
          <w:rFonts w:ascii="Bookman Old Style" w:hAnsi="Bookman Old Style"/>
        </w:rPr>
      </w:pPr>
      <w:r>
        <w:rPr>
          <w:rFonts w:ascii="Bookman Old Style" w:hAnsi="Bookman Old Style"/>
        </w:rPr>
        <w:lastRenderedPageBreak/>
        <w:t xml:space="preserve">Para ser votante de dicho padrón o candidato de Pueblo Originario, se requerirá acreditar la calidad indígena conforme a los dispuesto en la Ley N°19.253. </w:t>
      </w:r>
    </w:p>
    <w:p w:rsidR="0095067F" w:rsidRDefault="0095067F" w:rsidP="0095067F">
      <w:pPr>
        <w:tabs>
          <w:tab w:val="left" w:pos="709"/>
        </w:tabs>
        <w:spacing w:line="360" w:lineRule="auto"/>
        <w:ind w:firstLine="708"/>
        <w:jc w:val="both"/>
        <w:rPr>
          <w:rFonts w:ascii="Bookman Old Style" w:hAnsi="Bookman Old Style" w:cs="Arial"/>
          <w:color w:val="000000"/>
        </w:rPr>
      </w:pPr>
    </w:p>
    <w:p w:rsidR="0095067F" w:rsidRDefault="0095067F" w:rsidP="0095067F">
      <w:pPr>
        <w:tabs>
          <w:tab w:val="left" w:pos="709"/>
        </w:tabs>
        <w:spacing w:line="360" w:lineRule="auto"/>
        <w:ind w:firstLine="708"/>
        <w:jc w:val="both"/>
        <w:rPr>
          <w:rFonts w:ascii="Bookman Old Style" w:hAnsi="Bookman Old Style" w:cs="Arial"/>
          <w:color w:val="000000"/>
        </w:rPr>
      </w:pPr>
      <w:r>
        <w:rPr>
          <w:rFonts w:ascii="Bookman Old Style" w:hAnsi="Bookman Old Style" w:cs="Arial"/>
          <w:color w:val="000000"/>
        </w:rPr>
        <w:t>Por consiguiente, y con el mérito de los antecedentes expuestos, vengo en someter a la consideración de esta Honorable Corporación, el siguiente Proyecto de Ley:</w:t>
      </w:r>
    </w:p>
    <w:p w:rsidR="0095067F" w:rsidRDefault="0095067F" w:rsidP="0095067F">
      <w:pPr>
        <w:spacing w:line="360" w:lineRule="auto"/>
        <w:jc w:val="center"/>
        <w:rPr>
          <w:rFonts w:ascii="Bookman Old Style" w:hAnsi="Bookman Old Style"/>
          <w:b/>
          <w:sz w:val="28"/>
          <w:u w:val="single"/>
        </w:rPr>
      </w:pPr>
    </w:p>
    <w:p w:rsidR="0095067F" w:rsidRPr="00E129BD" w:rsidRDefault="0095067F" w:rsidP="0095067F">
      <w:pPr>
        <w:spacing w:line="360" w:lineRule="auto"/>
        <w:jc w:val="center"/>
        <w:rPr>
          <w:rFonts w:ascii="Bookman Old Style" w:hAnsi="Bookman Old Style"/>
          <w:b/>
          <w:sz w:val="28"/>
          <w:u w:val="single"/>
        </w:rPr>
      </w:pPr>
      <w:r w:rsidRPr="00E129BD">
        <w:rPr>
          <w:rFonts w:ascii="Bookman Old Style" w:hAnsi="Bookman Old Style"/>
          <w:b/>
          <w:sz w:val="28"/>
          <w:u w:val="single"/>
        </w:rPr>
        <w:t>Proyecto de Ley</w:t>
      </w:r>
      <w:r>
        <w:rPr>
          <w:rFonts w:ascii="Bookman Old Style" w:hAnsi="Bookman Old Style"/>
          <w:b/>
          <w:sz w:val="28"/>
          <w:u w:val="single"/>
        </w:rPr>
        <w:t>:</w:t>
      </w:r>
    </w:p>
    <w:p w:rsidR="0095067F" w:rsidRDefault="0095067F" w:rsidP="0095067F">
      <w:pPr>
        <w:spacing w:line="360" w:lineRule="auto"/>
        <w:jc w:val="center"/>
        <w:rPr>
          <w:rFonts w:ascii="Bookman Old Style" w:hAnsi="Bookman Old Style"/>
          <w:b/>
        </w:rPr>
      </w:pPr>
    </w:p>
    <w:p w:rsidR="003871DB" w:rsidRPr="003871DB" w:rsidRDefault="003871DB" w:rsidP="003871DB">
      <w:pPr>
        <w:tabs>
          <w:tab w:val="left" w:pos="1985"/>
        </w:tabs>
        <w:autoSpaceDE w:val="0"/>
        <w:autoSpaceDN w:val="0"/>
        <w:adjustRightInd w:val="0"/>
        <w:spacing w:line="480" w:lineRule="auto"/>
        <w:jc w:val="both"/>
        <w:rPr>
          <w:rFonts w:ascii="Bookman Old Style" w:hAnsi="Bookman Old Style"/>
          <w:lang w:val="es-CL"/>
        </w:rPr>
      </w:pPr>
      <w:r w:rsidRPr="003871DB">
        <w:rPr>
          <w:rFonts w:ascii="Bookman Old Style" w:hAnsi="Bookman Old Style"/>
          <w:b/>
          <w:lang w:val="es-CL"/>
        </w:rPr>
        <w:t>Artículo Primero.</w:t>
      </w:r>
      <w:r w:rsidRPr="003871DB">
        <w:rPr>
          <w:rFonts w:ascii="Bookman Old Style" w:hAnsi="Bookman Old Style"/>
          <w:lang w:val="es-CL"/>
        </w:rPr>
        <w:t xml:space="preserve"> Modifíquese la ley Nº18.700 sobre votaciones populares y escrutinios en el siguiente sentido:  </w:t>
      </w:r>
    </w:p>
    <w:p w:rsidR="003871DB" w:rsidRPr="003871DB" w:rsidRDefault="003871DB" w:rsidP="003871DB">
      <w:pPr>
        <w:tabs>
          <w:tab w:val="left" w:pos="1985"/>
        </w:tabs>
        <w:autoSpaceDE w:val="0"/>
        <w:autoSpaceDN w:val="0"/>
        <w:adjustRightInd w:val="0"/>
        <w:spacing w:line="480" w:lineRule="auto"/>
        <w:ind w:left="708"/>
        <w:jc w:val="both"/>
        <w:rPr>
          <w:rFonts w:ascii="Bookman Old Style" w:hAnsi="Bookman Old Style"/>
          <w:lang w:val="es-CL"/>
        </w:rPr>
      </w:pPr>
      <w:r w:rsidRPr="003871DB">
        <w:rPr>
          <w:rFonts w:ascii="Bookman Old Style" w:hAnsi="Bookman Old Style"/>
          <w:lang w:val="es-CL"/>
        </w:rPr>
        <w:t>1) Para incorporar un nuevo Título XIV “De los escaños proporcionales de Pueblos Originarios” con los siguientes artículos:</w:t>
      </w:r>
    </w:p>
    <w:p w:rsidR="003871DB" w:rsidRPr="003871DB" w:rsidRDefault="00D328CE" w:rsidP="003871DB">
      <w:pPr>
        <w:tabs>
          <w:tab w:val="left" w:pos="1985"/>
        </w:tabs>
        <w:autoSpaceDE w:val="0"/>
        <w:autoSpaceDN w:val="0"/>
        <w:adjustRightInd w:val="0"/>
        <w:spacing w:line="480" w:lineRule="auto"/>
        <w:ind w:left="1416"/>
        <w:jc w:val="both"/>
        <w:rPr>
          <w:rFonts w:ascii="Bookman Old Style" w:hAnsi="Bookman Old Style"/>
          <w:lang w:val="es-CL"/>
        </w:rPr>
      </w:pPr>
      <w:r>
        <w:rPr>
          <w:rFonts w:ascii="Bookman Old Style" w:hAnsi="Bookman Old Style"/>
          <w:lang w:val="es-CL"/>
        </w:rPr>
        <w:t>"Art. 232</w:t>
      </w:r>
      <w:r w:rsidR="003871DB" w:rsidRPr="003871DB">
        <w:rPr>
          <w:rFonts w:ascii="Bookman Old Style" w:hAnsi="Bookman Old Style"/>
          <w:lang w:val="es-CL"/>
        </w:rPr>
        <w:t xml:space="preserve">.- De los escaños proporcionales de Pueblos Originarios. Los Pueblos Originarios reconocidos en el artículo primero de la Ley N°19.253, que establece Normas Sobre Protección, Fomento y Desarrollo de los Indígenas, y crea la corporación Nacional de Desarrollo Indígena, podrán elegir </w:t>
      </w:r>
      <w:r w:rsidR="00070C9D">
        <w:rPr>
          <w:rFonts w:ascii="Bookman Old Style" w:hAnsi="Bookman Old Style"/>
          <w:lang w:val="es-CL"/>
        </w:rPr>
        <w:t>representantes</w:t>
      </w:r>
      <w:r w:rsidR="003871DB" w:rsidRPr="003871DB">
        <w:rPr>
          <w:rFonts w:ascii="Bookman Old Style" w:hAnsi="Bookman Old Style"/>
          <w:lang w:val="es-CL"/>
        </w:rPr>
        <w:t>, en un distrito único a nivel nacional para pueblos originarios mediante la inscripción de una o más listas, las que podrán estar compuestas, indistintamente, por candidatos de un mismo o distinto pueblo originario.</w:t>
      </w:r>
    </w:p>
    <w:p w:rsidR="003871DB" w:rsidRPr="003871DB" w:rsidRDefault="003871DB" w:rsidP="003871DB">
      <w:pPr>
        <w:tabs>
          <w:tab w:val="left" w:pos="1985"/>
        </w:tabs>
        <w:autoSpaceDE w:val="0"/>
        <w:autoSpaceDN w:val="0"/>
        <w:adjustRightInd w:val="0"/>
        <w:spacing w:line="480" w:lineRule="auto"/>
        <w:ind w:left="1416"/>
        <w:jc w:val="both"/>
        <w:rPr>
          <w:rFonts w:ascii="Bookman Old Style" w:hAnsi="Bookman Old Style"/>
          <w:lang w:val="es-CL"/>
        </w:rPr>
      </w:pPr>
      <w:r w:rsidRPr="003871DB">
        <w:rPr>
          <w:rFonts w:ascii="Bookman Old Style" w:hAnsi="Bookman Old Style"/>
          <w:lang w:val="es-CL"/>
        </w:rPr>
        <w:lastRenderedPageBreak/>
        <w:t xml:space="preserve">Dicha proporción y los escaños que correspondieren, será calculada en base al número de electores inscritos en un padrón electoral especial. </w:t>
      </w:r>
    </w:p>
    <w:p w:rsidR="003871DB" w:rsidRPr="003871DB" w:rsidRDefault="00D328CE" w:rsidP="003871DB">
      <w:pPr>
        <w:tabs>
          <w:tab w:val="left" w:pos="1985"/>
        </w:tabs>
        <w:autoSpaceDE w:val="0"/>
        <w:autoSpaceDN w:val="0"/>
        <w:adjustRightInd w:val="0"/>
        <w:spacing w:line="480" w:lineRule="auto"/>
        <w:ind w:left="1416"/>
        <w:jc w:val="both"/>
        <w:rPr>
          <w:rFonts w:ascii="Bookman Old Style" w:hAnsi="Bookman Old Style"/>
          <w:lang w:val="es-CL"/>
        </w:rPr>
      </w:pPr>
      <w:r>
        <w:rPr>
          <w:rFonts w:ascii="Bookman Old Style" w:hAnsi="Bookman Old Style"/>
          <w:lang w:val="es-CL"/>
        </w:rPr>
        <w:t>"Art. 233</w:t>
      </w:r>
      <w:r w:rsidR="003871DB" w:rsidRPr="003871DB">
        <w:rPr>
          <w:rFonts w:ascii="Bookman Old Style" w:hAnsi="Bookman Old Style"/>
          <w:lang w:val="es-CL"/>
        </w:rPr>
        <w:t xml:space="preserve">.- Requisitos de candidaturas. Para efectos de la inscripción y declaración de las candidaturas a que se refiere el Título I de la presente ley, cada postulante deberá acreditar la calidad de indígena cumpliendo con los requisitos establecidos en el artículo 2 de la ley Nº19.253, mediante el certificado a que se refiere el artículo 3 del referido cuerpo legal.". </w:t>
      </w:r>
    </w:p>
    <w:p w:rsidR="003871DB" w:rsidRPr="003871DB" w:rsidRDefault="006978D6" w:rsidP="006978D6">
      <w:pPr>
        <w:tabs>
          <w:tab w:val="left" w:pos="1985"/>
        </w:tabs>
        <w:autoSpaceDE w:val="0"/>
        <w:autoSpaceDN w:val="0"/>
        <w:adjustRightInd w:val="0"/>
        <w:spacing w:line="480" w:lineRule="auto"/>
        <w:ind w:left="1416"/>
        <w:jc w:val="both"/>
        <w:rPr>
          <w:rFonts w:ascii="Bookman Old Style" w:hAnsi="Bookman Old Style"/>
          <w:lang w:val="es-CL"/>
        </w:rPr>
      </w:pPr>
      <w:r>
        <w:rPr>
          <w:rFonts w:ascii="Bookman Old Style" w:hAnsi="Bookman Old Style"/>
          <w:lang w:val="es-CL"/>
        </w:rPr>
        <w:t>Artículo 234</w:t>
      </w:r>
      <w:r w:rsidR="003871DB" w:rsidRPr="003871DB">
        <w:rPr>
          <w:rFonts w:ascii="Bookman Old Style" w:hAnsi="Bookman Old Style"/>
          <w:lang w:val="es-CL"/>
        </w:rPr>
        <w:t xml:space="preserve"> “En el caso de los cargos de representación popular</w:t>
      </w:r>
      <w:r w:rsidR="00D328CE">
        <w:rPr>
          <w:rFonts w:ascii="Bookman Old Style" w:hAnsi="Bookman Old Style"/>
          <w:lang w:val="es-CL"/>
        </w:rPr>
        <w:t xml:space="preserve"> a que se refiere el artículo 232</w:t>
      </w:r>
      <w:r w:rsidR="003871DB" w:rsidRPr="003871DB">
        <w:rPr>
          <w:rFonts w:ascii="Bookman Old Style" w:hAnsi="Bookman Old Style"/>
          <w:lang w:val="es-CL"/>
        </w:rPr>
        <w:t xml:space="preserve"> de esta ley, se aplicarán las siguientes reglas:</w:t>
      </w:r>
    </w:p>
    <w:p w:rsidR="003871DB" w:rsidRPr="003871DB" w:rsidRDefault="003871DB" w:rsidP="003871DB">
      <w:pPr>
        <w:tabs>
          <w:tab w:val="left" w:pos="1985"/>
        </w:tabs>
        <w:autoSpaceDE w:val="0"/>
        <w:autoSpaceDN w:val="0"/>
        <w:adjustRightInd w:val="0"/>
        <w:spacing w:line="480" w:lineRule="auto"/>
        <w:ind w:left="1416"/>
        <w:jc w:val="both"/>
        <w:rPr>
          <w:rFonts w:ascii="Bookman Old Style" w:hAnsi="Bookman Old Style"/>
          <w:lang w:val="es-CL"/>
        </w:rPr>
      </w:pPr>
      <w:r w:rsidRPr="003871DB">
        <w:rPr>
          <w:rFonts w:ascii="Bookman Old Style" w:hAnsi="Bookman Old Style"/>
          <w:lang w:val="es-CL"/>
        </w:rPr>
        <w:t>a) Las candidaturas que pudieren ser inscritas por pueblos originarios serán descontadas del total de cargos que correspondieren al padrón electoral general nacional.</w:t>
      </w:r>
    </w:p>
    <w:p w:rsidR="003871DB" w:rsidRPr="003871DB" w:rsidRDefault="003871DB" w:rsidP="003871DB">
      <w:pPr>
        <w:tabs>
          <w:tab w:val="left" w:pos="1985"/>
        </w:tabs>
        <w:autoSpaceDE w:val="0"/>
        <w:autoSpaceDN w:val="0"/>
        <w:adjustRightInd w:val="0"/>
        <w:spacing w:line="480" w:lineRule="auto"/>
        <w:ind w:left="1416"/>
        <w:jc w:val="both"/>
        <w:rPr>
          <w:rFonts w:ascii="Bookman Old Style" w:hAnsi="Bookman Old Style"/>
          <w:lang w:val="es-CL"/>
        </w:rPr>
      </w:pPr>
      <w:r w:rsidRPr="003871DB">
        <w:rPr>
          <w:rFonts w:ascii="Bookman Old Style" w:hAnsi="Bookman Old Style"/>
          <w:lang w:val="es-CL"/>
        </w:rPr>
        <w:t xml:space="preserve">b) Se descontará un cupo por cada distrito, el cual se efectuará de forma decreciente, según la desproporción de voto existente a la última elección parlamentaria, comenzado por aquel que presente la mayor desproporción.                    </w:t>
      </w:r>
    </w:p>
    <w:p w:rsidR="003871DB" w:rsidRPr="003871DB" w:rsidRDefault="003871DB" w:rsidP="003871DB">
      <w:pPr>
        <w:tabs>
          <w:tab w:val="left" w:pos="1985"/>
        </w:tabs>
        <w:autoSpaceDE w:val="0"/>
        <w:autoSpaceDN w:val="0"/>
        <w:adjustRightInd w:val="0"/>
        <w:spacing w:line="480" w:lineRule="auto"/>
        <w:jc w:val="both"/>
        <w:rPr>
          <w:rFonts w:ascii="Bookman Old Style" w:hAnsi="Bookman Old Style"/>
          <w:lang w:val="es-CL"/>
        </w:rPr>
      </w:pPr>
      <w:r w:rsidRPr="003871DB">
        <w:rPr>
          <w:rFonts w:ascii="Bookman Old Style" w:hAnsi="Bookman Old Style"/>
          <w:b/>
          <w:lang w:val="es-CL"/>
        </w:rPr>
        <w:t>Artículo Segundo.</w:t>
      </w:r>
      <w:r w:rsidRPr="003871DB">
        <w:rPr>
          <w:rFonts w:ascii="Bookman Old Style" w:hAnsi="Bookman Old Style"/>
          <w:lang w:val="es-CL"/>
        </w:rPr>
        <w:t xml:space="preserve"> Modifíquese la ley N°18.556 que establece Normas sobre Inscripciones Electorales y Servicio Electoral en el siguiente sentido: </w:t>
      </w:r>
    </w:p>
    <w:p w:rsidR="003871DB" w:rsidRPr="003871DB" w:rsidRDefault="003871DB" w:rsidP="003871DB">
      <w:pPr>
        <w:tabs>
          <w:tab w:val="left" w:pos="1985"/>
        </w:tabs>
        <w:autoSpaceDE w:val="0"/>
        <w:autoSpaceDN w:val="0"/>
        <w:adjustRightInd w:val="0"/>
        <w:spacing w:line="480" w:lineRule="auto"/>
        <w:ind w:left="708"/>
        <w:jc w:val="both"/>
        <w:rPr>
          <w:rFonts w:ascii="Bookman Old Style" w:hAnsi="Bookman Old Style"/>
          <w:lang w:val="es-CL"/>
        </w:rPr>
      </w:pPr>
      <w:r w:rsidRPr="003871DB">
        <w:rPr>
          <w:rFonts w:ascii="Bookman Old Style" w:hAnsi="Bookman Old Style"/>
          <w:lang w:val="es-CL"/>
        </w:rPr>
        <w:lastRenderedPageBreak/>
        <w:t xml:space="preserve">1) Para agregar en el artículo 31 un nuevo inciso segundo: “En el caso de procesos de reforma o cambio constitucional que impliquen elección de cargos de representación popular, deberá elaborarse un padrón electoral especial de pueblos originarios, en la que se podrán inscribir únicamente quienes gocen de la calidad de indígena, conforme al artículo 2 la ley Nº19.253.  </w:t>
      </w:r>
    </w:p>
    <w:p w:rsidR="0095067F" w:rsidRPr="00811A91" w:rsidRDefault="003871DB" w:rsidP="003871DB">
      <w:pPr>
        <w:tabs>
          <w:tab w:val="left" w:pos="1985"/>
        </w:tabs>
        <w:autoSpaceDE w:val="0"/>
        <w:autoSpaceDN w:val="0"/>
        <w:adjustRightInd w:val="0"/>
        <w:spacing w:line="480" w:lineRule="auto"/>
        <w:ind w:left="708"/>
        <w:jc w:val="both"/>
        <w:rPr>
          <w:rFonts w:ascii="Bookman Old Style" w:hAnsi="Bookman Old Style"/>
          <w:lang w:val="es-CL"/>
        </w:rPr>
      </w:pPr>
      <w:r w:rsidRPr="003871DB">
        <w:rPr>
          <w:rFonts w:ascii="Bookman Old Style" w:hAnsi="Bookman Old Style"/>
          <w:lang w:val="es-CL"/>
        </w:rPr>
        <w:t>2) Para agregar en el artículo 6 un nuevo inciso penúltimo: “La inscripción en el padrón electoral especial señalado en el inciso segundo del artículo 31 de esta ley, se materializará mediante petición expresa del interesado y deberá ser formulada ante los organismos e instituciones señaladas en el inciso anterior.”</w:t>
      </w:r>
    </w:p>
    <w:p w:rsidR="0095067F" w:rsidRDefault="0095067F" w:rsidP="0095067F">
      <w:pPr>
        <w:spacing w:line="360" w:lineRule="auto"/>
        <w:jc w:val="center"/>
        <w:rPr>
          <w:rFonts w:ascii="Bookman Old Style" w:hAnsi="Bookman Old Style"/>
          <w:b/>
        </w:rPr>
      </w:pPr>
    </w:p>
    <w:p w:rsidR="001213F3" w:rsidRDefault="001213F3" w:rsidP="003871DB">
      <w:pPr>
        <w:spacing w:line="360" w:lineRule="auto"/>
        <w:rPr>
          <w:rFonts w:ascii="Bookman Old Style" w:hAnsi="Bookman Old Style"/>
          <w:b/>
        </w:rPr>
      </w:pPr>
    </w:p>
    <w:p w:rsidR="00FD3BC3" w:rsidRPr="0081375E" w:rsidRDefault="003871DB" w:rsidP="0081375E">
      <w:pPr>
        <w:spacing w:line="360" w:lineRule="auto"/>
        <w:rPr>
          <w:rFonts w:ascii="Bookman Old Style" w:hAnsi="Bookman Old Style"/>
          <w:b/>
        </w:rPr>
      </w:pPr>
      <w:r>
        <w:rPr>
          <w:rFonts w:ascii="Bookman Old Style" w:hAnsi="Bookman Old Style"/>
          <w:b/>
        </w:rPr>
        <w:t xml:space="preserve">H.D. SEBASTIÁN ÁLVAREZ                           H.D. ANDRÉS MOLINA </w:t>
      </w:r>
    </w:p>
    <w:sectPr w:rsidR="00FD3BC3" w:rsidRPr="0081375E">
      <w:headerReference w:type="even" r:id="rId9"/>
      <w:headerReference w:type="default" r:id="rId10"/>
      <w:footerReference w:type="default" r:id="rId11"/>
      <w:endnotePr>
        <w:numFmt w:val="decimal"/>
      </w:endnotePr>
      <w:pgSz w:w="11907" w:h="16839"/>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99" w:rsidRDefault="00AC4899" w:rsidP="0095067F">
      <w:r>
        <w:separator/>
      </w:r>
    </w:p>
  </w:endnote>
  <w:endnote w:type="continuationSeparator" w:id="0">
    <w:p w:rsidR="00AC4899" w:rsidRDefault="00AC4899" w:rsidP="0095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807704"/>
      <w:docPartObj>
        <w:docPartGallery w:val="Page Numbers (Bottom of Page)"/>
        <w:docPartUnique/>
      </w:docPartObj>
    </w:sdtPr>
    <w:sdtEndPr/>
    <w:sdtContent>
      <w:p w:rsidR="0081375E" w:rsidRDefault="0081375E">
        <w:pPr>
          <w:pStyle w:val="Piedepgina"/>
          <w:jc w:val="center"/>
        </w:pPr>
        <w:r>
          <w:fldChar w:fldCharType="begin"/>
        </w:r>
        <w:r>
          <w:instrText>PAGE   \* MERGEFORMAT</w:instrText>
        </w:r>
        <w:r>
          <w:fldChar w:fldCharType="separate"/>
        </w:r>
        <w:r w:rsidR="004C00F9">
          <w:rPr>
            <w:noProof/>
          </w:rPr>
          <w:t>1</w:t>
        </w:r>
        <w:r>
          <w:fldChar w:fldCharType="end"/>
        </w:r>
      </w:p>
    </w:sdtContent>
  </w:sdt>
  <w:p w:rsidR="00773A51" w:rsidRDefault="00AC48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99" w:rsidRDefault="00AC4899" w:rsidP="0095067F">
      <w:r>
        <w:separator/>
      </w:r>
    </w:p>
  </w:footnote>
  <w:footnote w:type="continuationSeparator" w:id="0">
    <w:p w:rsidR="00AC4899" w:rsidRDefault="00AC4899" w:rsidP="0095067F">
      <w:r>
        <w:continuationSeparator/>
      </w:r>
    </w:p>
  </w:footnote>
  <w:footnote w:id="1">
    <w:p w:rsidR="003871DB" w:rsidRDefault="003871DB" w:rsidP="003871DB">
      <w:pPr>
        <w:rPr>
          <w:sz w:val="20"/>
          <w:szCs w:val="20"/>
        </w:rPr>
      </w:pPr>
      <w:r>
        <w:rPr>
          <w:vertAlign w:val="superscript"/>
        </w:rPr>
        <w:footnoteRef/>
      </w:r>
      <w:r>
        <w:rPr>
          <w:sz w:val="20"/>
          <w:szCs w:val="20"/>
        </w:rPr>
        <w:t xml:space="preserve"> Fuentes, C &amp; Sánchez, M (2018). Asientos reservados para pueblos indígenas: Experiencia comparada. Serie Policy Papers. Centro de Estudios Interculturales e Indígenas. Disponible en </w:t>
      </w:r>
      <w:hyperlink r:id="rId1">
        <w:r>
          <w:rPr>
            <w:color w:val="1155CC"/>
            <w:sz w:val="20"/>
            <w:szCs w:val="20"/>
            <w:u w:val="single"/>
          </w:rPr>
          <w:t>https://www.ciir.cl/ciir_2019/wp-content/uploads/2018/07/policy-paper-UPP-n%C2%BA1-2018-1.pdf</w:t>
        </w:r>
      </w:hyperlink>
    </w:p>
  </w:footnote>
  <w:footnote w:id="2">
    <w:p w:rsidR="003871DB" w:rsidRDefault="003871DB" w:rsidP="003871DB">
      <w:pPr>
        <w:rPr>
          <w:sz w:val="20"/>
          <w:szCs w:val="20"/>
        </w:rPr>
      </w:pPr>
      <w:r>
        <w:rPr>
          <w:vertAlign w:val="superscript"/>
        </w:rPr>
        <w:footnoteRef/>
      </w:r>
      <w:r>
        <w:rPr>
          <w:sz w:val="20"/>
          <w:szCs w:val="20"/>
        </w:rPr>
        <w:t xml:space="preserve"> Reynolds, A. (2005). Reserved Seats in National Legislatures: A Research Note, Legislative Studies Quarterly, 30(2), 301-310.</w:t>
      </w:r>
    </w:p>
  </w:footnote>
  <w:footnote w:id="3">
    <w:p w:rsidR="003871DB" w:rsidRDefault="003871DB" w:rsidP="003871DB">
      <w:pPr>
        <w:rPr>
          <w:sz w:val="20"/>
          <w:szCs w:val="20"/>
        </w:rPr>
      </w:pPr>
      <w:r>
        <w:rPr>
          <w:vertAlign w:val="superscript"/>
        </w:rPr>
        <w:footnoteRef/>
      </w:r>
      <w:r>
        <w:rPr>
          <w:sz w:val="20"/>
          <w:szCs w:val="20"/>
        </w:rPr>
        <w:t xml:space="preserve"> Bird, K. (2014). Ethnic quotas and ethnic representation worldwide, International Political Science Review, 35(1) 12–26, citado por Hernández, R. (2019) en Escaños reservados para minorías étnicas: Experiencia extranjera. Asesoría Técnica Parlamentaria. BCN. Disponible en: </w:t>
      </w:r>
      <w:hyperlink r:id="rId2">
        <w:r>
          <w:rPr>
            <w:color w:val="1155CC"/>
            <w:sz w:val="20"/>
            <w:szCs w:val="20"/>
            <w:u w:val="single"/>
          </w:rPr>
          <w:t>https://www.bcn.cl/obtienearchivo?id=repositorio/10221/26928/1/SUP119118EscanosReservados.pdf</w:t>
        </w:r>
      </w:hyperlink>
      <w:r>
        <w:rPr>
          <w:sz w:val="20"/>
          <w:szCs w:val="20"/>
        </w:rPr>
        <w:t xml:space="preserve"> </w:t>
      </w:r>
    </w:p>
  </w:footnote>
  <w:footnote w:id="4">
    <w:p w:rsidR="003871DB" w:rsidRDefault="003871DB" w:rsidP="003871DB">
      <w:pPr>
        <w:rPr>
          <w:sz w:val="20"/>
          <w:szCs w:val="20"/>
        </w:rPr>
      </w:pPr>
      <w:r>
        <w:rPr>
          <w:vertAlign w:val="superscript"/>
        </w:rPr>
        <w:footnoteRef/>
      </w:r>
      <w:r>
        <w:rPr>
          <w:sz w:val="20"/>
          <w:szCs w:val="20"/>
        </w:rPr>
        <w:t xml:space="preserve"> INE (2017). Radiografía de género: Pueblos originarios en Chile 2017. Unidad de Estudios y Estadísticas de Género. Disponible en: </w:t>
      </w:r>
      <w:hyperlink r:id="rId3">
        <w:r>
          <w:rPr>
            <w:color w:val="1155CC"/>
            <w:sz w:val="20"/>
            <w:szCs w:val="20"/>
            <w:u w:val="single"/>
          </w:rPr>
          <w:t>https://historico-amu.ine.cl/genero/files/estadisticas/pdf/documentos/radiografia-de-genero-pueblos-originarios-chile2017.pdf</w:t>
        </w:r>
      </w:hyperlink>
    </w:p>
  </w:footnote>
  <w:footnote w:id="5">
    <w:p w:rsidR="00D328CE" w:rsidRPr="00D328CE" w:rsidRDefault="00D328CE" w:rsidP="00D328CE">
      <w:pPr>
        <w:pStyle w:val="Textonotapie"/>
        <w:jc w:val="both"/>
      </w:pPr>
      <w:r>
        <w:rPr>
          <w:rStyle w:val="Refdenotaalpie"/>
        </w:rPr>
        <w:footnoteRef/>
      </w:r>
      <w:r>
        <w:t xml:space="preserve"> Donoso, S. &amp; Palacios, C. (2018). Pueblos indígenas y reconocimiento constitucional: aportes para un debate. Temas de la Agenda Pública (UC). Disponible en: </w:t>
      </w:r>
      <w:hyperlink r:id="rId4" w:history="1">
        <w:r>
          <w:rPr>
            <w:rStyle w:val="Hipervnculo"/>
          </w:rPr>
          <w:t>https://politicaspublicas.uc.cl/wp-content/uploads/2018/03/PDF-Temas-103-Indigenas.pdf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43" w:rsidRDefault="0095067F">
    <w:pPr>
      <w:pStyle w:val="Encabezado"/>
    </w:pPr>
    <w:r>
      <w:rPr>
        <w:noProof/>
        <w:lang w:val="es-CL" w:eastAsia="es-CL"/>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37200" cy="2076450"/>
              <wp:effectExtent l="0" t="1343025" r="0" b="118110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5067F" w:rsidRDefault="0095067F" w:rsidP="009506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5" o:spid="_x0000_s1026" type="#_x0000_t202" style="position:absolute;margin-left:0;margin-top:0;width:436pt;height:16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" o:allowincell="f" filled="f" stroked="f">
              <v:stroke joinstyle="round"/>
              <o:lock v:ext="edit" shapetype="t"/>
              <v:textbox style="mso-fit-shape-to-text:t">
                <w:txbxContent>
                  <w:p w:rsidR="0095067F" w:rsidRDefault="0095067F" w:rsidP="009506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51" w:rsidRDefault="0095067F">
    <w:pPr>
      <w:pStyle w:val="Encabezado"/>
      <w:jc w:val="center"/>
      <w:rPr>
        <w:sz w:val="22"/>
      </w:rPr>
    </w:pPr>
    <w:r>
      <w:rPr>
        <w:noProof/>
        <w:lang w:val="es-CL" w:eastAsia="es-CL"/>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37200" cy="2076450"/>
              <wp:effectExtent l="0" t="1343025" r="0" b="11811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5067F" w:rsidRDefault="0095067F" w:rsidP="009506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4" o:spid="_x0000_s1027" type="#_x0000_t202" style="position:absolute;left:0;text-align:left;margin-left:0;margin-top:0;width:436pt;height:16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" o:allowincell="f" filled="f" stroked="f">
              <v:stroke joinstyle="round"/>
              <o:lock v:ext="edit" shapetype="t"/>
              <v:textbox style="mso-fit-shape-to-text:t">
                <w:txbxContent>
                  <w:p w:rsidR="0095067F" w:rsidRDefault="0095067F" w:rsidP="009506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7D5353">
      <w:rPr>
        <w:noProof/>
        <w:lang w:val="es-CL" w:eastAsia="es-CL"/>
      </w:rPr>
      <w:drawing>
        <wp:inline distT="0" distB="0" distL="0" distR="0" wp14:anchorId="435EE259" wp14:editId="2A1E3BF0">
          <wp:extent cx="834887" cy="834887"/>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val="SMDATA_16_YDRG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HAcAABwHAAAAAAAAAAAAAAAAAAA="/>
                      </a:ext>
                    </a:extLst>
                  </pic:cNvPicPr>
                </pic:nvPicPr>
                <pic:blipFill>
                  <a:blip r:embed="rId1"/>
                  <a:stretch>
                    <a:fillRect/>
                  </a:stretch>
                </pic:blipFill>
                <pic:spPr>
                  <a:xfrm>
                    <a:off x="0" y="0"/>
                    <a:ext cx="840720" cy="840720"/>
                  </a:xfrm>
                  <a:prstGeom prst="rect">
                    <a:avLst/>
                  </a:prstGeom>
                  <a:noFill/>
                  <a:ln w="12700">
                    <a:noFill/>
                  </a:ln>
                </pic:spPr>
              </pic:pic>
            </a:graphicData>
          </a:graphic>
        </wp:inline>
      </w:drawing>
    </w:r>
  </w:p>
  <w:p w:rsidR="00773A51" w:rsidRDefault="00AC4899">
    <w:pPr>
      <w:pStyle w:val="Encabezado"/>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96B"/>
    <w:multiLevelType w:val="hybridMultilevel"/>
    <w:tmpl w:val="C30AD56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88478A"/>
    <w:multiLevelType w:val="hybridMultilevel"/>
    <w:tmpl w:val="5D0E6814"/>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2"/>
    <w:rsid w:val="00070C9D"/>
    <w:rsid w:val="001213F3"/>
    <w:rsid w:val="001C4070"/>
    <w:rsid w:val="003871DB"/>
    <w:rsid w:val="003F7182"/>
    <w:rsid w:val="004C00F9"/>
    <w:rsid w:val="005D1A3B"/>
    <w:rsid w:val="006978D6"/>
    <w:rsid w:val="007D5353"/>
    <w:rsid w:val="0081375E"/>
    <w:rsid w:val="008A139E"/>
    <w:rsid w:val="00905303"/>
    <w:rsid w:val="0095067F"/>
    <w:rsid w:val="00962D1A"/>
    <w:rsid w:val="00991158"/>
    <w:rsid w:val="00A27A7B"/>
    <w:rsid w:val="00AC4899"/>
    <w:rsid w:val="00AF13E9"/>
    <w:rsid w:val="00D328CE"/>
    <w:rsid w:val="00FD3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B74AB-9235-45C5-A3DC-486D61DE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F"/>
    <w:pPr>
      <w:spacing w:after="0" w:line="240" w:lineRule="auto"/>
    </w:pPr>
    <w:rPr>
      <w:rFonts w:ascii="Calibri" w:eastAsia="Calibri" w:hAnsi="Calibri"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95067F"/>
    <w:pPr>
      <w:tabs>
        <w:tab w:val="center" w:pos="4419"/>
        <w:tab w:val="right" w:pos="8838"/>
      </w:tabs>
    </w:pPr>
  </w:style>
  <w:style w:type="character" w:customStyle="1" w:styleId="EncabezadoCar">
    <w:name w:val="Encabezado Car"/>
    <w:basedOn w:val="Fuentedeprrafopredeter"/>
    <w:link w:val="Encabezado"/>
    <w:rsid w:val="0095067F"/>
    <w:rPr>
      <w:rFonts w:ascii="Calibri" w:eastAsia="Calibri" w:hAnsi="Calibri" w:cs="Times New Roman"/>
      <w:sz w:val="24"/>
      <w:szCs w:val="24"/>
      <w:lang w:val="es-ES" w:eastAsia="zh-CN"/>
    </w:rPr>
  </w:style>
  <w:style w:type="paragraph" w:styleId="Piedepgina">
    <w:name w:val="footer"/>
    <w:basedOn w:val="Normal"/>
    <w:link w:val="PiedepginaCar"/>
    <w:uiPriority w:val="99"/>
    <w:qFormat/>
    <w:rsid w:val="0095067F"/>
    <w:pPr>
      <w:tabs>
        <w:tab w:val="center" w:pos="4419"/>
        <w:tab w:val="right" w:pos="8838"/>
      </w:tabs>
    </w:pPr>
  </w:style>
  <w:style w:type="character" w:customStyle="1" w:styleId="PiedepginaCar">
    <w:name w:val="Pie de página Car"/>
    <w:basedOn w:val="Fuentedeprrafopredeter"/>
    <w:link w:val="Piedepgina"/>
    <w:uiPriority w:val="99"/>
    <w:rsid w:val="0095067F"/>
    <w:rPr>
      <w:rFonts w:ascii="Calibri" w:eastAsia="Calibri" w:hAnsi="Calibri" w:cs="Times New Roman"/>
      <w:sz w:val="24"/>
      <w:szCs w:val="24"/>
      <w:lang w:val="es-ES" w:eastAsia="zh-CN"/>
    </w:rPr>
  </w:style>
  <w:style w:type="paragraph" w:styleId="Prrafodelista">
    <w:name w:val="List Paragraph"/>
    <w:basedOn w:val="Normal"/>
    <w:uiPriority w:val="34"/>
    <w:qFormat/>
    <w:rsid w:val="0095067F"/>
    <w:pPr>
      <w:ind w:left="720"/>
      <w:contextualSpacing/>
    </w:pPr>
  </w:style>
  <w:style w:type="paragraph" w:styleId="Textonotapie">
    <w:name w:val="footnote text"/>
    <w:basedOn w:val="Normal"/>
    <w:link w:val="TextonotapieCar"/>
    <w:uiPriority w:val="99"/>
    <w:qFormat/>
    <w:rsid w:val="0095067F"/>
    <w:rPr>
      <w:sz w:val="20"/>
      <w:szCs w:val="20"/>
    </w:rPr>
  </w:style>
  <w:style w:type="character" w:customStyle="1" w:styleId="TextonotapieCar">
    <w:name w:val="Texto nota pie Car"/>
    <w:basedOn w:val="Fuentedeprrafopredeter"/>
    <w:link w:val="Textonotapie"/>
    <w:uiPriority w:val="99"/>
    <w:rsid w:val="0095067F"/>
    <w:rPr>
      <w:rFonts w:ascii="Calibri" w:eastAsia="Calibri" w:hAnsi="Calibri" w:cs="Times New Roman"/>
      <w:sz w:val="20"/>
      <w:szCs w:val="20"/>
      <w:lang w:val="es-ES" w:eastAsia="zh-CN"/>
    </w:rPr>
  </w:style>
  <w:style w:type="character" w:styleId="Refdenotaalpie">
    <w:name w:val="footnote reference"/>
    <w:basedOn w:val="Fuentedeprrafopredeter"/>
    <w:uiPriority w:val="99"/>
    <w:rsid w:val="0095067F"/>
    <w:rPr>
      <w:vertAlign w:val="superscript"/>
    </w:rPr>
  </w:style>
  <w:style w:type="character" w:styleId="Hipervnculo">
    <w:name w:val="Hyperlink"/>
    <w:basedOn w:val="Fuentedeprrafopredeter"/>
    <w:rsid w:val="0095067F"/>
    <w:rPr>
      <w:color w:val="0563C1"/>
      <w:u w:val="single"/>
    </w:rPr>
  </w:style>
  <w:style w:type="paragraph" w:styleId="NormalWeb">
    <w:name w:val="Normal (Web)"/>
    <w:basedOn w:val="Normal"/>
    <w:uiPriority w:val="99"/>
    <w:semiHidden/>
    <w:unhideWhenUsed/>
    <w:rsid w:val="0095067F"/>
    <w:pPr>
      <w:spacing w:before="100" w:beforeAutospacing="1" w:after="100" w:afterAutospacing="1"/>
    </w:pPr>
    <w:rPr>
      <w:rFonts w:ascii="Times New Roman" w:eastAsiaTheme="minorEastAsia" w:hAnsi="Times New Roman"/>
      <w:lang w:val="es-CL" w:eastAsia="es-CL"/>
    </w:rPr>
  </w:style>
  <w:style w:type="paragraph" w:styleId="Textodeglobo">
    <w:name w:val="Balloon Text"/>
    <w:basedOn w:val="Normal"/>
    <w:link w:val="TextodegloboCar"/>
    <w:uiPriority w:val="99"/>
    <w:semiHidden/>
    <w:unhideWhenUsed/>
    <w:rsid w:val="00813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75E"/>
    <w:rPr>
      <w:rFonts w:ascii="Segoe UI" w:eastAsia="Calibri"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istorico-amu.ine.cl/genero/files/estadisticas/pdf/documentos/radiografia-de-genero-pueblos-originarios-chile2017.pdf" TargetMode="External"/><Relationship Id="rId2" Type="http://schemas.openxmlformats.org/officeDocument/2006/relationships/hyperlink" Target="https://www.bcn.cl/obtienearchivo?id=repositorio/10221/26928/1/SUP119118EscanosReservados.pdf" TargetMode="External"/><Relationship Id="rId1" Type="http://schemas.openxmlformats.org/officeDocument/2006/relationships/hyperlink" Target="https://www.ciir.cl/ciir_2019/wp-content/uploads/2018/07/policy-paper-UPP-n%C2%BA1-2018-1.pdf" TargetMode="External"/><Relationship Id="rId4" Type="http://schemas.openxmlformats.org/officeDocument/2006/relationships/hyperlink" Target="https://politicaspublicas.uc.cl/wp-content/uploads/2018/03/PDF-Temas-103-Indigena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B5D4-9938-4F7E-BD71-E18F873B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Alvarez</dc:creator>
  <cp:keywords/>
  <dc:description/>
  <cp:lastModifiedBy>Personal de Apoyo Oficina de Partes</cp:lastModifiedBy>
  <cp:revision>2</cp:revision>
  <cp:lastPrinted>2019-12-16T18:52:00Z</cp:lastPrinted>
  <dcterms:created xsi:type="dcterms:W3CDTF">2019-12-18T17:44:00Z</dcterms:created>
  <dcterms:modified xsi:type="dcterms:W3CDTF">2019-12-18T17:44:00Z</dcterms:modified>
</cp:coreProperties>
</file>