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97" w:rsidRPr="005B047D" w:rsidRDefault="00445997" w:rsidP="00445997">
      <w:pPr>
        <w:jc w:val="center"/>
        <w:rPr>
          <w:rFonts w:asciiTheme="majorHAnsi" w:eastAsia="Calibri" w:hAnsiTheme="majorHAnsi" w:cs="Calibri"/>
          <w:b/>
          <w:sz w:val="22"/>
          <w:szCs w:val="22"/>
          <w:highlight w:val="white"/>
        </w:rPr>
      </w:pPr>
      <w:r w:rsidRPr="005B047D">
        <w:rPr>
          <w:rFonts w:asciiTheme="majorHAnsi" w:eastAsia="Calibri" w:hAnsiTheme="majorHAnsi" w:cs="Calibri"/>
          <w:b/>
          <w:sz w:val="22"/>
          <w:szCs w:val="22"/>
          <w:highlight w:val="white"/>
          <w:u w:val="single"/>
        </w:rPr>
        <w:t>Proyecto que</w:t>
      </w:r>
      <w:r>
        <w:rPr>
          <w:rFonts w:asciiTheme="majorHAnsi" w:eastAsia="Calibri" w:hAnsiTheme="majorHAnsi" w:cs="Calibri"/>
          <w:b/>
          <w:sz w:val="22"/>
          <w:szCs w:val="22"/>
          <w:highlight w:val="white"/>
          <w:u w:val="single"/>
        </w:rPr>
        <w:t xml:space="preserve"> regula la exhibición y ejecución artística en los bienes nacionales de uso público.</w:t>
      </w:r>
      <w:r w:rsidRPr="005B047D">
        <w:rPr>
          <w:rFonts w:asciiTheme="majorHAnsi" w:eastAsia="Calibri" w:hAnsiTheme="majorHAnsi" w:cs="Calibri"/>
          <w:b/>
          <w:sz w:val="22"/>
          <w:szCs w:val="22"/>
          <w:highlight w:val="white"/>
          <w:u w:val="single"/>
        </w:rPr>
        <w:t xml:space="preserve"> </w:t>
      </w:r>
    </w:p>
    <w:p w:rsidR="00445997" w:rsidRPr="005B047D" w:rsidRDefault="00445997" w:rsidP="00445997">
      <w:pPr>
        <w:jc w:val="center"/>
        <w:rPr>
          <w:rFonts w:asciiTheme="majorHAnsi" w:eastAsia="Calibri" w:hAnsiTheme="majorHAnsi" w:cs="Calibri"/>
          <w:sz w:val="22"/>
          <w:szCs w:val="22"/>
          <w:highlight w:val="white"/>
        </w:rPr>
      </w:pPr>
      <w:r>
        <w:rPr>
          <w:rFonts w:asciiTheme="majorHAnsi" w:eastAsia="Calibri" w:hAnsiTheme="majorHAnsi" w:cs="Calibri"/>
          <w:sz w:val="22"/>
          <w:szCs w:val="22"/>
        </w:rPr>
        <w:t>Boletín 8.335-24</w:t>
      </w:r>
    </w:p>
    <w:p w:rsidR="00445997" w:rsidRPr="005B047D" w:rsidRDefault="00445997" w:rsidP="00445997">
      <w:pPr>
        <w:rPr>
          <w:rFonts w:asciiTheme="majorHAnsi" w:eastAsia="Calibri" w:hAnsiTheme="majorHAnsi" w:cs="Calibri"/>
          <w:sz w:val="22"/>
          <w:szCs w:val="22"/>
          <w:highlight w:val="white"/>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Origen del proyecto </w:t>
            </w:r>
          </w:p>
          <w:p w:rsidR="00445997" w:rsidRPr="005B047D" w:rsidRDefault="00445997" w:rsidP="00445997">
            <w:pPr>
              <w:tabs>
                <w:tab w:val="left" w:pos="7453"/>
              </w:tabs>
              <w:jc w:val="both"/>
              <w:rPr>
                <w:rFonts w:asciiTheme="majorHAnsi" w:eastAsia="Calibri" w:hAnsiTheme="majorHAnsi" w:cs="Calibri"/>
                <w:sz w:val="22"/>
                <w:szCs w:val="22"/>
              </w:rPr>
            </w:pPr>
          </w:p>
        </w:tc>
        <w:tc>
          <w:tcPr>
            <w:tcW w:w="4414" w:type="dxa"/>
          </w:tcPr>
          <w:p w:rsidR="00445997" w:rsidRPr="005B047D" w:rsidRDefault="00445997" w:rsidP="00445997">
            <w:pPr>
              <w:tabs>
                <w:tab w:val="left" w:pos="1507"/>
              </w:tabs>
              <w:jc w:val="both"/>
              <w:rPr>
                <w:rFonts w:asciiTheme="majorHAnsi" w:eastAsia="Calibri" w:hAnsiTheme="majorHAnsi" w:cs="Calibri"/>
                <w:sz w:val="22"/>
                <w:szCs w:val="22"/>
              </w:rPr>
            </w:pPr>
            <w:r w:rsidRPr="005B047D">
              <w:rPr>
                <w:rFonts w:asciiTheme="majorHAnsi" w:eastAsia="Calibri" w:hAnsiTheme="majorHAnsi" w:cs="Calibri"/>
                <w:sz w:val="22"/>
                <w:szCs w:val="22"/>
              </w:rPr>
              <w:t>M</w:t>
            </w:r>
            <w:r>
              <w:rPr>
                <w:rFonts w:asciiTheme="majorHAnsi" w:eastAsia="Calibri" w:hAnsiTheme="majorHAnsi" w:cs="Calibri"/>
                <w:sz w:val="22"/>
                <w:szCs w:val="22"/>
              </w:rPr>
              <w:t>ensaje (2013</w:t>
            </w:r>
            <w:r w:rsidRPr="005B047D">
              <w:rPr>
                <w:rFonts w:asciiTheme="majorHAnsi" w:eastAsia="Calibri" w:hAnsiTheme="majorHAnsi" w:cs="Calibri"/>
                <w:sz w:val="22"/>
                <w:szCs w:val="22"/>
              </w:rPr>
              <w:t>)</w:t>
            </w:r>
            <w:r>
              <w:rPr>
                <w:rFonts w:asciiTheme="majorHAnsi" w:eastAsia="Calibri" w:hAnsiTheme="majorHAnsi" w:cs="Calibri"/>
                <w:sz w:val="22"/>
                <w:szCs w:val="22"/>
              </w:rPr>
              <w:t xml:space="preserve"> </w:t>
            </w:r>
          </w:p>
        </w:tc>
      </w:tr>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Trámite legislativo </w:t>
            </w:r>
          </w:p>
        </w:tc>
        <w:tc>
          <w:tcPr>
            <w:tcW w:w="4414" w:type="dxa"/>
          </w:tcPr>
          <w:p w:rsidR="00445997"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Senado, </w:t>
            </w:r>
            <w:r>
              <w:rPr>
                <w:rFonts w:asciiTheme="majorHAnsi" w:eastAsia="Calibri" w:hAnsiTheme="majorHAnsi" w:cs="Calibri"/>
                <w:sz w:val="22"/>
                <w:szCs w:val="22"/>
              </w:rPr>
              <w:t>Segundo</w:t>
            </w:r>
            <w:r w:rsidRPr="005B047D">
              <w:rPr>
                <w:rFonts w:asciiTheme="majorHAnsi" w:eastAsia="Calibri" w:hAnsiTheme="majorHAnsi" w:cs="Calibri"/>
                <w:sz w:val="22"/>
                <w:szCs w:val="22"/>
              </w:rPr>
              <w:t xml:space="preserve"> Tramite Constitucional </w:t>
            </w:r>
            <w:r>
              <w:rPr>
                <w:rFonts w:asciiTheme="majorHAnsi" w:eastAsia="Calibri" w:hAnsiTheme="majorHAnsi" w:cs="Calibri"/>
                <w:sz w:val="22"/>
                <w:szCs w:val="22"/>
              </w:rPr>
              <w:t>.</w:t>
            </w:r>
          </w:p>
          <w:p w:rsidR="00445997" w:rsidRPr="005B047D" w:rsidRDefault="00445997" w:rsidP="00445997">
            <w:pPr>
              <w:tabs>
                <w:tab w:val="left" w:pos="7453"/>
              </w:tabs>
              <w:jc w:val="both"/>
              <w:rPr>
                <w:rFonts w:asciiTheme="majorHAnsi" w:eastAsia="Calibri" w:hAnsiTheme="majorHAnsi" w:cs="Calibri"/>
                <w:sz w:val="22"/>
                <w:szCs w:val="22"/>
              </w:rPr>
            </w:pPr>
          </w:p>
        </w:tc>
      </w:tr>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Informe</w:t>
            </w:r>
          </w:p>
        </w:tc>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Comisión </w:t>
            </w:r>
            <w:r>
              <w:rPr>
                <w:rFonts w:asciiTheme="majorHAnsi" w:eastAsia="Calibri" w:hAnsiTheme="majorHAnsi" w:cs="Calibri"/>
                <w:sz w:val="22"/>
                <w:szCs w:val="22"/>
              </w:rPr>
              <w:t xml:space="preserve">de Educación y Cultura del año 2014 (1er informe 2014, aprobado 4x0) </w:t>
            </w:r>
          </w:p>
        </w:tc>
      </w:tr>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Quórum</w:t>
            </w:r>
          </w:p>
        </w:tc>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LOC y Simple</w:t>
            </w:r>
          </w:p>
        </w:tc>
      </w:tr>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Urgencia</w:t>
            </w:r>
          </w:p>
        </w:tc>
        <w:tc>
          <w:tcPr>
            <w:tcW w:w="4414" w:type="dxa"/>
          </w:tcPr>
          <w:p w:rsidR="00445997" w:rsidRDefault="00445997" w:rsidP="00445997">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Simple</w:t>
            </w:r>
          </w:p>
        </w:tc>
      </w:tr>
      <w:tr w:rsidR="00445997" w:rsidRPr="005B047D" w:rsidTr="00445997">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Forma de discusión</w:t>
            </w:r>
          </w:p>
        </w:tc>
        <w:tc>
          <w:tcPr>
            <w:tcW w:w="4414" w:type="dxa"/>
          </w:tcPr>
          <w:p w:rsidR="00445997" w:rsidRPr="005B047D" w:rsidRDefault="00445997" w:rsidP="00445997">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En </w:t>
            </w:r>
            <w:r>
              <w:rPr>
                <w:rFonts w:asciiTheme="majorHAnsi" w:eastAsia="Calibri" w:hAnsiTheme="majorHAnsi" w:cs="Calibri"/>
                <w:sz w:val="22"/>
                <w:szCs w:val="22"/>
              </w:rPr>
              <w:t>particular</w:t>
            </w:r>
          </w:p>
        </w:tc>
      </w:tr>
    </w:tbl>
    <w:p w:rsidR="00445997" w:rsidRPr="005936EB" w:rsidRDefault="00445997" w:rsidP="00445997">
      <w:pPr>
        <w:widowControl w:val="0"/>
        <w:autoSpaceDE w:val="0"/>
        <w:autoSpaceDN w:val="0"/>
        <w:adjustRightInd w:val="0"/>
        <w:spacing w:line="280" w:lineRule="atLeast"/>
        <w:jc w:val="both"/>
        <w:rPr>
          <w:rFonts w:asciiTheme="majorHAnsi" w:hAnsiTheme="majorHAnsi" w:cs="Times"/>
          <w:sz w:val="22"/>
          <w:szCs w:val="22"/>
          <w:lang w:val="en-US"/>
        </w:rPr>
      </w:pPr>
      <w:r w:rsidRPr="005936EB">
        <w:rPr>
          <w:rFonts w:asciiTheme="majorHAnsi" w:hAnsiTheme="majorHAnsi" w:cs="Times"/>
          <w:sz w:val="22"/>
          <w:szCs w:val="22"/>
          <w:lang w:val="en-US"/>
        </w:rPr>
        <w:t xml:space="preserve"> </w:t>
      </w:r>
      <w:r w:rsidRPr="005936EB">
        <w:rPr>
          <w:rFonts w:asciiTheme="majorHAnsi" w:hAnsiTheme="majorHAnsi" w:cs="Times"/>
          <w:noProof/>
          <w:sz w:val="22"/>
          <w:szCs w:val="22"/>
          <w:lang w:val="en-US"/>
        </w:rPr>
        <w:drawing>
          <wp:inline distT="0" distB="0" distL="0" distR="0" wp14:anchorId="0AE5538B" wp14:editId="1AC2A216">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16FDB" w:rsidRDefault="00445997" w:rsidP="00445997">
      <w:pPr>
        <w:jc w:val="both"/>
        <w:rPr>
          <w:rFonts w:asciiTheme="majorHAnsi" w:hAnsiTheme="majorHAnsi"/>
          <w:sz w:val="22"/>
          <w:szCs w:val="22"/>
        </w:rPr>
      </w:pPr>
      <w:r w:rsidRPr="00445997">
        <w:rPr>
          <w:rFonts w:asciiTheme="majorHAnsi" w:hAnsiTheme="majorHAnsi"/>
          <w:b/>
          <w:sz w:val="22"/>
          <w:szCs w:val="22"/>
          <w:u w:val="single"/>
        </w:rPr>
        <w:t>Objetivo del proyecto</w:t>
      </w:r>
      <w:r w:rsidRPr="00445997">
        <w:rPr>
          <w:rFonts w:asciiTheme="majorHAnsi" w:hAnsiTheme="majorHAnsi"/>
          <w:sz w:val="22"/>
          <w:szCs w:val="22"/>
        </w:rPr>
        <w:t xml:space="preserve">: </w:t>
      </w:r>
    </w:p>
    <w:p w:rsidR="00445997" w:rsidRPr="00445997" w:rsidRDefault="00445997" w:rsidP="00445997">
      <w:pPr>
        <w:jc w:val="both"/>
        <w:rPr>
          <w:rFonts w:asciiTheme="majorHAnsi" w:hAnsiTheme="majorHAnsi"/>
          <w:sz w:val="22"/>
          <w:szCs w:val="22"/>
        </w:rPr>
      </w:pPr>
    </w:p>
    <w:p w:rsidR="00445997" w:rsidRPr="00445997" w:rsidRDefault="00445997" w:rsidP="00445997">
      <w:pPr>
        <w:tabs>
          <w:tab w:val="left" w:pos="2835"/>
        </w:tabs>
        <w:jc w:val="both"/>
        <w:rPr>
          <w:rFonts w:asciiTheme="majorHAnsi" w:hAnsiTheme="majorHAnsi" w:cs="Arial"/>
          <w:sz w:val="22"/>
          <w:szCs w:val="22"/>
        </w:rPr>
      </w:pPr>
      <w:r w:rsidRPr="00445997">
        <w:rPr>
          <w:rFonts w:asciiTheme="majorHAnsi" w:hAnsiTheme="majorHAnsi" w:cs="Arial"/>
          <w:sz w:val="22"/>
          <w:szCs w:val="22"/>
        </w:rPr>
        <w:t>Propiciar ciertas condiciones que permitan a los artistas populares hacer uso del espacio público con dignidad, ofreciendo una alternativa de solución al dilatado conflicto que han tenido con los administradores de los espacios públicos, a fin de lograr un equilibrio donde, el uso de dichos espacios permita una convivencia armónica y de mutuo beneficio entre el desarrollo de las distintas expresiones artísticas y todos los demás agentes de la sociedad.</w:t>
      </w:r>
    </w:p>
    <w:p w:rsidR="00445997" w:rsidRDefault="00445997"/>
    <w:p w:rsidR="0000544F" w:rsidRPr="0000544F" w:rsidRDefault="0000544F">
      <w:pPr>
        <w:rPr>
          <w:rFonts w:asciiTheme="majorHAnsi" w:hAnsiTheme="majorHAnsi"/>
          <w:b/>
          <w:sz w:val="22"/>
          <w:szCs w:val="22"/>
          <w:u w:val="single"/>
        </w:rPr>
      </w:pPr>
      <w:r w:rsidRPr="0000544F">
        <w:rPr>
          <w:rFonts w:asciiTheme="majorHAnsi" w:hAnsiTheme="majorHAnsi"/>
          <w:b/>
          <w:sz w:val="22"/>
          <w:szCs w:val="22"/>
          <w:u w:val="single"/>
        </w:rPr>
        <w:t>El proyecto:</w:t>
      </w:r>
    </w:p>
    <w:p w:rsidR="0000544F" w:rsidRDefault="0000544F"/>
    <w:p w:rsidR="0000544F" w:rsidRDefault="0000544F" w:rsidP="0000544F">
      <w:pPr>
        <w:tabs>
          <w:tab w:val="left" w:pos="2835"/>
        </w:tabs>
        <w:jc w:val="both"/>
        <w:rPr>
          <w:rFonts w:asciiTheme="majorHAnsi" w:hAnsiTheme="majorHAnsi" w:cs="Arial"/>
          <w:sz w:val="22"/>
          <w:szCs w:val="22"/>
        </w:rPr>
      </w:pPr>
      <w:r>
        <w:rPr>
          <w:rFonts w:asciiTheme="majorHAnsi" w:hAnsiTheme="majorHAnsi" w:cs="Arial"/>
          <w:sz w:val="22"/>
          <w:szCs w:val="22"/>
        </w:rPr>
        <w:t>Para lograr el objetivo declarado en el artículo 1 de “fomentar la creación o interpretación artísticas que se exhibe en bienes nacionales de uso público”</w:t>
      </w:r>
      <w:r w:rsidR="00187FE5">
        <w:rPr>
          <w:rFonts w:asciiTheme="majorHAnsi" w:hAnsiTheme="majorHAnsi" w:cs="Arial"/>
          <w:sz w:val="22"/>
          <w:szCs w:val="22"/>
        </w:rPr>
        <w:t xml:space="preserve"> </w:t>
      </w:r>
      <w:r w:rsidR="00187FE5" w:rsidRPr="00187FE5">
        <w:rPr>
          <w:rFonts w:asciiTheme="majorHAnsi" w:hAnsiTheme="majorHAnsi" w:cs="Arial"/>
          <w:b/>
          <w:sz w:val="22"/>
          <w:szCs w:val="22"/>
        </w:rPr>
        <w:t>(artículo 1)</w:t>
      </w:r>
      <w:r>
        <w:rPr>
          <w:rFonts w:asciiTheme="majorHAnsi" w:hAnsiTheme="majorHAnsi" w:cs="Arial"/>
          <w:sz w:val="22"/>
          <w:szCs w:val="22"/>
        </w:rPr>
        <w:t>, el proyecto concretamente:</w:t>
      </w:r>
    </w:p>
    <w:p w:rsidR="0000544F" w:rsidRDefault="0000544F" w:rsidP="0000544F">
      <w:pPr>
        <w:tabs>
          <w:tab w:val="left" w:pos="2835"/>
        </w:tabs>
        <w:jc w:val="both"/>
        <w:rPr>
          <w:rFonts w:asciiTheme="majorHAnsi" w:hAnsiTheme="majorHAnsi" w:cs="Arial"/>
          <w:sz w:val="22"/>
          <w:szCs w:val="22"/>
        </w:rPr>
      </w:pPr>
    </w:p>
    <w:p w:rsidR="00216C2E" w:rsidRPr="00216C2E" w:rsidRDefault="0000544F" w:rsidP="00216C2E">
      <w:pPr>
        <w:pStyle w:val="ListParagraph"/>
        <w:numPr>
          <w:ilvl w:val="0"/>
          <w:numId w:val="1"/>
        </w:numPr>
        <w:tabs>
          <w:tab w:val="left" w:pos="2835"/>
        </w:tabs>
        <w:jc w:val="both"/>
        <w:rPr>
          <w:rFonts w:asciiTheme="majorHAnsi" w:hAnsiTheme="majorHAnsi" w:cs="Arial"/>
          <w:sz w:val="22"/>
          <w:szCs w:val="22"/>
        </w:rPr>
      </w:pPr>
      <w:r w:rsidRPr="00216C2E">
        <w:rPr>
          <w:rFonts w:asciiTheme="majorHAnsi" w:hAnsiTheme="majorHAnsi" w:cs="Arial"/>
          <w:sz w:val="22"/>
          <w:szCs w:val="22"/>
        </w:rPr>
        <w:t>Consagrar</w:t>
      </w:r>
      <w:r w:rsidR="00187FE5" w:rsidRPr="00216C2E">
        <w:rPr>
          <w:rFonts w:asciiTheme="majorHAnsi" w:hAnsiTheme="majorHAnsi" w:cs="Arial"/>
          <w:sz w:val="22"/>
          <w:szCs w:val="22"/>
        </w:rPr>
        <w:t xml:space="preserve"> lo que se va a entender por ”</w:t>
      </w:r>
      <w:r w:rsidR="00187FE5" w:rsidRPr="00216C2E">
        <w:rPr>
          <w:rFonts w:asciiTheme="majorHAnsi" w:hAnsiTheme="majorHAnsi" w:cs="Arial"/>
          <w:sz w:val="22"/>
          <w:szCs w:val="22"/>
          <w:u w:val="single"/>
        </w:rPr>
        <w:t>creaciones o interpretaciones artísticas</w:t>
      </w:r>
      <w:r w:rsidR="00187FE5" w:rsidRPr="00216C2E">
        <w:rPr>
          <w:rFonts w:asciiTheme="majorHAnsi" w:hAnsiTheme="majorHAnsi" w:cs="Arial"/>
          <w:sz w:val="22"/>
          <w:szCs w:val="22"/>
        </w:rPr>
        <w:t xml:space="preserve">” </w:t>
      </w:r>
      <w:r w:rsidR="00187FE5" w:rsidRPr="00216C2E">
        <w:rPr>
          <w:rFonts w:asciiTheme="majorHAnsi" w:hAnsiTheme="majorHAnsi" w:cs="Arial"/>
          <w:b/>
          <w:sz w:val="22"/>
          <w:szCs w:val="22"/>
        </w:rPr>
        <w:t>(artículo 2)</w:t>
      </w:r>
      <w:r w:rsidRPr="00216C2E">
        <w:rPr>
          <w:rFonts w:asciiTheme="majorHAnsi" w:hAnsiTheme="majorHAnsi" w:cs="Arial"/>
          <w:sz w:val="22"/>
          <w:szCs w:val="22"/>
        </w:rPr>
        <w:t>,</w:t>
      </w:r>
      <w:r w:rsidR="00187FE5" w:rsidRPr="00216C2E">
        <w:rPr>
          <w:rFonts w:asciiTheme="majorHAnsi" w:hAnsiTheme="majorHAnsi" w:cs="Arial"/>
          <w:sz w:val="22"/>
          <w:szCs w:val="22"/>
        </w:rPr>
        <w:t xml:space="preserve"> y por “</w:t>
      </w:r>
      <w:r w:rsidR="00187FE5" w:rsidRPr="00216C2E">
        <w:rPr>
          <w:rFonts w:asciiTheme="majorHAnsi" w:hAnsiTheme="majorHAnsi" w:cs="Arial"/>
          <w:sz w:val="22"/>
          <w:szCs w:val="22"/>
          <w:u w:val="single"/>
        </w:rPr>
        <w:t xml:space="preserve">artistas </w:t>
      </w:r>
      <w:r w:rsidR="00216C2E" w:rsidRPr="00216C2E">
        <w:rPr>
          <w:rFonts w:asciiTheme="majorHAnsi" w:hAnsiTheme="majorHAnsi" w:cs="Arial"/>
          <w:sz w:val="22"/>
          <w:szCs w:val="22"/>
          <w:u w:val="single"/>
        </w:rPr>
        <w:t>populares</w:t>
      </w:r>
      <w:r w:rsidR="00187FE5" w:rsidRPr="00216C2E">
        <w:rPr>
          <w:rFonts w:asciiTheme="majorHAnsi" w:hAnsiTheme="majorHAnsi" w:cs="Arial"/>
          <w:sz w:val="22"/>
          <w:szCs w:val="22"/>
        </w:rPr>
        <w:t>”</w:t>
      </w:r>
      <w:r w:rsidR="00216C2E" w:rsidRPr="00216C2E">
        <w:rPr>
          <w:rFonts w:asciiTheme="majorHAnsi" w:hAnsiTheme="majorHAnsi" w:cs="Arial"/>
          <w:sz w:val="22"/>
          <w:szCs w:val="22"/>
        </w:rPr>
        <w:t xml:space="preserve"> </w:t>
      </w:r>
      <w:r w:rsidR="00216C2E" w:rsidRPr="00216C2E">
        <w:rPr>
          <w:rFonts w:asciiTheme="majorHAnsi" w:hAnsiTheme="majorHAnsi" w:cs="Arial"/>
          <w:b/>
          <w:sz w:val="22"/>
          <w:szCs w:val="22"/>
        </w:rPr>
        <w:t>(artículo 3)</w:t>
      </w:r>
      <w:r w:rsidR="00216C2E" w:rsidRPr="00216C2E">
        <w:rPr>
          <w:rFonts w:asciiTheme="majorHAnsi" w:hAnsiTheme="majorHAnsi" w:cs="Arial"/>
          <w:sz w:val="22"/>
          <w:szCs w:val="22"/>
        </w:rPr>
        <w:t>, enunciando</w:t>
      </w:r>
      <w:r w:rsidRPr="00216C2E">
        <w:rPr>
          <w:rFonts w:asciiTheme="majorHAnsi" w:hAnsiTheme="majorHAnsi" w:cs="Arial"/>
          <w:sz w:val="22"/>
          <w:szCs w:val="22"/>
        </w:rPr>
        <w:t xml:space="preserve"> de manera no taxativa, l</w:t>
      </w:r>
      <w:r w:rsidR="00216C2E" w:rsidRPr="00216C2E">
        <w:rPr>
          <w:rFonts w:asciiTheme="majorHAnsi" w:hAnsiTheme="majorHAnsi" w:cs="Arial"/>
          <w:sz w:val="22"/>
          <w:szCs w:val="22"/>
        </w:rPr>
        <w:t>as disciplinas artísticas que caben en esta definición.</w:t>
      </w:r>
    </w:p>
    <w:p w:rsidR="00216C2E" w:rsidRDefault="00216C2E" w:rsidP="00216C2E">
      <w:pPr>
        <w:pStyle w:val="ListParagraph"/>
        <w:numPr>
          <w:ilvl w:val="0"/>
          <w:numId w:val="1"/>
        </w:numPr>
        <w:tabs>
          <w:tab w:val="left" w:pos="2835"/>
        </w:tabs>
        <w:jc w:val="both"/>
        <w:rPr>
          <w:rFonts w:asciiTheme="majorHAnsi" w:hAnsiTheme="majorHAnsi" w:cs="Arial"/>
          <w:sz w:val="22"/>
          <w:szCs w:val="22"/>
        </w:rPr>
      </w:pPr>
      <w:r>
        <w:rPr>
          <w:rFonts w:asciiTheme="majorHAnsi" w:hAnsiTheme="majorHAnsi" w:cs="Arial"/>
          <w:sz w:val="22"/>
          <w:szCs w:val="22"/>
        </w:rPr>
        <w:t xml:space="preserve">Se establece  el </w:t>
      </w:r>
      <w:r w:rsidRPr="00216C2E">
        <w:rPr>
          <w:rFonts w:asciiTheme="majorHAnsi" w:hAnsiTheme="majorHAnsi" w:cs="Arial"/>
          <w:sz w:val="22"/>
          <w:szCs w:val="22"/>
          <w:u w:val="single"/>
        </w:rPr>
        <w:t>Registro Nacional de Artistas Populares</w:t>
      </w:r>
      <w:r>
        <w:rPr>
          <w:rFonts w:asciiTheme="majorHAnsi" w:hAnsiTheme="majorHAnsi" w:cs="Arial"/>
          <w:sz w:val="22"/>
          <w:szCs w:val="22"/>
        </w:rPr>
        <w:t xml:space="preserve"> que lleva el Consejo Nacional de la Cultura y las Artes como un elemento que puede ser considerado por los distintos municipios al administrar los bienes nacionales de uso público; a la vez que se le asigna  a dicho Consejo el deber de llevar un registro de la nómina de las personas inscritas </w:t>
      </w:r>
      <w:r w:rsidRPr="00216C2E">
        <w:rPr>
          <w:rFonts w:asciiTheme="majorHAnsi" w:hAnsiTheme="majorHAnsi" w:cs="Arial"/>
          <w:b/>
          <w:sz w:val="22"/>
          <w:szCs w:val="22"/>
        </w:rPr>
        <w:t>(artículo 4).</w:t>
      </w:r>
    </w:p>
    <w:p w:rsidR="0000544F" w:rsidRDefault="0000544F" w:rsidP="00216C2E">
      <w:pPr>
        <w:pStyle w:val="ListParagraph"/>
        <w:numPr>
          <w:ilvl w:val="0"/>
          <w:numId w:val="1"/>
        </w:numPr>
        <w:tabs>
          <w:tab w:val="left" w:pos="2835"/>
        </w:tabs>
        <w:jc w:val="both"/>
        <w:rPr>
          <w:rFonts w:asciiTheme="majorHAnsi" w:hAnsiTheme="majorHAnsi" w:cs="Arial"/>
          <w:sz w:val="22"/>
          <w:szCs w:val="22"/>
        </w:rPr>
      </w:pPr>
      <w:r w:rsidRPr="00216C2E">
        <w:rPr>
          <w:rFonts w:asciiTheme="majorHAnsi" w:hAnsiTheme="majorHAnsi" w:cs="Arial"/>
          <w:sz w:val="22"/>
          <w:szCs w:val="22"/>
        </w:rPr>
        <w:t xml:space="preserve">Establece, a su vez, la obligación de las Municipalidades de dictar una </w:t>
      </w:r>
      <w:r w:rsidRPr="00B45E13">
        <w:rPr>
          <w:rFonts w:asciiTheme="majorHAnsi" w:hAnsiTheme="majorHAnsi" w:cs="Arial"/>
          <w:sz w:val="22"/>
          <w:szCs w:val="22"/>
          <w:u w:val="single"/>
        </w:rPr>
        <w:t>ordenanza especial</w:t>
      </w:r>
      <w:r w:rsidRPr="00216C2E">
        <w:rPr>
          <w:rFonts w:asciiTheme="majorHAnsi" w:hAnsiTheme="majorHAnsi" w:cs="Arial"/>
          <w:sz w:val="22"/>
          <w:szCs w:val="22"/>
        </w:rPr>
        <w:t xml:space="preserve"> </w:t>
      </w:r>
      <w:r w:rsidR="00B45E13" w:rsidRPr="00B45E13">
        <w:rPr>
          <w:rFonts w:asciiTheme="majorHAnsi" w:hAnsiTheme="majorHAnsi" w:cs="Arial"/>
          <w:b/>
          <w:sz w:val="22"/>
          <w:szCs w:val="22"/>
        </w:rPr>
        <w:t>(artículo 5)</w:t>
      </w:r>
      <w:r w:rsidR="00B45E13">
        <w:rPr>
          <w:rFonts w:asciiTheme="majorHAnsi" w:hAnsiTheme="majorHAnsi" w:cs="Arial"/>
          <w:sz w:val="22"/>
          <w:szCs w:val="22"/>
        </w:rPr>
        <w:t xml:space="preserve"> </w:t>
      </w:r>
      <w:r w:rsidRPr="00216C2E">
        <w:rPr>
          <w:rFonts w:asciiTheme="majorHAnsi" w:hAnsiTheme="majorHAnsi" w:cs="Arial"/>
          <w:sz w:val="22"/>
          <w:szCs w:val="22"/>
        </w:rPr>
        <w:t xml:space="preserve">a fin de regular el funcionamiento y requisitos para la exhibición y ejecución de las actividades artísticas y culturales desarrolladas por los artistas populares.  </w:t>
      </w:r>
      <w:r w:rsidR="00B45E13">
        <w:rPr>
          <w:rFonts w:asciiTheme="majorHAnsi" w:hAnsiTheme="majorHAnsi" w:cs="Arial"/>
          <w:sz w:val="22"/>
          <w:szCs w:val="22"/>
        </w:rPr>
        <w:t xml:space="preserve">Dichas ordenanzas deberán incorporar </w:t>
      </w:r>
      <w:r w:rsidR="00B45E13" w:rsidRPr="00B45E13">
        <w:rPr>
          <w:rFonts w:asciiTheme="majorHAnsi" w:hAnsiTheme="majorHAnsi" w:cs="Arial"/>
          <w:b/>
          <w:sz w:val="22"/>
          <w:szCs w:val="22"/>
        </w:rPr>
        <w:t>(artículo 6):</w:t>
      </w:r>
      <w:r w:rsidR="00B45E13">
        <w:rPr>
          <w:rFonts w:asciiTheme="majorHAnsi" w:hAnsiTheme="majorHAnsi" w:cs="Arial"/>
          <w:sz w:val="22"/>
          <w:szCs w:val="22"/>
        </w:rPr>
        <w:t xml:space="preserve"> </w:t>
      </w:r>
    </w:p>
    <w:p w:rsidR="00C20DC6" w:rsidRDefault="00B45E13" w:rsidP="00B45E13">
      <w:pPr>
        <w:pStyle w:val="ListParagraph"/>
        <w:numPr>
          <w:ilvl w:val="0"/>
          <w:numId w:val="2"/>
        </w:numPr>
        <w:tabs>
          <w:tab w:val="left" w:pos="2835"/>
        </w:tabs>
        <w:ind w:left="1418"/>
        <w:jc w:val="both"/>
        <w:rPr>
          <w:rFonts w:asciiTheme="majorHAnsi" w:hAnsiTheme="majorHAnsi" w:cs="Arial"/>
          <w:sz w:val="22"/>
          <w:szCs w:val="22"/>
        </w:rPr>
      </w:pPr>
      <w:r w:rsidRPr="00C20DC6">
        <w:rPr>
          <w:rFonts w:asciiTheme="majorHAnsi" w:hAnsiTheme="majorHAnsi" w:cs="Arial"/>
          <w:sz w:val="22"/>
          <w:szCs w:val="22"/>
        </w:rPr>
        <w:t>La creación de permisos para los artistas populares (que podrán ser gratuitos o por un monto no superior a 1 UTM).</w:t>
      </w:r>
      <w:r w:rsidR="00FF0E47" w:rsidRPr="00C20DC6">
        <w:rPr>
          <w:rFonts w:asciiTheme="majorHAnsi" w:hAnsiTheme="majorHAnsi" w:cs="Arial"/>
          <w:sz w:val="22"/>
          <w:szCs w:val="22"/>
        </w:rPr>
        <w:t xml:space="preserve"> </w:t>
      </w:r>
    </w:p>
    <w:p w:rsidR="00B45E13" w:rsidRPr="00C20DC6" w:rsidRDefault="00B45E13" w:rsidP="00B45E13">
      <w:pPr>
        <w:pStyle w:val="ListParagraph"/>
        <w:numPr>
          <w:ilvl w:val="0"/>
          <w:numId w:val="2"/>
        </w:numPr>
        <w:tabs>
          <w:tab w:val="left" w:pos="2835"/>
        </w:tabs>
        <w:ind w:left="1418"/>
        <w:jc w:val="both"/>
        <w:rPr>
          <w:rFonts w:asciiTheme="majorHAnsi" w:hAnsiTheme="majorHAnsi" w:cs="Arial"/>
          <w:sz w:val="22"/>
          <w:szCs w:val="22"/>
        </w:rPr>
      </w:pPr>
      <w:r w:rsidRPr="00C20DC6">
        <w:rPr>
          <w:rFonts w:asciiTheme="majorHAnsi" w:hAnsiTheme="majorHAnsi" w:cs="Arial"/>
          <w:sz w:val="22"/>
          <w:szCs w:val="22"/>
        </w:rPr>
        <w:t>Individualizar los bienes de uso público en que la municipalidad otorgará permisos a los artistas populares y establecer las limitaciones a las que éstos deben ajustarse, conforme a la normativa vigente.</w:t>
      </w:r>
    </w:p>
    <w:p w:rsidR="00FF0E47" w:rsidRPr="00FF0E47" w:rsidRDefault="00216C2E" w:rsidP="00FF0E47">
      <w:pPr>
        <w:pStyle w:val="ListParagraph"/>
        <w:numPr>
          <w:ilvl w:val="0"/>
          <w:numId w:val="2"/>
        </w:numPr>
        <w:tabs>
          <w:tab w:val="left" w:pos="2835"/>
        </w:tabs>
        <w:ind w:left="1418"/>
        <w:jc w:val="both"/>
        <w:rPr>
          <w:rFonts w:asciiTheme="majorHAnsi" w:hAnsiTheme="majorHAnsi" w:cs="Arial"/>
          <w:b/>
          <w:sz w:val="22"/>
          <w:szCs w:val="22"/>
        </w:rPr>
      </w:pPr>
      <w:r w:rsidRPr="00B45E13">
        <w:rPr>
          <w:rFonts w:asciiTheme="majorHAnsi" w:hAnsiTheme="majorHAnsi" w:cs="Arial"/>
          <w:sz w:val="22"/>
          <w:szCs w:val="22"/>
        </w:rPr>
        <w:t xml:space="preserve">Singularizar el o los bienes municipales o nacionales de uso público, en los que la municipalidad otorgará permisos a los artistas populares, debiendo aquellos </w:t>
      </w:r>
      <w:r w:rsidRPr="00B45E13">
        <w:rPr>
          <w:rFonts w:asciiTheme="majorHAnsi" w:hAnsiTheme="majorHAnsi" w:cs="Arial"/>
          <w:sz w:val="22"/>
          <w:szCs w:val="22"/>
        </w:rPr>
        <w:lastRenderedPageBreak/>
        <w:t xml:space="preserve">lugares, espacios y horarios donde se congregue mayor confluencia de personas, indicando </w:t>
      </w:r>
      <w:r w:rsidR="00FF0E47">
        <w:rPr>
          <w:rFonts w:asciiTheme="majorHAnsi" w:hAnsiTheme="majorHAnsi" w:cs="Arial"/>
          <w:sz w:val="22"/>
          <w:szCs w:val="22"/>
        </w:rPr>
        <w:t>los</w:t>
      </w:r>
      <w:r w:rsidRPr="00B45E13">
        <w:rPr>
          <w:rFonts w:asciiTheme="majorHAnsi" w:hAnsiTheme="majorHAnsi" w:cs="Arial"/>
          <w:sz w:val="22"/>
          <w:szCs w:val="22"/>
        </w:rPr>
        <w:t xml:space="preserve"> horarios y lugares en que no se permitirá su ejercicio.</w:t>
      </w:r>
      <w:r w:rsidR="00FF0E47">
        <w:rPr>
          <w:rFonts w:asciiTheme="majorHAnsi" w:hAnsiTheme="majorHAnsi" w:cs="Arial"/>
          <w:sz w:val="22"/>
          <w:szCs w:val="22"/>
        </w:rPr>
        <w:t xml:space="preserve"> Debiendo </w:t>
      </w:r>
      <w:r w:rsidRPr="00FF0E47">
        <w:rPr>
          <w:rFonts w:asciiTheme="majorHAnsi" w:hAnsiTheme="majorHAnsi" w:cs="Arial"/>
          <w:sz w:val="22"/>
          <w:szCs w:val="22"/>
        </w:rPr>
        <w:t>las municipalidades propenderán a garantizar la rotación en el uso de los espacios públicos.</w:t>
      </w:r>
    </w:p>
    <w:p w:rsidR="00216C2E" w:rsidRPr="00FF0E47" w:rsidRDefault="00FF0E47" w:rsidP="00216C2E">
      <w:pPr>
        <w:pStyle w:val="ListParagraph"/>
        <w:numPr>
          <w:ilvl w:val="0"/>
          <w:numId w:val="2"/>
        </w:numPr>
        <w:tabs>
          <w:tab w:val="left" w:pos="2835"/>
        </w:tabs>
        <w:ind w:left="1418"/>
        <w:jc w:val="both"/>
        <w:rPr>
          <w:rFonts w:asciiTheme="majorHAnsi" w:hAnsiTheme="majorHAnsi" w:cs="Arial"/>
          <w:sz w:val="22"/>
          <w:szCs w:val="22"/>
        </w:rPr>
      </w:pPr>
      <w:r w:rsidRPr="00FF0E47">
        <w:rPr>
          <w:rFonts w:asciiTheme="majorHAnsi" w:hAnsiTheme="majorHAnsi" w:cs="Arial"/>
          <w:sz w:val="22"/>
          <w:szCs w:val="22"/>
        </w:rPr>
        <w:t>Establecer las limitaciones</w:t>
      </w:r>
      <w:r w:rsidR="00216C2E" w:rsidRPr="00FF0E47">
        <w:rPr>
          <w:rFonts w:asciiTheme="majorHAnsi" w:hAnsiTheme="majorHAnsi" w:cs="Arial"/>
          <w:sz w:val="22"/>
          <w:szCs w:val="22"/>
        </w:rPr>
        <w:t xml:space="preserve"> a las que deben ajustarse las exhibiciones artísticas en los bi</w:t>
      </w:r>
      <w:r w:rsidRPr="00FF0E47">
        <w:rPr>
          <w:rFonts w:asciiTheme="majorHAnsi" w:hAnsiTheme="majorHAnsi" w:cs="Arial"/>
          <w:sz w:val="22"/>
          <w:szCs w:val="22"/>
        </w:rPr>
        <w:t xml:space="preserve">enes nacionales de uso público, las que </w:t>
      </w:r>
      <w:r w:rsidR="00216C2E" w:rsidRPr="00FF0E47">
        <w:rPr>
          <w:rFonts w:asciiTheme="majorHAnsi" w:hAnsiTheme="majorHAnsi" w:cs="Arial"/>
          <w:sz w:val="22"/>
          <w:szCs w:val="22"/>
        </w:rPr>
        <w:t xml:space="preserve">sólo podrán </w:t>
      </w:r>
      <w:r w:rsidRPr="00FF0E47">
        <w:rPr>
          <w:rFonts w:asciiTheme="majorHAnsi" w:hAnsiTheme="majorHAnsi" w:cs="Arial"/>
          <w:sz w:val="22"/>
          <w:szCs w:val="22"/>
        </w:rPr>
        <w:t>basarse</w:t>
      </w:r>
      <w:r w:rsidR="00216C2E" w:rsidRPr="00FF0E47">
        <w:rPr>
          <w:rFonts w:asciiTheme="majorHAnsi" w:hAnsiTheme="majorHAnsi" w:cs="Arial"/>
          <w:sz w:val="22"/>
          <w:szCs w:val="22"/>
        </w:rPr>
        <w:t xml:space="preserve"> en el orden y seguridad de dichos bienes y en la libre y expedita circulación de personas y vehículos. </w:t>
      </w:r>
    </w:p>
    <w:p w:rsidR="00FF0E47" w:rsidRDefault="00FF0E47" w:rsidP="00216C2E">
      <w:pPr>
        <w:pStyle w:val="BodyText"/>
        <w:spacing w:line="240" w:lineRule="auto"/>
        <w:rPr>
          <w:rFonts w:asciiTheme="majorHAnsi" w:hAnsiTheme="majorHAnsi" w:cs="Arial"/>
          <w:b w:val="0"/>
          <w:sz w:val="22"/>
          <w:szCs w:val="22"/>
        </w:rPr>
      </w:pPr>
    </w:p>
    <w:p w:rsidR="00C20DC6" w:rsidRDefault="00C20DC6" w:rsidP="00C20DC6">
      <w:pPr>
        <w:pStyle w:val="BodyText"/>
        <w:numPr>
          <w:ilvl w:val="0"/>
          <w:numId w:val="1"/>
        </w:numPr>
        <w:spacing w:line="240" w:lineRule="auto"/>
        <w:rPr>
          <w:rFonts w:asciiTheme="majorHAnsi" w:hAnsiTheme="majorHAnsi" w:cs="Arial"/>
          <w:b w:val="0"/>
          <w:sz w:val="22"/>
          <w:szCs w:val="22"/>
        </w:rPr>
      </w:pPr>
      <w:r w:rsidRPr="00C20DC6">
        <w:rPr>
          <w:rFonts w:asciiTheme="majorHAnsi" w:hAnsiTheme="majorHAnsi" w:cs="Arial"/>
          <w:b w:val="0"/>
          <w:sz w:val="22"/>
          <w:szCs w:val="22"/>
        </w:rPr>
        <w:t>L</w:t>
      </w:r>
      <w:r w:rsidR="0000544F" w:rsidRPr="00C20DC6">
        <w:rPr>
          <w:rFonts w:asciiTheme="majorHAnsi" w:hAnsiTheme="majorHAnsi" w:cs="Arial"/>
          <w:b w:val="0"/>
          <w:sz w:val="22"/>
          <w:szCs w:val="22"/>
        </w:rPr>
        <w:t xml:space="preserve">as municipalidades no podrán supeditar o limitar el otorgamiento de los permisos para el uso de los espacios públicos, en atención a cualquier </w:t>
      </w:r>
      <w:r w:rsidR="0000544F" w:rsidRPr="00C20DC6">
        <w:rPr>
          <w:rFonts w:asciiTheme="majorHAnsi" w:hAnsiTheme="majorHAnsi" w:cs="Arial"/>
          <w:b w:val="0"/>
          <w:sz w:val="22"/>
          <w:szCs w:val="22"/>
          <w:u w:val="single"/>
        </w:rPr>
        <w:t>forma injustificada de distinción</w:t>
      </w:r>
      <w:r w:rsidR="0000544F" w:rsidRPr="00C20DC6">
        <w:rPr>
          <w:rFonts w:asciiTheme="majorHAnsi" w:hAnsiTheme="majorHAnsi" w:cs="Arial"/>
          <w:b w:val="0"/>
          <w:sz w:val="22"/>
          <w:szCs w:val="22"/>
        </w:rPr>
        <w:t xml:space="preserve">, exclusión, restricción, </w:t>
      </w:r>
      <w:r w:rsidRPr="00C20DC6">
        <w:rPr>
          <w:rFonts w:asciiTheme="majorHAnsi" w:hAnsiTheme="majorHAnsi" w:cs="Arial"/>
          <w:b w:val="0"/>
          <w:sz w:val="22"/>
          <w:szCs w:val="22"/>
        </w:rPr>
        <w:t xml:space="preserve">o </w:t>
      </w:r>
      <w:r>
        <w:rPr>
          <w:rFonts w:asciiTheme="majorHAnsi" w:hAnsiTheme="majorHAnsi" w:cs="Arial"/>
          <w:b w:val="0"/>
          <w:sz w:val="22"/>
          <w:szCs w:val="22"/>
        </w:rPr>
        <w:t xml:space="preserve">preferencia </w:t>
      </w:r>
      <w:r w:rsidRPr="00C20DC6">
        <w:rPr>
          <w:rFonts w:asciiTheme="majorHAnsi" w:hAnsiTheme="majorHAnsi" w:cs="Arial"/>
          <w:sz w:val="22"/>
          <w:szCs w:val="22"/>
        </w:rPr>
        <w:t>(artículo 8)</w:t>
      </w:r>
      <w:r>
        <w:rPr>
          <w:rFonts w:asciiTheme="majorHAnsi" w:hAnsiTheme="majorHAnsi" w:cs="Arial"/>
          <w:sz w:val="22"/>
          <w:szCs w:val="22"/>
        </w:rPr>
        <w:t>.</w:t>
      </w:r>
    </w:p>
    <w:p w:rsidR="00C20DC6" w:rsidRDefault="00C20DC6" w:rsidP="00C20DC6">
      <w:pPr>
        <w:pStyle w:val="BodyText"/>
        <w:numPr>
          <w:ilvl w:val="0"/>
          <w:numId w:val="1"/>
        </w:numPr>
        <w:spacing w:line="240" w:lineRule="auto"/>
        <w:rPr>
          <w:rFonts w:asciiTheme="majorHAnsi" w:hAnsiTheme="majorHAnsi" w:cs="Arial"/>
          <w:b w:val="0"/>
          <w:sz w:val="22"/>
          <w:szCs w:val="22"/>
        </w:rPr>
      </w:pPr>
      <w:r w:rsidRPr="00C20DC6">
        <w:rPr>
          <w:rFonts w:asciiTheme="majorHAnsi" w:hAnsiTheme="majorHAnsi" w:cs="Arial"/>
          <w:b w:val="0"/>
          <w:sz w:val="22"/>
          <w:szCs w:val="22"/>
        </w:rPr>
        <w:t xml:space="preserve">Las denuncias que se formulen por contravenciones a lo prescrito en esta ley, se entablarán ante </w:t>
      </w:r>
      <w:r w:rsidRPr="00C20DC6">
        <w:rPr>
          <w:rFonts w:asciiTheme="majorHAnsi" w:hAnsiTheme="majorHAnsi" w:cs="Arial"/>
          <w:b w:val="0"/>
          <w:sz w:val="22"/>
          <w:szCs w:val="22"/>
          <w:u w:val="single"/>
        </w:rPr>
        <w:t xml:space="preserve">el juzgado de policía local </w:t>
      </w:r>
      <w:r w:rsidRPr="00C20DC6">
        <w:rPr>
          <w:rFonts w:asciiTheme="majorHAnsi" w:hAnsiTheme="majorHAnsi" w:cs="Arial"/>
          <w:b w:val="0"/>
          <w:sz w:val="22"/>
          <w:szCs w:val="22"/>
        </w:rPr>
        <w:t>de la comuna donde s</w:t>
      </w:r>
      <w:r>
        <w:rPr>
          <w:rFonts w:asciiTheme="majorHAnsi" w:hAnsiTheme="majorHAnsi" w:cs="Arial"/>
          <w:b w:val="0"/>
          <w:sz w:val="22"/>
          <w:szCs w:val="22"/>
        </w:rPr>
        <w:t xml:space="preserve">e haya verificado la infracción </w:t>
      </w:r>
      <w:r w:rsidRPr="00C20DC6">
        <w:rPr>
          <w:rFonts w:asciiTheme="majorHAnsi" w:hAnsiTheme="majorHAnsi" w:cs="Arial"/>
          <w:sz w:val="22"/>
          <w:szCs w:val="22"/>
        </w:rPr>
        <w:t>(artí</w:t>
      </w:r>
      <w:r>
        <w:rPr>
          <w:rFonts w:asciiTheme="majorHAnsi" w:hAnsiTheme="majorHAnsi" w:cs="Arial"/>
          <w:sz w:val="22"/>
          <w:szCs w:val="22"/>
        </w:rPr>
        <w:t>culo 9</w:t>
      </w:r>
      <w:r w:rsidRPr="00C20DC6">
        <w:rPr>
          <w:rFonts w:asciiTheme="majorHAnsi" w:hAnsiTheme="majorHAnsi" w:cs="Arial"/>
          <w:sz w:val="22"/>
          <w:szCs w:val="22"/>
        </w:rPr>
        <w:t>)</w:t>
      </w:r>
      <w:r>
        <w:rPr>
          <w:rFonts w:asciiTheme="majorHAnsi" w:hAnsiTheme="majorHAnsi" w:cs="Arial"/>
          <w:b w:val="0"/>
          <w:sz w:val="22"/>
          <w:szCs w:val="22"/>
        </w:rPr>
        <w:t xml:space="preserve">, a la vez que se le asigna a las municipalidades el deber de velar por el </w:t>
      </w:r>
      <w:r w:rsidRPr="00C20DC6">
        <w:rPr>
          <w:rFonts w:asciiTheme="majorHAnsi" w:hAnsiTheme="majorHAnsi" w:cs="Arial"/>
          <w:b w:val="0"/>
          <w:sz w:val="22"/>
          <w:szCs w:val="22"/>
        </w:rPr>
        <w:t>cumplimiento de las disposiciones de la presente ley</w:t>
      </w:r>
      <w:r>
        <w:rPr>
          <w:rFonts w:asciiTheme="majorHAnsi" w:hAnsiTheme="majorHAnsi" w:cs="Arial"/>
          <w:b w:val="0"/>
          <w:sz w:val="22"/>
          <w:szCs w:val="22"/>
        </w:rPr>
        <w:t xml:space="preserve"> </w:t>
      </w:r>
      <w:r w:rsidRPr="00C20DC6">
        <w:rPr>
          <w:rFonts w:asciiTheme="majorHAnsi" w:hAnsiTheme="majorHAnsi" w:cs="Arial"/>
          <w:sz w:val="22"/>
          <w:szCs w:val="22"/>
        </w:rPr>
        <w:t>(artí</w:t>
      </w:r>
      <w:r>
        <w:rPr>
          <w:rFonts w:asciiTheme="majorHAnsi" w:hAnsiTheme="majorHAnsi" w:cs="Arial"/>
          <w:sz w:val="22"/>
          <w:szCs w:val="22"/>
        </w:rPr>
        <w:t>culo 10</w:t>
      </w:r>
      <w:r w:rsidRPr="00C20DC6">
        <w:rPr>
          <w:rFonts w:asciiTheme="majorHAnsi" w:hAnsiTheme="majorHAnsi" w:cs="Arial"/>
          <w:sz w:val="22"/>
          <w:szCs w:val="22"/>
        </w:rPr>
        <w:t>)</w:t>
      </w:r>
      <w:r w:rsidRPr="00C20DC6">
        <w:rPr>
          <w:rFonts w:asciiTheme="majorHAnsi" w:hAnsiTheme="majorHAnsi" w:cs="Arial"/>
          <w:b w:val="0"/>
          <w:sz w:val="22"/>
          <w:szCs w:val="22"/>
        </w:rPr>
        <w:t>.</w:t>
      </w:r>
    </w:p>
    <w:p w:rsidR="0000544F" w:rsidRDefault="00C20DC6" w:rsidP="00C20DC6">
      <w:pPr>
        <w:pStyle w:val="BodyText"/>
        <w:numPr>
          <w:ilvl w:val="0"/>
          <w:numId w:val="1"/>
        </w:numPr>
        <w:spacing w:line="240" w:lineRule="auto"/>
        <w:rPr>
          <w:rFonts w:asciiTheme="majorHAnsi" w:hAnsiTheme="majorHAnsi" w:cs="Arial"/>
          <w:sz w:val="22"/>
          <w:szCs w:val="22"/>
        </w:rPr>
      </w:pPr>
      <w:r>
        <w:rPr>
          <w:rFonts w:asciiTheme="majorHAnsi" w:hAnsiTheme="majorHAnsi" w:cs="Arial"/>
          <w:b w:val="0"/>
          <w:sz w:val="22"/>
          <w:szCs w:val="22"/>
        </w:rPr>
        <w:t xml:space="preserve">Se establece </w:t>
      </w:r>
      <w:r w:rsidRPr="00E216F1">
        <w:rPr>
          <w:rFonts w:asciiTheme="majorHAnsi" w:hAnsiTheme="majorHAnsi" w:cs="Arial"/>
          <w:b w:val="0"/>
          <w:sz w:val="22"/>
          <w:szCs w:val="22"/>
          <w:u w:val="single"/>
        </w:rPr>
        <w:t>un plazo de 90 días</w:t>
      </w:r>
      <w:r>
        <w:rPr>
          <w:rFonts w:asciiTheme="majorHAnsi" w:hAnsiTheme="majorHAnsi" w:cs="Arial"/>
          <w:b w:val="0"/>
          <w:sz w:val="22"/>
          <w:szCs w:val="22"/>
        </w:rPr>
        <w:t xml:space="preserve"> de la publicación de esta ley para que los municipios dicten las ordenanzas. </w:t>
      </w:r>
      <w:r w:rsidRPr="00C20DC6">
        <w:rPr>
          <w:rFonts w:asciiTheme="majorHAnsi" w:hAnsiTheme="majorHAnsi" w:cs="Arial"/>
          <w:sz w:val="22"/>
          <w:szCs w:val="22"/>
        </w:rPr>
        <w:t>(artí</w:t>
      </w:r>
      <w:r>
        <w:rPr>
          <w:rFonts w:asciiTheme="majorHAnsi" w:hAnsiTheme="majorHAnsi" w:cs="Arial"/>
          <w:sz w:val="22"/>
          <w:szCs w:val="22"/>
        </w:rPr>
        <w:t>culo transitorio</w:t>
      </w:r>
      <w:r w:rsidRPr="00C20DC6">
        <w:rPr>
          <w:rFonts w:asciiTheme="majorHAnsi" w:hAnsiTheme="majorHAnsi" w:cs="Arial"/>
          <w:sz w:val="22"/>
          <w:szCs w:val="22"/>
        </w:rPr>
        <w:t>)</w:t>
      </w:r>
    </w:p>
    <w:p w:rsidR="00E216F1" w:rsidRDefault="00E216F1" w:rsidP="00E216F1">
      <w:pPr>
        <w:pStyle w:val="BodyText"/>
        <w:spacing w:line="240" w:lineRule="auto"/>
        <w:rPr>
          <w:rFonts w:asciiTheme="majorHAnsi" w:hAnsiTheme="majorHAnsi" w:cs="Arial"/>
          <w:sz w:val="22"/>
          <w:szCs w:val="22"/>
        </w:rPr>
      </w:pPr>
    </w:p>
    <w:p w:rsidR="00E216F1" w:rsidRDefault="00E216F1" w:rsidP="00E216F1">
      <w:pPr>
        <w:pStyle w:val="BodyText"/>
        <w:spacing w:line="240" w:lineRule="auto"/>
        <w:rPr>
          <w:rFonts w:asciiTheme="majorHAnsi" w:hAnsiTheme="majorHAnsi" w:cs="Arial"/>
          <w:sz w:val="22"/>
          <w:szCs w:val="22"/>
        </w:rPr>
      </w:pPr>
      <w:r>
        <w:rPr>
          <w:rFonts w:asciiTheme="majorHAnsi" w:hAnsiTheme="majorHAnsi" w:cs="Arial"/>
          <w:sz w:val="22"/>
          <w:szCs w:val="22"/>
        </w:rPr>
        <w:t xml:space="preserve">Comentarios: </w:t>
      </w:r>
    </w:p>
    <w:p w:rsidR="00E216F1" w:rsidRPr="005A6867" w:rsidRDefault="00E216F1" w:rsidP="005A6867">
      <w:pPr>
        <w:pStyle w:val="BodyText"/>
        <w:spacing w:line="240" w:lineRule="auto"/>
        <w:rPr>
          <w:rFonts w:asciiTheme="majorHAnsi" w:hAnsiTheme="majorHAnsi" w:cs="Arial"/>
          <w:sz w:val="22"/>
          <w:szCs w:val="22"/>
        </w:rPr>
      </w:pPr>
    </w:p>
    <w:p w:rsidR="00E216F1" w:rsidRDefault="005A6867" w:rsidP="00D2375F">
      <w:pPr>
        <w:pStyle w:val="ListParagraph"/>
        <w:numPr>
          <w:ilvl w:val="0"/>
          <w:numId w:val="3"/>
        </w:numPr>
        <w:jc w:val="both"/>
        <w:rPr>
          <w:rFonts w:asciiTheme="majorHAnsi" w:hAnsiTheme="majorHAnsi" w:cs="Arial"/>
          <w:sz w:val="22"/>
          <w:szCs w:val="22"/>
        </w:rPr>
      </w:pPr>
      <w:r w:rsidRPr="00D2375F">
        <w:rPr>
          <w:rFonts w:asciiTheme="majorHAnsi" w:hAnsiTheme="majorHAnsi" w:cs="Arial"/>
          <w:sz w:val="22"/>
          <w:szCs w:val="22"/>
        </w:rPr>
        <w:t xml:space="preserve">El proyecto suscita un apoyo transversal desde los distintos sectores políticos, por cuanto se </w:t>
      </w:r>
      <w:r w:rsidR="00E216F1" w:rsidRPr="00D2375F">
        <w:rPr>
          <w:rFonts w:asciiTheme="majorHAnsi" w:hAnsiTheme="majorHAnsi" w:cs="Arial"/>
          <w:sz w:val="22"/>
          <w:szCs w:val="22"/>
        </w:rPr>
        <w:t>e</w:t>
      </w:r>
      <w:r w:rsidRPr="00D2375F">
        <w:rPr>
          <w:rFonts w:asciiTheme="majorHAnsi" w:hAnsiTheme="majorHAnsi" w:cs="Arial"/>
          <w:sz w:val="22"/>
          <w:szCs w:val="22"/>
        </w:rPr>
        <w:t xml:space="preserve">stima que es un tema que </w:t>
      </w:r>
      <w:r w:rsidR="00E216F1" w:rsidRPr="00D2375F">
        <w:rPr>
          <w:rFonts w:asciiTheme="majorHAnsi" w:hAnsiTheme="majorHAnsi" w:cs="Arial"/>
          <w:sz w:val="22"/>
          <w:szCs w:val="22"/>
        </w:rPr>
        <w:t>ha sido objeto de su p</w:t>
      </w:r>
      <w:r w:rsidRPr="00D2375F">
        <w:rPr>
          <w:rFonts w:asciiTheme="majorHAnsi" w:hAnsiTheme="majorHAnsi" w:cs="Arial"/>
          <w:sz w:val="22"/>
          <w:szCs w:val="22"/>
        </w:rPr>
        <w:t>reocupación en los últimos años, y porque permite establecer un instrumentos que ordene y evite que se produzcan conflictos en torno a la utilización de bienes nacionales de uso público. Todo esto, a la vez que</w:t>
      </w:r>
      <w:r w:rsidR="00D2375F" w:rsidRPr="00D2375F">
        <w:rPr>
          <w:rFonts w:asciiTheme="majorHAnsi" w:hAnsiTheme="majorHAnsi" w:cs="Arial"/>
          <w:sz w:val="22"/>
          <w:szCs w:val="22"/>
        </w:rPr>
        <w:t xml:space="preserve"> da </w:t>
      </w:r>
      <w:r w:rsidR="00D2375F">
        <w:rPr>
          <w:rFonts w:asciiTheme="majorHAnsi" w:hAnsiTheme="majorHAnsi" w:cs="Arial"/>
          <w:sz w:val="22"/>
          <w:szCs w:val="22"/>
        </w:rPr>
        <w:t xml:space="preserve">la </w:t>
      </w:r>
      <w:r w:rsidR="00D2375F" w:rsidRPr="00D2375F">
        <w:rPr>
          <w:rFonts w:asciiTheme="majorHAnsi" w:hAnsiTheme="majorHAnsi" w:cs="Arial"/>
          <w:sz w:val="22"/>
          <w:szCs w:val="22"/>
        </w:rPr>
        <w:t>suficiente flexibilidad par</w:t>
      </w:r>
      <w:r w:rsidRPr="00D2375F">
        <w:rPr>
          <w:rFonts w:asciiTheme="majorHAnsi" w:hAnsiTheme="majorHAnsi" w:cs="Arial"/>
          <w:sz w:val="22"/>
          <w:szCs w:val="22"/>
        </w:rPr>
        <w:t xml:space="preserve">a que </w:t>
      </w:r>
      <w:r w:rsidR="00D2375F" w:rsidRPr="00D2375F">
        <w:rPr>
          <w:rFonts w:asciiTheme="majorHAnsi" w:hAnsiTheme="majorHAnsi" w:cs="Arial"/>
          <w:sz w:val="22"/>
          <w:szCs w:val="22"/>
        </w:rPr>
        <w:t>cada municipio, de acuerdo a su realidad, dicte una ordenanza que regulará para su territorio el funcionamiento, condiciones y requisitos para la exhibición artística.</w:t>
      </w:r>
    </w:p>
    <w:p w:rsidR="000411DA" w:rsidRPr="00D2375F" w:rsidRDefault="000411DA" w:rsidP="000411DA">
      <w:pPr>
        <w:pStyle w:val="ListParagraph"/>
        <w:jc w:val="both"/>
        <w:rPr>
          <w:rFonts w:asciiTheme="majorHAnsi" w:hAnsiTheme="majorHAnsi" w:cs="Arial"/>
          <w:sz w:val="22"/>
          <w:szCs w:val="22"/>
        </w:rPr>
      </w:pPr>
    </w:p>
    <w:p w:rsidR="000411DA" w:rsidRPr="000411DA" w:rsidRDefault="00D2375F" w:rsidP="00D2375F">
      <w:pPr>
        <w:pStyle w:val="ListParagraph"/>
        <w:numPr>
          <w:ilvl w:val="0"/>
          <w:numId w:val="3"/>
        </w:numPr>
        <w:jc w:val="both"/>
        <w:rPr>
          <w:rFonts w:asciiTheme="majorHAnsi" w:hAnsiTheme="majorHAnsi" w:cs="Arial"/>
          <w:b/>
          <w:sz w:val="22"/>
          <w:szCs w:val="22"/>
        </w:rPr>
      </w:pPr>
      <w:r>
        <w:rPr>
          <w:rFonts w:asciiTheme="majorHAnsi" w:hAnsiTheme="majorHAnsi" w:cs="Arial"/>
          <w:sz w:val="22"/>
          <w:szCs w:val="22"/>
        </w:rPr>
        <w:t xml:space="preserve">Hoy existen 18 indicaciones que se han interpuesto al actual proyecto de ley </w:t>
      </w:r>
      <w:r w:rsidRPr="00D2375F">
        <w:rPr>
          <w:rFonts w:asciiTheme="majorHAnsi" w:hAnsiTheme="majorHAnsi" w:cs="Arial"/>
          <w:b/>
          <w:sz w:val="22"/>
          <w:szCs w:val="22"/>
        </w:rPr>
        <w:t>(17 del senador Alejandro Navarro)</w:t>
      </w:r>
      <w:r>
        <w:rPr>
          <w:rFonts w:asciiTheme="majorHAnsi" w:hAnsiTheme="majorHAnsi" w:cs="Arial"/>
          <w:sz w:val="22"/>
          <w:szCs w:val="22"/>
        </w:rPr>
        <w:t xml:space="preserve"> muchas de las cuales buscan detallar en demasía el contendido que deben tener las ordenanzas municipales. </w:t>
      </w:r>
    </w:p>
    <w:p w:rsidR="000411DA" w:rsidRDefault="000411DA" w:rsidP="000411DA">
      <w:pPr>
        <w:pStyle w:val="ListParagraph"/>
        <w:jc w:val="both"/>
        <w:rPr>
          <w:rFonts w:asciiTheme="majorHAnsi" w:hAnsiTheme="majorHAnsi" w:cs="Arial"/>
          <w:sz w:val="22"/>
          <w:szCs w:val="22"/>
        </w:rPr>
      </w:pPr>
    </w:p>
    <w:p w:rsidR="000411DA" w:rsidRDefault="00D2375F" w:rsidP="000411DA">
      <w:pPr>
        <w:pStyle w:val="ListParagraph"/>
        <w:jc w:val="both"/>
        <w:rPr>
          <w:rFonts w:asciiTheme="majorHAnsi" w:hAnsiTheme="majorHAnsi" w:cs="Arial"/>
          <w:sz w:val="22"/>
          <w:szCs w:val="22"/>
        </w:rPr>
      </w:pPr>
      <w:r>
        <w:rPr>
          <w:rFonts w:asciiTheme="majorHAnsi" w:hAnsiTheme="majorHAnsi" w:cs="Arial"/>
          <w:sz w:val="22"/>
          <w:szCs w:val="22"/>
        </w:rPr>
        <w:t xml:space="preserve">Así, por ejemplo, en algunas busca distinguir según si la exhibición es gratuita o no, para efectos de posibilitar los cobros por parte del municipio (quedando prohibidos cuando sean gratuitas). A la vez, </w:t>
      </w:r>
      <w:r w:rsidR="000411DA">
        <w:rPr>
          <w:rFonts w:asciiTheme="majorHAnsi" w:hAnsiTheme="majorHAnsi" w:cs="Arial"/>
          <w:sz w:val="22"/>
          <w:szCs w:val="22"/>
        </w:rPr>
        <w:t xml:space="preserve">se distingue en aquellas representaciones de adhesión voluntaria, </w:t>
      </w:r>
      <w:proofErr w:type="spellStart"/>
      <w:r w:rsidR="000411DA">
        <w:rPr>
          <w:rFonts w:asciiTheme="majorHAnsi" w:hAnsiTheme="majorHAnsi" w:cs="Arial"/>
          <w:sz w:val="22"/>
          <w:szCs w:val="22"/>
        </w:rPr>
        <w:t>subclasificándose</w:t>
      </w:r>
      <w:proofErr w:type="spellEnd"/>
      <w:r w:rsidR="000411DA">
        <w:rPr>
          <w:rFonts w:asciiTheme="majorHAnsi" w:hAnsiTheme="majorHAnsi" w:cs="Arial"/>
          <w:sz w:val="22"/>
          <w:szCs w:val="22"/>
        </w:rPr>
        <w:t xml:space="preserve"> estas entre aquellas que consistan en manifestaciones esporádicas y las que son de uso permanente, limitándose el cobro de estas últimas a no más de 1 UTM mensual.</w:t>
      </w:r>
    </w:p>
    <w:p w:rsidR="000411DA" w:rsidRDefault="000411DA" w:rsidP="000411DA">
      <w:pPr>
        <w:pStyle w:val="ListParagraph"/>
        <w:jc w:val="both"/>
        <w:rPr>
          <w:rFonts w:asciiTheme="majorHAnsi" w:hAnsiTheme="majorHAnsi" w:cs="Arial"/>
          <w:sz w:val="22"/>
          <w:szCs w:val="22"/>
        </w:rPr>
      </w:pPr>
      <w:bookmarkStart w:id="0" w:name="_GoBack"/>
      <w:bookmarkEnd w:id="0"/>
    </w:p>
    <w:p w:rsidR="00D2375F" w:rsidRPr="00D2375F" w:rsidRDefault="000411DA" w:rsidP="000411DA">
      <w:pPr>
        <w:pStyle w:val="ListParagraph"/>
        <w:jc w:val="both"/>
        <w:rPr>
          <w:rFonts w:asciiTheme="majorHAnsi" w:hAnsiTheme="majorHAnsi" w:cs="Arial"/>
          <w:b/>
          <w:sz w:val="22"/>
          <w:szCs w:val="22"/>
        </w:rPr>
      </w:pPr>
      <w:r>
        <w:rPr>
          <w:rFonts w:asciiTheme="majorHAnsi" w:hAnsiTheme="majorHAnsi" w:cs="Arial"/>
          <w:sz w:val="22"/>
          <w:szCs w:val="22"/>
        </w:rPr>
        <w:t xml:space="preserve">Se plantean por su parte, ciertas restricciones de difícil aplicación práctica, como por ejemplo al establecerse que el monto del permiso no podrá ser más elevado que el monto que recaude el espectáculo. ¿Cómo se va a fiscalizar concretamente cuanto será el monto real del espectáculo? ¿Se deberá modificar mensualmente el costo del permiso según la recaudación mensual del artista? Entre otras interrogantes que surgen a primera vista. </w:t>
      </w:r>
      <w:r w:rsidR="00D2375F">
        <w:rPr>
          <w:rFonts w:asciiTheme="majorHAnsi" w:hAnsiTheme="majorHAnsi" w:cs="Arial"/>
          <w:sz w:val="22"/>
          <w:szCs w:val="22"/>
        </w:rPr>
        <w:t xml:space="preserve"> </w:t>
      </w:r>
    </w:p>
    <w:p w:rsidR="0000544F" w:rsidRPr="005A6867" w:rsidRDefault="00D2375F" w:rsidP="000411DA">
      <w:pPr>
        <w:pStyle w:val="ListParagraph"/>
        <w:shd w:val="clear" w:color="auto" w:fill="FFFFFF"/>
        <w:jc w:val="both"/>
        <w:rPr>
          <w:rFonts w:asciiTheme="majorHAnsi" w:hAnsiTheme="majorHAnsi"/>
          <w:sz w:val="22"/>
          <w:szCs w:val="22"/>
        </w:rPr>
      </w:pPr>
      <w:r w:rsidRPr="00D2375F">
        <w:rPr>
          <w:rFonts w:ascii="Arial" w:hAnsi="Arial" w:cs="Arial"/>
        </w:rPr>
        <w:t xml:space="preserve"> </w:t>
      </w:r>
    </w:p>
    <w:sectPr w:rsidR="0000544F" w:rsidRPr="005A6867" w:rsidSect="00C20DC6">
      <w:headerReference w:type="even" r:id="rId1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5F" w:rsidRDefault="00D2375F" w:rsidP="00C20DC6">
      <w:r>
        <w:separator/>
      </w:r>
    </w:p>
  </w:endnote>
  <w:endnote w:type="continuationSeparator" w:id="0">
    <w:p w:rsidR="00D2375F" w:rsidRDefault="00D2375F" w:rsidP="00C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5F" w:rsidRDefault="00D2375F" w:rsidP="00C20DC6">
      <w:r>
        <w:separator/>
      </w:r>
    </w:p>
  </w:footnote>
  <w:footnote w:type="continuationSeparator" w:id="0">
    <w:p w:rsidR="00D2375F" w:rsidRDefault="00D2375F" w:rsidP="00C20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328"/>
      <w:gridCol w:w="8562"/>
    </w:tblGrid>
    <w:tr w:rsidR="00D2375F" w:rsidRPr="0088634D" w:rsidTr="00C20DC6">
      <w:tc>
        <w:tcPr>
          <w:tcW w:w="1152" w:type="dxa"/>
        </w:tcPr>
        <w:p w:rsidR="00D2375F" w:rsidRPr="00C20DC6" w:rsidRDefault="00D2375F" w:rsidP="00C20DC6">
          <w:pPr>
            <w:pStyle w:val="Header"/>
            <w:jc w:val="right"/>
            <w:rPr>
              <w:rFonts w:asciiTheme="majorHAnsi" w:hAnsiTheme="majorHAnsi"/>
              <w:b/>
              <w:sz w:val="22"/>
              <w:szCs w:val="22"/>
            </w:rPr>
          </w:pPr>
          <w:r w:rsidRPr="00C20DC6">
            <w:rPr>
              <w:rFonts w:asciiTheme="majorHAnsi" w:hAnsiTheme="majorHAnsi"/>
              <w:b/>
              <w:sz w:val="22"/>
              <w:szCs w:val="22"/>
            </w:rPr>
            <w:fldChar w:fldCharType="begin"/>
          </w:r>
          <w:r w:rsidRPr="00C20DC6">
            <w:rPr>
              <w:rFonts w:asciiTheme="majorHAnsi" w:hAnsiTheme="majorHAnsi"/>
              <w:b/>
              <w:sz w:val="22"/>
              <w:szCs w:val="22"/>
            </w:rPr>
            <w:instrText xml:space="preserve"> PAGE   \* MERGEFORMAT </w:instrText>
          </w:r>
          <w:r w:rsidRPr="00C20DC6">
            <w:rPr>
              <w:rFonts w:asciiTheme="majorHAnsi" w:hAnsiTheme="majorHAnsi"/>
              <w:b/>
              <w:sz w:val="22"/>
              <w:szCs w:val="22"/>
            </w:rPr>
            <w:fldChar w:fldCharType="separate"/>
          </w:r>
          <w:r w:rsidR="000411DA">
            <w:rPr>
              <w:rFonts w:asciiTheme="majorHAnsi" w:hAnsiTheme="majorHAnsi"/>
              <w:b/>
              <w:noProof/>
              <w:sz w:val="22"/>
              <w:szCs w:val="22"/>
            </w:rPr>
            <w:t>2</w:t>
          </w:r>
          <w:r w:rsidRPr="00C20DC6">
            <w:rPr>
              <w:rFonts w:asciiTheme="majorHAnsi" w:hAnsiTheme="majorHAnsi"/>
              <w:b/>
              <w:sz w:val="22"/>
              <w:szCs w:val="22"/>
            </w:rPr>
            <w:fldChar w:fldCharType="end"/>
          </w:r>
        </w:p>
      </w:tc>
      <w:tc>
        <w:tcPr>
          <w:tcW w:w="0" w:type="auto"/>
          <w:noWrap/>
        </w:tcPr>
        <w:p w:rsidR="00D2375F" w:rsidRPr="00C20DC6" w:rsidRDefault="00D2375F" w:rsidP="00C20DC6">
          <w:pPr>
            <w:pStyle w:val="Header"/>
            <w:rPr>
              <w:rFonts w:asciiTheme="majorHAnsi" w:hAnsiTheme="majorHAnsi"/>
              <w:sz w:val="22"/>
              <w:szCs w:val="22"/>
            </w:rPr>
          </w:pPr>
          <w:r w:rsidRPr="00C20DC6">
            <w:rPr>
              <w:rFonts w:asciiTheme="majorHAnsi" w:eastAsia="Calibri" w:hAnsiTheme="majorHAnsi" w:cs="Calibri"/>
              <w:sz w:val="22"/>
              <w:szCs w:val="22"/>
              <w:highlight w:val="white"/>
            </w:rPr>
            <w:t>Proyecto que regula la exhibición y ejecución artística en los bienes nacionales de uso público</w:t>
          </w:r>
        </w:p>
      </w:tc>
    </w:tr>
  </w:tbl>
  <w:p w:rsidR="00D2375F" w:rsidRDefault="00D2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5F" w:rsidRDefault="00D2375F" w:rsidP="00E216F1">
    <w:pPr>
      <w:pStyle w:val="Header"/>
      <w:jc w:val="right"/>
      <w:rPr>
        <w:rFonts w:asciiTheme="majorHAnsi" w:hAnsiTheme="majorHAnsi"/>
        <w:sz w:val="22"/>
        <w:szCs w:val="22"/>
      </w:rPr>
    </w:pPr>
    <w:r>
      <w:rPr>
        <w:rFonts w:asciiTheme="majorHAnsi" w:hAnsiTheme="majorHAnsi"/>
        <w:sz w:val="22"/>
        <w:szCs w:val="22"/>
      </w:rPr>
      <w:t>Juan Carlos Gazmuri</w:t>
    </w:r>
  </w:p>
  <w:p w:rsidR="00D2375F" w:rsidRDefault="00D2375F" w:rsidP="00E216F1">
    <w:pPr>
      <w:pStyle w:val="Header"/>
      <w:jc w:val="right"/>
      <w:rPr>
        <w:rFonts w:asciiTheme="majorHAnsi" w:hAnsiTheme="majorHAnsi"/>
        <w:sz w:val="22"/>
        <w:szCs w:val="22"/>
      </w:rPr>
    </w:pPr>
    <w:r>
      <w:rPr>
        <w:rFonts w:asciiTheme="majorHAnsi" w:hAnsiTheme="majorHAnsi"/>
        <w:sz w:val="22"/>
        <w:szCs w:val="22"/>
      </w:rPr>
      <w:t>Asesor Legislativo</w:t>
    </w:r>
  </w:p>
  <w:p w:rsidR="00D2375F" w:rsidRDefault="00D2375F" w:rsidP="00E216F1">
    <w:pPr>
      <w:pStyle w:val="Header"/>
      <w:jc w:val="right"/>
      <w:rPr>
        <w:rFonts w:asciiTheme="majorHAnsi" w:hAnsiTheme="majorHAnsi"/>
        <w:sz w:val="22"/>
        <w:szCs w:val="22"/>
      </w:rPr>
    </w:pPr>
    <w:r>
      <w:rPr>
        <w:rFonts w:asciiTheme="majorHAnsi" w:hAnsiTheme="majorHAnsi"/>
        <w:sz w:val="22"/>
        <w:szCs w:val="22"/>
      </w:rPr>
      <w:t xml:space="preserve">Senadora E. Von </w:t>
    </w:r>
    <w:proofErr w:type="spellStart"/>
    <w:r>
      <w:rPr>
        <w:rFonts w:asciiTheme="majorHAnsi" w:hAnsiTheme="majorHAnsi"/>
        <w:sz w:val="22"/>
        <w:szCs w:val="22"/>
      </w:rPr>
      <w:t>Baer</w:t>
    </w:r>
    <w:proofErr w:type="spellEnd"/>
  </w:p>
  <w:p w:rsidR="00D2375F" w:rsidRPr="00C20DC6" w:rsidRDefault="00D2375F" w:rsidP="00E216F1">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C1880"/>
    <w:multiLevelType w:val="hybridMultilevel"/>
    <w:tmpl w:val="9FCA810A"/>
    <w:lvl w:ilvl="0" w:tplc="8BB424BC">
      <w:start w:val="1"/>
      <w:numFmt w:val="bullet"/>
      <w:lvlText w:val=""/>
      <w:lvlJc w:val="left"/>
      <w:pPr>
        <w:ind w:left="3200" w:hanging="360"/>
      </w:pPr>
      <w:rPr>
        <w:rFonts w:ascii="Symbol" w:eastAsiaTheme="minorEastAsia" w:hAnsi="Symbol" w:cs="Arial" w:hint="default"/>
      </w:rPr>
    </w:lvl>
    <w:lvl w:ilvl="1" w:tplc="04090003" w:tentative="1">
      <w:start w:val="1"/>
      <w:numFmt w:val="bullet"/>
      <w:lvlText w:val="o"/>
      <w:lvlJc w:val="left"/>
      <w:pPr>
        <w:ind w:left="3920" w:hanging="360"/>
      </w:pPr>
      <w:rPr>
        <w:rFonts w:ascii="Courier New" w:hAnsi="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
    <w:nsid w:val="5DBC4DC8"/>
    <w:multiLevelType w:val="hybridMultilevel"/>
    <w:tmpl w:val="3EC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74DA8"/>
    <w:multiLevelType w:val="hybridMultilevel"/>
    <w:tmpl w:val="85FEF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97"/>
    <w:rsid w:val="0000544F"/>
    <w:rsid w:val="000411DA"/>
    <w:rsid w:val="00187FE5"/>
    <w:rsid w:val="00216C2E"/>
    <w:rsid w:val="00445997"/>
    <w:rsid w:val="005A6867"/>
    <w:rsid w:val="00B45E13"/>
    <w:rsid w:val="00C16FDB"/>
    <w:rsid w:val="00C20DC6"/>
    <w:rsid w:val="00D2375F"/>
    <w:rsid w:val="00E216F1"/>
    <w:rsid w:val="00FF0E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997"/>
    <w:rPr>
      <w:rFonts w:ascii="Lucida Grande" w:hAnsi="Lucida Grande" w:cs="Lucida Grande"/>
      <w:sz w:val="18"/>
      <w:szCs w:val="18"/>
    </w:rPr>
  </w:style>
  <w:style w:type="paragraph" w:customStyle="1" w:styleId="Car">
    <w:name w:val="Car"/>
    <w:basedOn w:val="Normal"/>
    <w:rsid w:val="00445997"/>
    <w:pPr>
      <w:spacing w:after="160" w:line="240" w:lineRule="exact"/>
    </w:pPr>
    <w:rPr>
      <w:rFonts w:ascii="Verdana" w:eastAsia="Times New Roman" w:hAnsi="Verdana" w:cs="Times New Roman"/>
      <w:spacing w:val="-5"/>
      <w:lang w:val="en-US"/>
    </w:rPr>
  </w:style>
  <w:style w:type="paragraph" w:styleId="BodyText">
    <w:name w:val="Body Text"/>
    <w:basedOn w:val="Normal"/>
    <w:link w:val="BodyTextChar"/>
    <w:rsid w:val="0000544F"/>
    <w:pPr>
      <w:tabs>
        <w:tab w:val="left" w:pos="2835"/>
      </w:tabs>
      <w:spacing w:line="360" w:lineRule="auto"/>
      <w:jc w:val="both"/>
    </w:pPr>
    <w:rPr>
      <w:rFonts w:ascii="Arial" w:eastAsia="Times New Roman" w:hAnsi="Arial" w:cs="Times New Roman"/>
      <w:b/>
      <w:szCs w:val="20"/>
      <w:lang w:val="es-ES" w:eastAsia="es-ES"/>
    </w:rPr>
  </w:style>
  <w:style w:type="character" w:customStyle="1" w:styleId="BodyTextChar">
    <w:name w:val="Body Text Char"/>
    <w:basedOn w:val="DefaultParagraphFont"/>
    <w:link w:val="BodyText"/>
    <w:rsid w:val="0000544F"/>
    <w:rPr>
      <w:rFonts w:ascii="Arial" w:eastAsia="Times New Roman" w:hAnsi="Arial" w:cs="Times New Roman"/>
      <w:b/>
      <w:szCs w:val="20"/>
      <w:lang w:val="es-ES" w:eastAsia="es-ES"/>
    </w:rPr>
  </w:style>
  <w:style w:type="paragraph" w:styleId="ListParagraph">
    <w:name w:val="List Paragraph"/>
    <w:basedOn w:val="Normal"/>
    <w:uiPriority w:val="34"/>
    <w:qFormat/>
    <w:rsid w:val="00216C2E"/>
    <w:pPr>
      <w:ind w:left="720"/>
      <w:contextualSpacing/>
    </w:pPr>
  </w:style>
  <w:style w:type="paragraph" w:styleId="Header">
    <w:name w:val="header"/>
    <w:basedOn w:val="Normal"/>
    <w:link w:val="HeaderChar"/>
    <w:uiPriority w:val="99"/>
    <w:unhideWhenUsed/>
    <w:rsid w:val="00C20DC6"/>
    <w:pPr>
      <w:tabs>
        <w:tab w:val="center" w:pos="4153"/>
        <w:tab w:val="right" w:pos="8306"/>
      </w:tabs>
    </w:pPr>
  </w:style>
  <w:style w:type="character" w:customStyle="1" w:styleId="HeaderChar">
    <w:name w:val="Header Char"/>
    <w:basedOn w:val="DefaultParagraphFont"/>
    <w:link w:val="Header"/>
    <w:uiPriority w:val="99"/>
    <w:rsid w:val="00C20DC6"/>
  </w:style>
  <w:style w:type="paragraph" w:styleId="Footer">
    <w:name w:val="footer"/>
    <w:basedOn w:val="Normal"/>
    <w:link w:val="FooterChar"/>
    <w:uiPriority w:val="99"/>
    <w:unhideWhenUsed/>
    <w:rsid w:val="00C20DC6"/>
    <w:pPr>
      <w:tabs>
        <w:tab w:val="center" w:pos="4153"/>
        <w:tab w:val="right" w:pos="8306"/>
      </w:tabs>
    </w:pPr>
  </w:style>
  <w:style w:type="character" w:customStyle="1" w:styleId="FooterChar">
    <w:name w:val="Footer Char"/>
    <w:basedOn w:val="DefaultParagraphFont"/>
    <w:link w:val="Footer"/>
    <w:uiPriority w:val="99"/>
    <w:rsid w:val="00C20D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997"/>
    <w:rPr>
      <w:rFonts w:ascii="Lucida Grande" w:hAnsi="Lucida Grande" w:cs="Lucida Grande"/>
      <w:sz w:val="18"/>
      <w:szCs w:val="18"/>
    </w:rPr>
  </w:style>
  <w:style w:type="paragraph" w:customStyle="1" w:styleId="Car">
    <w:name w:val="Car"/>
    <w:basedOn w:val="Normal"/>
    <w:rsid w:val="00445997"/>
    <w:pPr>
      <w:spacing w:after="160" w:line="240" w:lineRule="exact"/>
    </w:pPr>
    <w:rPr>
      <w:rFonts w:ascii="Verdana" w:eastAsia="Times New Roman" w:hAnsi="Verdana" w:cs="Times New Roman"/>
      <w:spacing w:val="-5"/>
      <w:lang w:val="en-US"/>
    </w:rPr>
  </w:style>
  <w:style w:type="paragraph" w:styleId="BodyText">
    <w:name w:val="Body Text"/>
    <w:basedOn w:val="Normal"/>
    <w:link w:val="BodyTextChar"/>
    <w:rsid w:val="0000544F"/>
    <w:pPr>
      <w:tabs>
        <w:tab w:val="left" w:pos="2835"/>
      </w:tabs>
      <w:spacing w:line="360" w:lineRule="auto"/>
      <w:jc w:val="both"/>
    </w:pPr>
    <w:rPr>
      <w:rFonts w:ascii="Arial" w:eastAsia="Times New Roman" w:hAnsi="Arial" w:cs="Times New Roman"/>
      <w:b/>
      <w:szCs w:val="20"/>
      <w:lang w:val="es-ES" w:eastAsia="es-ES"/>
    </w:rPr>
  </w:style>
  <w:style w:type="character" w:customStyle="1" w:styleId="BodyTextChar">
    <w:name w:val="Body Text Char"/>
    <w:basedOn w:val="DefaultParagraphFont"/>
    <w:link w:val="BodyText"/>
    <w:rsid w:val="0000544F"/>
    <w:rPr>
      <w:rFonts w:ascii="Arial" w:eastAsia="Times New Roman" w:hAnsi="Arial" w:cs="Times New Roman"/>
      <w:b/>
      <w:szCs w:val="20"/>
      <w:lang w:val="es-ES" w:eastAsia="es-ES"/>
    </w:rPr>
  </w:style>
  <w:style w:type="paragraph" w:styleId="ListParagraph">
    <w:name w:val="List Paragraph"/>
    <w:basedOn w:val="Normal"/>
    <w:uiPriority w:val="34"/>
    <w:qFormat/>
    <w:rsid w:val="00216C2E"/>
    <w:pPr>
      <w:ind w:left="720"/>
      <w:contextualSpacing/>
    </w:pPr>
  </w:style>
  <w:style w:type="paragraph" w:styleId="Header">
    <w:name w:val="header"/>
    <w:basedOn w:val="Normal"/>
    <w:link w:val="HeaderChar"/>
    <w:uiPriority w:val="99"/>
    <w:unhideWhenUsed/>
    <w:rsid w:val="00C20DC6"/>
    <w:pPr>
      <w:tabs>
        <w:tab w:val="center" w:pos="4153"/>
        <w:tab w:val="right" w:pos="8306"/>
      </w:tabs>
    </w:pPr>
  </w:style>
  <w:style w:type="character" w:customStyle="1" w:styleId="HeaderChar">
    <w:name w:val="Header Char"/>
    <w:basedOn w:val="DefaultParagraphFont"/>
    <w:link w:val="Header"/>
    <w:uiPriority w:val="99"/>
    <w:rsid w:val="00C20DC6"/>
  </w:style>
  <w:style w:type="paragraph" w:styleId="Footer">
    <w:name w:val="footer"/>
    <w:basedOn w:val="Normal"/>
    <w:link w:val="FooterChar"/>
    <w:uiPriority w:val="99"/>
    <w:unhideWhenUsed/>
    <w:rsid w:val="00C20DC6"/>
    <w:pPr>
      <w:tabs>
        <w:tab w:val="center" w:pos="4153"/>
        <w:tab w:val="right" w:pos="8306"/>
      </w:tabs>
    </w:pPr>
  </w:style>
  <w:style w:type="character" w:customStyle="1" w:styleId="FooterChar">
    <w:name w:val="Footer Char"/>
    <w:basedOn w:val="DefaultParagraphFont"/>
    <w:link w:val="Footer"/>
    <w:uiPriority w:val="99"/>
    <w:rsid w:val="00C2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1FFF-6B27-A146-9E2B-2B14CB29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1</cp:revision>
  <dcterms:created xsi:type="dcterms:W3CDTF">2018-12-17T12:53:00Z</dcterms:created>
  <dcterms:modified xsi:type="dcterms:W3CDTF">2018-12-17T15:31:00Z</dcterms:modified>
</cp:coreProperties>
</file>