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8C" w:rsidRPr="005B047D" w:rsidRDefault="00C861DD" w:rsidP="00425A8C">
      <w:pPr>
        <w:jc w:val="center"/>
        <w:rPr>
          <w:rFonts w:asciiTheme="majorHAnsi" w:eastAsia="Calibri" w:hAnsiTheme="majorHAnsi" w:cs="Calibri"/>
          <w:b/>
          <w:sz w:val="22"/>
          <w:szCs w:val="22"/>
          <w:highlight w:val="white"/>
        </w:rPr>
      </w:pPr>
      <w:r>
        <w:rPr>
          <w:rFonts w:asciiTheme="majorHAnsi" w:eastAsia="Calibri" w:hAnsiTheme="majorHAnsi" w:cs="Calibri"/>
          <w:b/>
          <w:sz w:val="22"/>
          <w:szCs w:val="22"/>
          <w:highlight w:val="white"/>
          <w:u w:val="single"/>
        </w:rPr>
        <w:t>Acuerdo para aprobar Convención para evitar la doble imposición entre los Estados parte del acuerdo marco de la Alianza por el Pacífico</w:t>
      </w:r>
      <w:r w:rsidR="00425A8C" w:rsidRPr="005B047D">
        <w:rPr>
          <w:rFonts w:asciiTheme="majorHAnsi" w:eastAsia="Calibri" w:hAnsiTheme="majorHAnsi" w:cs="Calibri"/>
          <w:b/>
          <w:sz w:val="22"/>
          <w:szCs w:val="22"/>
          <w:highlight w:val="white"/>
        </w:rPr>
        <w:t>.</w:t>
      </w:r>
    </w:p>
    <w:p w:rsidR="00425A8C" w:rsidRPr="005B047D" w:rsidRDefault="00C861DD" w:rsidP="00425A8C">
      <w:pPr>
        <w:jc w:val="center"/>
        <w:rPr>
          <w:rFonts w:asciiTheme="majorHAnsi" w:eastAsia="Calibri" w:hAnsiTheme="majorHAnsi" w:cs="Calibri"/>
          <w:sz w:val="22"/>
          <w:szCs w:val="22"/>
          <w:highlight w:val="white"/>
        </w:rPr>
      </w:pPr>
      <w:r>
        <w:rPr>
          <w:rFonts w:asciiTheme="majorHAnsi" w:eastAsia="Calibri" w:hAnsiTheme="majorHAnsi" w:cs="Calibri"/>
          <w:sz w:val="22"/>
          <w:szCs w:val="22"/>
        </w:rPr>
        <w:t>Boletín 11.871-10</w:t>
      </w:r>
    </w:p>
    <w:p w:rsidR="00425A8C" w:rsidRPr="005B047D" w:rsidRDefault="00425A8C" w:rsidP="00425A8C">
      <w:pPr>
        <w:rPr>
          <w:rFonts w:asciiTheme="majorHAnsi" w:eastAsia="Calibri" w:hAnsiTheme="majorHAnsi" w:cs="Calibri"/>
          <w:sz w:val="22"/>
          <w:szCs w:val="22"/>
          <w:highlight w:val="white"/>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425A8C" w:rsidRPr="005B047D" w:rsidTr="00425A8C">
        <w:tc>
          <w:tcPr>
            <w:tcW w:w="4414" w:type="dxa"/>
          </w:tcPr>
          <w:p w:rsidR="00425A8C" w:rsidRPr="005B047D" w:rsidRDefault="00425A8C" w:rsidP="00425A8C">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Origen del proyecto </w:t>
            </w:r>
          </w:p>
        </w:tc>
        <w:tc>
          <w:tcPr>
            <w:tcW w:w="4414" w:type="dxa"/>
          </w:tcPr>
          <w:p w:rsidR="00425A8C" w:rsidRPr="005B047D" w:rsidRDefault="00425A8C" w:rsidP="00C861DD">
            <w:pPr>
              <w:tabs>
                <w:tab w:val="left" w:pos="1507"/>
              </w:tabs>
              <w:jc w:val="both"/>
              <w:rPr>
                <w:rFonts w:asciiTheme="majorHAnsi" w:eastAsia="Calibri" w:hAnsiTheme="majorHAnsi" w:cs="Calibri"/>
                <w:sz w:val="22"/>
                <w:szCs w:val="22"/>
              </w:rPr>
            </w:pPr>
            <w:r w:rsidRPr="005B047D">
              <w:rPr>
                <w:rFonts w:asciiTheme="majorHAnsi" w:eastAsia="Calibri" w:hAnsiTheme="majorHAnsi" w:cs="Calibri"/>
                <w:sz w:val="22"/>
                <w:szCs w:val="22"/>
              </w:rPr>
              <w:t>M</w:t>
            </w:r>
            <w:r w:rsidR="00C861DD">
              <w:rPr>
                <w:rFonts w:asciiTheme="majorHAnsi" w:eastAsia="Calibri" w:hAnsiTheme="majorHAnsi" w:cs="Calibri"/>
                <w:sz w:val="22"/>
                <w:szCs w:val="22"/>
              </w:rPr>
              <w:t>ensaje</w:t>
            </w:r>
            <w:r w:rsidRPr="005B047D">
              <w:rPr>
                <w:rFonts w:asciiTheme="majorHAnsi" w:eastAsia="Calibri" w:hAnsiTheme="majorHAnsi" w:cs="Calibri"/>
                <w:sz w:val="22"/>
                <w:szCs w:val="22"/>
              </w:rPr>
              <w:t xml:space="preserve"> (2018)</w:t>
            </w:r>
            <w:r>
              <w:rPr>
                <w:rFonts w:asciiTheme="majorHAnsi" w:eastAsia="Calibri" w:hAnsiTheme="majorHAnsi" w:cs="Calibri"/>
                <w:sz w:val="22"/>
                <w:szCs w:val="22"/>
              </w:rPr>
              <w:t xml:space="preserve"> </w:t>
            </w:r>
          </w:p>
        </w:tc>
      </w:tr>
      <w:tr w:rsidR="00425A8C" w:rsidRPr="005B047D" w:rsidTr="00425A8C">
        <w:tc>
          <w:tcPr>
            <w:tcW w:w="4414" w:type="dxa"/>
          </w:tcPr>
          <w:p w:rsidR="00425A8C" w:rsidRPr="005B047D" w:rsidRDefault="00425A8C" w:rsidP="00425A8C">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Trámite legislativo </w:t>
            </w:r>
          </w:p>
        </w:tc>
        <w:tc>
          <w:tcPr>
            <w:tcW w:w="4414" w:type="dxa"/>
          </w:tcPr>
          <w:p w:rsidR="00425A8C" w:rsidRPr="005B047D" w:rsidRDefault="00425A8C" w:rsidP="00425A8C">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Senado, </w:t>
            </w:r>
            <w:r w:rsidR="00C861DD">
              <w:rPr>
                <w:rFonts w:asciiTheme="majorHAnsi" w:eastAsia="Calibri" w:hAnsiTheme="majorHAnsi" w:cs="Calibri"/>
                <w:sz w:val="22"/>
                <w:szCs w:val="22"/>
              </w:rPr>
              <w:t>Segundo Tramite Constitucional. (Aprobado en Cámara por 135x6x6)</w:t>
            </w:r>
          </w:p>
        </w:tc>
      </w:tr>
      <w:tr w:rsidR="00425A8C" w:rsidRPr="005B047D" w:rsidTr="00425A8C">
        <w:tc>
          <w:tcPr>
            <w:tcW w:w="4414" w:type="dxa"/>
          </w:tcPr>
          <w:p w:rsidR="00425A8C" w:rsidRPr="005B047D" w:rsidRDefault="00425A8C" w:rsidP="00425A8C">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Informe</w:t>
            </w:r>
            <w:r w:rsidR="00C861DD">
              <w:rPr>
                <w:rFonts w:asciiTheme="majorHAnsi" w:eastAsia="Calibri" w:hAnsiTheme="majorHAnsi" w:cs="Calibri"/>
                <w:sz w:val="22"/>
                <w:szCs w:val="22"/>
              </w:rPr>
              <w:t>s</w:t>
            </w:r>
          </w:p>
        </w:tc>
        <w:tc>
          <w:tcPr>
            <w:tcW w:w="4414" w:type="dxa"/>
          </w:tcPr>
          <w:p w:rsidR="00425A8C" w:rsidRDefault="00425A8C" w:rsidP="00C861DD">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Comisión de </w:t>
            </w:r>
            <w:r w:rsidR="00C861DD">
              <w:rPr>
                <w:rFonts w:asciiTheme="majorHAnsi" w:eastAsia="Calibri" w:hAnsiTheme="majorHAnsi" w:cs="Calibri"/>
                <w:sz w:val="22"/>
                <w:szCs w:val="22"/>
              </w:rPr>
              <w:t>RREE y de Hacienda</w:t>
            </w:r>
            <w:r w:rsidR="00453868">
              <w:rPr>
                <w:rFonts w:asciiTheme="majorHAnsi" w:eastAsia="Calibri" w:hAnsiTheme="majorHAnsi" w:cs="Calibri"/>
                <w:sz w:val="22"/>
                <w:szCs w:val="22"/>
              </w:rPr>
              <w:t xml:space="preserve"> (5x0)</w:t>
            </w:r>
            <w:r w:rsidR="00C861DD">
              <w:rPr>
                <w:rFonts w:asciiTheme="majorHAnsi" w:eastAsia="Calibri" w:hAnsiTheme="majorHAnsi" w:cs="Calibri"/>
                <w:sz w:val="22"/>
                <w:szCs w:val="22"/>
              </w:rPr>
              <w:t>.</w:t>
            </w:r>
          </w:p>
          <w:p w:rsidR="00C861DD" w:rsidRPr="005B047D" w:rsidRDefault="00C861DD" w:rsidP="00C861DD">
            <w:pPr>
              <w:tabs>
                <w:tab w:val="left" w:pos="7453"/>
              </w:tabs>
              <w:jc w:val="both"/>
              <w:rPr>
                <w:rFonts w:asciiTheme="majorHAnsi" w:eastAsia="Calibri" w:hAnsiTheme="majorHAnsi" w:cs="Calibri"/>
                <w:sz w:val="22"/>
                <w:szCs w:val="22"/>
              </w:rPr>
            </w:pPr>
          </w:p>
        </w:tc>
      </w:tr>
      <w:tr w:rsidR="00425A8C" w:rsidRPr="005B047D" w:rsidTr="00425A8C">
        <w:trPr>
          <w:trHeight w:val="340"/>
        </w:trPr>
        <w:tc>
          <w:tcPr>
            <w:tcW w:w="4414" w:type="dxa"/>
          </w:tcPr>
          <w:p w:rsidR="00425A8C" w:rsidRPr="005B047D" w:rsidRDefault="00425A8C" w:rsidP="00425A8C">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 xml:space="preserve">Urgencia </w:t>
            </w:r>
          </w:p>
        </w:tc>
        <w:tc>
          <w:tcPr>
            <w:tcW w:w="4414" w:type="dxa"/>
          </w:tcPr>
          <w:p w:rsidR="00425A8C" w:rsidRPr="005B047D" w:rsidRDefault="00C861DD" w:rsidP="00425A8C">
            <w:pPr>
              <w:tabs>
                <w:tab w:val="left" w:pos="7453"/>
              </w:tabs>
              <w:jc w:val="both"/>
              <w:rPr>
                <w:rFonts w:asciiTheme="majorHAnsi" w:eastAsia="Calibri" w:hAnsiTheme="majorHAnsi" w:cs="Calibri"/>
                <w:sz w:val="22"/>
                <w:szCs w:val="22"/>
              </w:rPr>
            </w:pPr>
            <w:r>
              <w:rPr>
                <w:rFonts w:asciiTheme="majorHAnsi" w:eastAsia="Calibri" w:hAnsiTheme="majorHAnsi" w:cs="Calibri"/>
                <w:sz w:val="22"/>
                <w:szCs w:val="22"/>
              </w:rPr>
              <w:t>Suma</w:t>
            </w:r>
          </w:p>
        </w:tc>
      </w:tr>
      <w:tr w:rsidR="00425A8C" w:rsidRPr="005B047D" w:rsidTr="00425A8C">
        <w:tc>
          <w:tcPr>
            <w:tcW w:w="4414" w:type="dxa"/>
          </w:tcPr>
          <w:p w:rsidR="00425A8C" w:rsidRPr="005B047D" w:rsidRDefault="00425A8C" w:rsidP="00425A8C">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Quórum</w:t>
            </w:r>
          </w:p>
        </w:tc>
        <w:tc>
          <w:tcPr>
            <w:tcW w:w="4414" w:type="dxa"/>
          </w:tcPr>
          <w:p w:rsidR="00425A8C" w:rsidRPr="005B047D" w:rsidRDefault="00C861DD" w:rsidP="00C861DD">
            <w:pPr>
              <w:tabs>
                <w:tab w:val="left" w:pos="7453"/>
              </w:tabs>
              <w:jc w:val="both"/>
              <w:rPr>
                <w:rFonts w:asciiTheme="majorHAnsi" w:eastAsia="Calibri" w:hAnsiTheme="majorHAnsi" w:cs="Calibri"/>
                <w:sz w:val="22"/>
                <w:szCs w:val="22"/>
              </w:rPr>
            </w:pPr>
            <w:r>
              <w:rPr>
                <w:rFonts w:asciiTheme="majorHAnsi" w:eastAsia="Calibri" w:hAnsiTheme="majorHAnsi" w:cs="Calibri"/>
                <w:sz w:val="22"/>
                <w:szCs w:val="22"/>
              </w:rPr>
              <w:t>Simple</w:t>
            </w:r>
          </w:p>
        </w:tc>
      </w:tr>
      <w:tr w:rsidR="00425A8C" w:rsidRPr="005B047D" w:rsidTr="00425A8C">
        <w:tc>
          <w:tcPr>
            <w:tcW w:w="4414" w:type="dxa"/>
          </w:tcPr>
          <w:p w:rsidR="00425A8C" w:rsidRPr="005B047D" w:rsidRDefault="00425A8C" w:rsidP="00425A8C">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Forma de discusión</w:t>
            </w:r>
          </w:p>
        </w:tc>
        <w:tc>
          <w:tcPr>
            <w:tcW w:w="4414" w:type="dxa"/>
          </w:tcPr>
          <w:p w:rsidR="00425A8C" w:rsidRPr="005B047D" w:rsidRDefault="00425A8C" w:rsidP="00425A8C">
            <w:pPr>
              <w:tabs>
                <w:tab w:val="left" w:pos="7453"/>
              </w:tabs>
              <w:jc w:val="both"/>
              <w:rPr>
                <w:rFonts w:asciiTheme="majorHAnsi" w:eastAsia="Calibri" w:hAnsiTheme="majorHAnsi" w:cs="Calibri"/>
                <w:sz w:val="22"/>
                <w:szCs w:val="22"/>
              </w:rPr>
            </w:pPr>
            <w:r w:rsidRPr="005B047D">
              <w:rPr>
                <w:rFonts w:asciiTheme="majorHAnsi" w:eastAsia="Calibri" w:hAnsiTheme="majorHAnsi" w:cs="Calibri"/>
                <w:sz w:val="22"/>
                <w:szCs w:val="22"/>
              </w:rPr>
              <w:t>En general</w:t>
            </w:r>
            <w:r>
              <w:rPr>
                <w:rFonts w:asciiTheme="majorHAnsi" w:eastAsia="Calibri" w:hAnsiTheme="majorHAnsi" w:cs="Calibri"/>
                <w:sz w:val="22"/>
                <w:szCs w:val="22"/>
              </w:rPr>
              <w:t xml:space="preserve"> y particular</w:t>
            </w:r>
          </w:p>
        </w:tc>
      </w:tr>
    </w:tbl>
    <w:p w:rsidR="00453868" w:rsidRDefault="00453868"/>
    <w:p w:rsidR="00453868" w:rsidRDefault="00453868" w:rsidP="000845B4">
      <w:pPr>
        <w:tabs>
          <w:tab w:val="left" w:pos="2835"/>
        </w:tabs>
        <w:jc w:val="both"/>
        <w:rPr>
          <w:rFonts w:asciiTheme="majorHAnsi" w:hAnsiTheme="majorHAnsi" w:cs="Arial"/>
          <w:b/>
          <w:sz w:val="22"/>
          <w:szCs w:val="22"/>
          <w:u w:val="single"/>
        </w:rPr>
      </w:pPr>
      <w:r>
        <w:rPr>
          <w:rFonts w:asciiTheme="majorHAnsi" w:hAnsiTheme="majorHAnsi" w:cs="Arial"/>
          <w:b/>
          <w:sz w:val="22"/>
          <w:szCs w:val="22"/>
          <w:u w:val="single"/>
        </w:rPr>
        <w:t xml:space="preserve">Antecedentes: </w:t>
      </w:r>
    </w:p>
    <w:p w:rsidR="000A3BEA" w:rsidRDefault="000A3BEA" w:rsidP="000845B4">
      <w:pPr>
        <w:tabs>
          <w:tab w:val="left" w:pos="2835"/>
        </w:tabs>
        <w:jc w:val="both"/>
        <w:rPr>
          <w:rFonts w:asciiTheme="majorHAnsi" w:hAnsiTheme="majorHAnsi" w:cs="Arial"/>
          <w:b/>
          <w:sz w:val="22"/>
          <w:szCs w:val="22"/>
          <w:u w:val="single"/>
        </w:rPr>
      </w:pPr>
    </w:p>
    <w:p w:rsidR="00453868" w:rsidRPr="00D26671" w:rsidRDefault="00453868" w:rsidP="00D26671">
      <w:pPr>
        <w:keepNext/>
        <w:tabs>
          <w:tab w:val="left" w:pos="2880"/>
        </w:tabs>
        <w:jc w:val="both"/>
        <w:outlineLvl w:val="0"/>
        <w:rPr>
          <w:rFonts w:asciiTheme="majorHAnsi" w:hAnsiTheme="majorHAnsi" w:cs="Arial"/>
          <w:sz w:val="22"/>
          <w:szCs w:val="22"/>
          <w:lang w:val="es-ES_tradnl"/>
        </w:rPr>
      </w:pPr>
      <w:r>
        <w:rPr>
          <w:rFonts w:asciiTheme="majorHAnsi" w:hAnsiTheme="majorHAnsi" w:cs="Arial"/>
          <w:sz w:val="22"/>
          <w:szCs w:val="22"/>
          <w:lang w:val="es-ES_tradnl"/>
        </w:rPr>
        <w:t>L</w:t>
      </w:r>
      <w:r w:rsidRPr="00453868">
        <w:rPr>
          <w:rFonts w:asciiTheme="majorHAnsi" w:hAnsiTheme="majorHAnsi" w:cs="Arial"/>
          <w:sz w:val="22"/>
          <w:szCs w:val="22"/>
          <w:lang w:val="es-ES_tradnl"/>
        </w:rPr>
        <w:t xml:space="preserve">a Alianza para el Pacífico </w:t>
      </w:r>
      <w:r>
        <w:rPr>
          <w:rFonts w:asciiTheme="majorHAnsi" w:hAnsiTheme="majorHAnsi" w:cs="Arial"/>
          <w:sz w:val="22"/>
          <w:szCs w:val="22"/>
          <w:lang w:val="es-ES_tradnl"/>
        </w:rPr>
        <w:t>consiste en un acuerdo marco integrado</w:t>
      </w:r>
      <w:r w:rsidRPr="00453868">
        <w:rPr>
          <w:rFonts w:asciiTheme="majorHAnsi" w:hAnsiTheme="majorHAnsi" w:cs="Arial"/>
          <w:sz w:val="22"/>
          <w:szCs w:val="22"/>
          <w:lang w:val="es-ES_tradnl"/>
        </w:rPr>
        <w:t xml:space="preserve"> por Chile, Colombia, México y Perú, </w:t>
      </w:r>
      <w:r>
        <w:rPr>
          <w:rFonts w:asciiTheme="majorHAnsi" w:hAnsiTheme="majorHAnsi" w:cs="Arial"/>
          <w:sz w:val="22"/>
          <w:szCs w:val="22"/>
          <w:lang w:val="es-ES_tradnl"/>
        </w:rPr>
        <w:t>y que tiene por finalidad lograr</w:t>
      </w:r>
      <w:r w:rsidRPr="00453868">
        <w:rPr>
          <w:rFonts w:asciiTheme="majorHAnsi" w:hAnsiTheme="majorHAnsi" w:cs="Arial"/>
          <w:sz w:val="22"/>
          <w:szCs w:val="22"/>
          <w:lang w:val="es-ES_tradnl"/>
        </w:rPr>
        <w:t xml:space="preserve"> la integración económica y financiera de sus países miembros. En </w:t>
      </w:r>
      <w:r>
        <w:rPr>
          <w:rFonts w:asciiTheme="majorHAnsi" w:hAnsiTheme="majorHAnsi" w:cs="Arial"/>
          <w:sz w:val="22"/>
          <w:szCs w:val="22"/>
          <w:lang w:val="es-ES_tradnl"/>
        </w:rPr>
        <w:t>este</w:t>
      </w:r>
      <w:r w:rsidR="000A3BEA">
        <w:rPr>
          <w:rFonts w:asciiTheme="majorHAnsi" w:hAnsiTheme="majorHAnsi" w:cs="Arial"/>
          <w:sz w:val="22"/>
          <w:szCs w:val="22"/>
          <w:lang w:val="es-ES_tradnl"/>
        </w:rPr>
        <w:t xml:space="preserve"> contexto, este</w:t>
      </w:r>
      <w:r w:rsidRPr="00453868">
        <w:rPr>
          <w:rFonts w:asciiTheme="majorHAnsi" w:hAnsiTheme="majorHAnsi" w:cs="Arial"/>
          <w:sz w:val="22"/>
          <w:szCs w:val="22"/>
          <w:lang w:val="es-ES_tradnl"/>
        </w:rPr>
        <w:t xml:space="preserve"> Convenio </w:t>
      </w:r>
      <w:r>
        <w:rPr>
          <w:rFonts w:asciiTheme="majorHAnsi" w:hAnsiTheme="majorHAnsi" w:cs="Arial"/>
          <w:sz w:val="22"/>
          <w:szCs w:val="22"/>
          <w:lang w:val="es-ES_tradnl"/>
        </w:rPr>
        <w:t xml:space="preserve">nace a partir de </w:t>
      </w:r>
      <w:r w:rsidRPr="00453868">
        <w:rPr>
          <w:rFonts w:asciiTheme="majorHAnsi" w:hAnsiTheme="majorHAnsi" w:cs="Arial"/>
          <w:sz w:val="22"/>
          <w:szCs w:val="22"/>
          <w:lang w:val="es-ES_tradnl"/>
        </w:rPr>
        <w:t xml:space="preserve">una revisión </w:t>
      </w:r>
      <w:r>
        <w:rPr>
          <w:rFonts w:asciiTheme="majorHAnsi" w:hAnsiTheme="majorHAnsi" w:cs="Arial"/>
          <w:sz w:val="22"/>
          <w:szCs w:val="22"/>
          <w:lang w:val="es-ES_tradnl"/>
        </w:rPr>
        <w:t xml:space="preserve">que se decidió llevar a cabo </w:t>
      </w:r>
      <w:r w:rsidRPr="00453868">
        <w:rPr>
          <w:rFonts w:asciiTheme="majorHAnsi" w:hAnsiTheme="majorHAnsi" w:cs="Arial"/>
          <w:sz w:val="22"/>
          <w:szCs w:val="22"/>
          <w:lang w:val="es-ES_tradnl"/>
        </w:rPr>
        <w:t xml:space="preserve">del régimen impositivo </w:t>
      </w:r>
      <w:r>
        <w:rPr>
          <w:rFonts w:asciiTheme="majorHAnsi" w:hAnsiTheme="majorHAnsi" w:cs="Arial"/>
          <w:sz w:val="22"/>
          <w:szCs w:val="22"/>
          <w:lang w:val="es-ES_tradnl"/>
        </w:rPr>
        <w:t xml:space="preserve">existente </w:t>
      </w:r>
      <w:r w:rsidRPr="00453868">
        <w:rPr>
          <w:rFonts w:asciiTheme="majorHAnsi" w:hAnsiTheme="majorHAnsi" w:cs="Arial"/>
          <w:sz w:val="22"/>
          <w:szCs w:val="22"/>
          <w:lang w:val="es-ES_tradnl"/>
        </w:rPr>
        <w:t>entre</w:t>
      </w:r>
      <w:r w:rsidR="000A3BEA">
        <w:rPr>
          <w:rFonts w:asciiTheme="majorHAnsi" w:hAnsiTheme="majorHAnsi" w:cs="Arial"/>
          <w:sz w:val="22"/>
          <w:szCs w:val="22"/>
          <w:lang w:val="es-ES_tradnl"/>
        </w:rPr>
        <w:t xml:space="preserve"> </w:t>
      </w:r>
      <w:r w:rsidR="0098647A">
        <w:rPr>
          <w:rFonts w:asciiTheme="majorHAnsi" w:hAnsiTheme="majorHAnsi" w:cs="Arial"/>
          <w:sz w:val="22"/>
          <w:szCs w:val="22"/>
          <w:lang w:val="es-ES_tradnl"/>
        </w:rPr>
        <w:t>estos países,</w:t>
      </w:r>
      <w:r w:rsidRPr="00453868">
        <w:rPr>
          <w:rFonts w:asciiTheme="majorHAnsi" w:hAnsiTheme="majorHAnsi" w:cs="Arial"/>
          <w:sz w:val="22"/>
          <w:szCs w:val="22"/>
          <w:lang w:val="es-ES_tradnl"/>
        </w:rPr>
        <w:t xml:space="preserve"> </w:t>
      </w:r>
      <w:r>
        <w:rPr>
          <w:rFonts w:asciiTheme="majorHAnsi" w:hAnsiTheme="majorHAnsi" w:cs="Arial"/>
          <w:sz w:val="22"/>
          <w:szCs w:val="22"/>
          <w:lang w:val="es-ES_tradnl"/>
        </w:rPr>
        <w:t xml:space="preserve">y </w:t>
      </w:r>
      <w:r w:rsidR="0098647A">
        <w:rPr>
          <w:rFonts w:asciiTheme="majorHAnsi" w:hAnsiTheme="majorHAnsi" w:cs="Arial"/>
          <w:sz w:val="22"/>
          <w:szCs w:val="22"/>
          <w:lang w:val="es-ES_tradnl"/>
        </w:rPr>
        <w:t xml:space="preserve">que </w:t>
      </w:r>
      <w:r>
        <w:rPr>
          <w:rFonts w:asciiTheme="majorHAnsi" w:hAnsiTheme="majorHAnsi" w:cs="Arial"/>
          <w:sz w:val="22"/>
          <w:szCs w:val="22"/>
          <w:lang w:val="es-ES_tradnl"/>
        </w:rPr>
        <w:t>busca</w:t>
      </w:r>
      <w:r w:rsidR="0098647A">
        <w:rPr>
          <w:rFonts w:asciiTheme="majorHAnsi" w:hAnsiTheme="majorHAnsi" w:cs="Arial"/>
          <w:sz w:val="22"/>
          <w:szCs w:val="22"/>
          <w:lang w:val="es-ES_tradnl"/>
        </w:rPr>
        <w:t xml:space="preserve"> </w:t>
      </w:r>
      <w:r w:rsidRPr="00453868">
        <w:rPr>
          <w:rFonts w:asciiTheme="majorHAnsi" w:hAnsiTheme="majorHAnsi" w:cs="Arial"/>
          <w:sz w:val="22"/>
          <w:szCs w:val="22"/>
          <w:lang w:val="es-ES_tradnl"/>
        </w:rPr>
        <w:t>homologar el tratamiento tributario de las ganancias de capital aplicable a sus residentes, exclusivamente en materia de fondos de pe</w:t>
      </w:r>
      <w:r w:rsidR="000A3BEA">
        <w:rPr>
          <w:rFonts w:asciiTheme="majorHAnsi" w:hAnsiTheme="majorHAnsi" w:cs="Arial"/>
          <w:sz w:val="22"/>
          <w:szCs w:val="22"/>
          <w:lang w:val="es-ES_tradnl"/>
        </w:rPr>
        <w:t xml:space="preserve">nsiones. </w:t>
      </w:r>
    </w:p>
    <w:p w:rsidR="00D26671" w:rsidRDefault="00D26671" w:rsidP="000845B4">
      <w:pPr>
        <w:tabs>
          <w:tab w:val="left" w:pos="2835"/>
        </w:tabs>
        <w:jc w:val="both"/>
        <w:rPr>
          <w:rFonts w:asciiTheme="majorHAnsi" w:hAnsiTheme="majorHAnsi" w:cs="Arial"/>
          <w:b/>
          <w:sz w:val="22"/>
          <w:szCs w:val="22"/>
          <w:u w:val="single"/>
        </w:rPr>
      </w:pPr>
    </w:p>
    <w:p w:rsidR="00D26671" w:rsidRDefault="00991807" w:rsidP="00D26671">
      <w:pPr>
        <w:tabs>
          <w:tab w:val="left" w:pos="2835"/>
        </w:tabs>
        <w:jc w:val="both"/>
        <w:rPr>
          <w:rFonts w:asciiTheme="majorHAnsi" w:hAnsiTheme="majorHAnsi" w:cs="Arial"/>
          <w:b/>
          <w:sz w:val="22"/>
          <w:szCs w:val="22"/>
          <w:u w:val="single"/>
        </w:rPr>
      </w:pPr>
      <w:r w:rsidRPr="00991807">
        <w:rPr>
          <w:rFonts w:asciiTheme="majorHAnsi" w:hAnsiTheme="majorHAnsi" w:cs="Arial"/>
          <w:b/>
          <w:sz w:val="22"/>
          <w:szCs w:val="22"/>
          <w:u w:val="single"/>
        </w:rPr>
        <w:t>El proyecto:</w:t>
      </w:r>
    </w:p>
    <w:p w:rsidR="00D26671" w:rsidRDefault="00D26671" w:rsidP="00D26671">
      <w:pPr>
        <w:tabs>
          <w:tab w:val="left" w:pos="2835"/>
        </w:tabs>
        <w:jc w:val="both"/>
        <w:rPr>
          <w:rFonts w:asciiTheme="majorHAnsi" w:hAnsiTheme="majorHAnsi" w:cs="Arial"/>
          <w:b/>
          <w:sz w:val="22"/>
          <w:szCs w:val="22"/>
          <w:u w:val="single"/>
        </w:rPr>
      </w:pPr>
    </w:p>
    <w:p w:rsidR="00D26671" w:rsidRDefault="0098647A" w:rsidP="00D26671">
      <w:pPr>
        <w:tabs>
          <w:tab w:val="left" w:pos="2835"/>
        </w:tabs>
        <w:jc w:val="both"/>
        <w:rPr>
          <w:rFonts w:asciiTheme="majorHAnsi" w:hAnsiTheme="majorHAnsi" w:cs="Arial"/>
          <w:sz w:val="22"/>
          <w:szCs w:val="22"/>
          <w:lang w:val="es-ES_tradnl"/>
        </w:rPr>
      </w:pPr>
      <w:r>
        <w:rPr>
          <w:rFonts w:asciiTheme="majorHAnsi" w:hAnsiTheme="majorHAnsi" w:cs="Arial"/>
          <w:sz w:val="22"/>
          <w:szCs w:val="22"/>
          <w:lang w:val="es-ES_tradnl"/>
        </w:rPr>
        <w:t>E</w:t>
      </w:r>
      <w:r w:rsidR="00453868" w:rsidRPr="000A3BEA">
        <w:rPr>
          <w:rFonts w:asciiTheme="majorHAnsi" w:hAnsiTheme="majorHAnsi" w:cs="Arial"/>
          <w:sz w:val="22"/>
          <w:szCs w:val="22"/>
          <w:lang w:val="es-ES_tradnl"/>
        </w:rPr>
        <w:t>l Convenio viene a modificar los convenios de doble tributación actualmente vigentes entre los países miembros de la Alianza, en lo que importa a ganancias de capital de los fondos; esto es, utilidad en la venta de acciones, básicamente, e intereses.</w:t>
      </w:r>
    </w:p>
    <w:p w:rsidR="00D26671" w:rsidRDefault="00D26671" w:rsidP="00D26671">
      <w:pPr>
        <w:tabs>
          <w:tab w:val="left" w:pos="2835"/>
        </w:tabs>
        <w:jc w:val="both"/>
        <w:rPr>
          <w:rFonts w:asciiTheme="majorHAnsi" w:hAnsiTheme="majorHAnsi" w:cs="Arial"/>
          <w:sz w:val="22"/>
          <w:szCs w:val="22"/>
          <w:lang w:val="es-ES_tradnl"/>
        </w:rPr>
      </w:pPr>
    </w:p>
    <w:p w:rsidR="00D26671" w:rsidRDefault="0098647A" w:rsidP="00D26671">
      <w:pPr>
        <w:tabs>
          <w:tab w:val="left" w:pos="2835"/>
        </w:tabs>
        <w:jc w:val="both"/>
        <w:rPr>
          <w:rFonts w:asciiTheme="majorHAnsi" w:hAnsiTheme="majorHAnsi" w:cs="Arial"/>
          <w:sz w:val="22"/>
          <w:szCs w:val="22"/>
          <w:lang w:val="es-ES_tradnl"/>
        </w:rPr>
      </w:pPr>
      <w:r>
        <w:rPr>
          <w:rFonts w:asciiTheme="majorHAnsi" w:hAnsiTheme="majorHAnsi" w:cs="Arial"/>
          <w:sz w:val="22"/>
          <w:szCs w:val="22"/>
          <w:lang w:val="es-ES_tradnl"/>
        </w:rPr>
        <w:t>De esta forma el Convenio busca hacer algo que usualmente se hace en tributación internacional: limitar</w:t>
      </w:r>
      <w:r w:rsidR="00453868" w:rsidRPr="000A3BEA">
        <w:rPr>
          <w:rFonts w:asciiTheme="majorHAnsi" w:hAnsiTheme="majorHAnsi" w:cs="Arial"/>
          <w:sz w:val="22"/>
          <w:szCs w:val="22"/>
          <w:lang w:val="es-ES_tradnl"/>
        </w:rPr>
        <w:t xml:space="preserve"> la tributación en el </w:t>
      </w:r>
      <w:r w:rsidR="00453868" w:rsidRPr="00D26671">
        <w:rPr>
          <w:rFonts w:asciiTheme="majorHAnsi" w:hAnsiTheme="majorHAnsi" w:cs="Arial"/>
          <w:b/>
          <w:sz w:val="22"/>
          <w:szCs w:val="22"/>
          <w:u w:val="single"/>
          <w:lang w:val="es-ES_tradnl"/>
        </w:rPr>
        <w:t>país fuente</w:t>
      </w:r>
      <w:r w:rsidR="00453868" w:rsidRPr="000A3BEA">
        <w:rPr>
          <w:rFonts w:asciiTheme="majorHAnsi" w:hAnsiTheme="majorHAnsi" w:cs="Arial"/>
          <w:sz w:val="22"/>
          <w:szCs w:val="22"/>
          <w:lang w:val="es-ES_tradnl"/>
        </w:rPr>
        <w:t>, es decir, en el que recibe la inversión, habida cue</w:t>
      </w:r>
      <w:r>
        <w:rPr>
          <w:rFonts w:asciiTheme="majorHAnsi" w:hAnsiTheme="majorHAnsi" w:cs="Arial"/>
          <w:sz w:val="22"/>
          <w:szCs w:val="22"/>
          <w:lang w:val="es-ES_tradnl"/>
        </w:rPr>
        <w:t xml:space="preserve">nta de que ha sido en otro país: en el </w:t>
      </w:r>
      <w:r w:rsidRPr="00D26671">
        <w:rPr>
          <w:rFonts w:asciiTheme="majorHAnsi" w:hAnsiTheme="majorHAnsi" w:cs="Arial"/>
          <w:b/>
          <w:sz w:val="22"/>
          <w:szCs w:val="22"/>
          <w:u w:val="single"/>
          <w:lang w:val="es-ES_tradnl"/>
        </w:rPr>
        <w:t>d</w:t>
      </w:r>
      <w:r w:rsidR="00453868" w:rsidRPr="00D26671">
        <w:rPr>
          <w:rFonts w:asciiTheme="majorHAnsi" w:hAnsiTheme="majorHAnsi" w:cs="Arial"/>
          <w:b/>
          <w:sz w:val="22"/>
          <w:szCs w:val="22"/>
          <w:u w:val="single"/>
          <w:lang w:val="es-ES_tradnl"/>
        </w:rPr>
        <w:t>e residencia</w:t>
      </w:r>
      <w:r>
        <w:rPr>
          <w:rFonts w:asciiTheme="majorHAnsi" w:hAnsiTheme="majorHAnsi" w:cs="Arial"/>
          <w:sz w:val="22"/>
          <w:szCs w:val="22"/>
          <w:lang w:val="es-ES_tradnl"/>
        </w:rPr>
        <w:t>,</w:t>
      </w:r>
      <w:r w:rsidR="00453868" w:rsidRPr="000A3BEA">
        <w:rPr>
          <w:rFonts w:asciiTheme="majorHAnsi" w:hAnsiTheme="majorHAnsi" w:cs="Arial"/>
          <w:sz w:val="22"/>
          <w:szCs w:val="22"/>
          <w:lang w:val="es-ES_tradnl"/>
        </w:rPr>
        <w:t xml:space="preserve"> </w:t>
      </w:r>
      <w:r>
        <w:rPr>
          <w:rFonts w:asciiTheme="majorHAnsi" w:hAnsiTheme="majorHAnsi" w:cs="Arial"/>
          <w:sz w:val="22"/>
          <w:szCs w:val="22"/>
          <w:lang w:val="es-ES_tradnl"/>
        </w:rPr>
        <w:t xml:space="preserve">que corresponde a aquel en </w:t>
      </w:r>
      <w:r w:rsidR="00453868" w:rsidRPr="000A3BEA">
        <w:rPr>
          <w:rFonts w:asciiTheme="majorHAnsi" w:hAnsiTheme="majorHAnsi" w:cs="Arial"/>
          <w:sz w:val="22"/>
          <w:szCs w:val="22"/>
          <w:lang w:val="es-ES_tradnl"/>
        </w:rPr>
        <w:t xml:space="preserve">donde se encuentra el fondo de pensiones que lleva a cabo la inversión. A partir del Convenio, entonces, el país de residencia pasará a tener el mismo tratamiento impositivo. </w:t>
      </w:r>
      <w:r w:rsidR="00D26671">
        <w:rPr>
          <w:rFonts w:asciiTheme="majorHAnsi" w:hAnsiTheme="majorHAnsi" w:cs="Arial"/>
          <w:color w:val="000000"/>
          <w:sz w:val="22"/>
          <w:szCs w:val="22"/>
        </w:rPr>
        <w:t xml:space="preserve">Para esto se </w:t>
      </w:r>
      <w:r w:rsidRPr="0098647A">
        <w:rPr>
          <w:rFonts w:asciiTheme="majorHAnsi" w:hAnsiTheme="majorHAnsi" w:cs="Arial"/>
          <w:color w:val="000000"/>
          <w:sz w:val="22"/>
          <w:szCs w:val="22"/>
        </w:rPr>
        <w:t xml:space="preserve">establece </w:t>
      </w:r>
      <w:r w:rsidR="00D26671">
        <w:rPr>
          <w:rFonts w:asciiTheme="majorHAnsi" w:hAnsiTheme="majorHAnsi" w:cs="Arial"/>
          <w:color w:val="000000"/>
          <w:sz w:val="22"/>
          <w:szCs w:val="22"/>
        </w:rPr>
        <w:t xml:space="preserve">en </w:t>
      </w:r>
      <w:r w:rsidRPr="0098647A">
        <w:rPr>
          <w:rFonts w:asciiTheme="majorHAnsi" w:hAnsiTheme="majorHAnsi" w:cs="Arial"/>
          <w:color w:val="000000"/>
          <w:sz w:val="22"/>
          <w:szCs w:val="22"/>
        </w:rPr>
        <w:t>la potestad tributaria a aplicar por cada parte</w:t>
      </w:r>
      <w:r w:rsidR="00D26671">
        <w:rPr>
          <w:rFonts w:asciiTheme="majorHAnsi" w:hAnsiTheme="majorHAnsi" w:cs="Arial"/>
          <w:color w:val="000000"/>
          <w:sz w:val="22"/>
          <w:szCs w:val="22"/>
        </w:rPr>
        <w:t>,</w:t>
      </w:r>
      <w:r w:rsidRPr="0098647A">
        <w:rPr>
          <w:rFonts w:asciiTheme="majorHAnsi" w:hAnsiTheme="majorHAnsi" w:cs="Arial"/>
          <w:color w:val="000000"/>
          <w:sz w:val="22"/>
          <w:szCs w:val="22"/>
        </w:rPr>
        <w:t xml:space="preserve"> la </w:t>
      </w:r>
      <w:r w:rsidRPr="00D26671">
        <w:rPr>
          <w:rFonts w:asciiTheme="majorHAnsi" w:hAnsiTheme="majorHAnsi" w:cs="Arial"/>
          <w:b/>
          <w:color w:val="000000"/>
          <w:sz w:val="22"/>
          <w:szCs w:val="22"/>
        </w:rPr>
        <w:t>exención simultánea</w:t>
      </w:r>
      <w:r w:rsidRPr="00D26671">
        <w:rPr>
          <w:rFonts w:asciiTheme="majorHAnsi" w:hAnsiTheme="majorHAnsi" w:cs="Arial"/>
          <w:color w:val="000000"/>
          <w:sz w:val="22"/>
          <w:szCs w:val="22"/>
        </w:rPr>
        <w:t xml:space="preserve"> de la otra de los gravámenes </w:t>
      </w:r>
      <w:r w:rsidR="00D26671" w:rsidRPr="00D26671">
        <w:rPr>
          <w:rFonts w:asciiTheme="majorHAnsi" w:hAnsiTheme="majorHAnsi" w:cs="Arial"/>
          <w:color w:val="000000"/>
          <w:sz w:val="22"/>
          <w:szCs w:val="22"/>
        </w:rPr>
        <w:t>a los distintos tipos de rentas</w:t>
      </w:r>
      <w:r w:rsidRPr="0098647A">
        <w:rPr>
          <w:rFonts w:asciiTheme="majorHAnsi" w:hAnsiTheme="majorHAnsi" w:cs="Arial"/>
          <w:color w:val="000000"/>
          <w:sz w:val="22"/>
          <w:szCs w:val="22"/>
        </w:rPr>
        <w:t xml:space="preserve">. </w:t>
      </w:r>
    </w:p>
    <w:p w:rsidR="00D26671" w:rsidRDefault="00D26671" w:rsidP="00D26671">
      <w:pPr>
        <w:tabs>
          <w:tab w:val="left" w:pos="2835"/>
        </w:tabs>
        <w:jc w:val="both"/>
        <w:rPr>
          <w:rFonts w:asciiTheme="majorHAnsi" w:hAnsiTheme="majorHAnsi" w:cs="Arial"/>
          <w:sz w:val="22"/>
          <w:szCs w:val="22"/>
          <w:lang w:val="es-ES_tradnl"/>
        </w:rPr>
      </w:pPr>
    </w:p>
    <w:p w:rsidR="00D26671" w:rsidRDefault="00D26671" w:rsidP="00D26671">
      <w:pPr>
        <w:tabs>
          <w:tab w:val="left" w:pos="2835"/>
        </w:tabs>
        <w:jc w:val="both"/>
        <w:rPr>
          <w:rFonts w:asciiTheme="majorHAnsi" w:hAnsiTheme="majorHAnsi" w:cs="Arial"/>
          <w:sz w:val="22"/>
          <w:szCs w:val="22"/>
          <w:lang w:val="es-ES_tradnl"/>
        </w:rPr>
      </w:pPr>
      <w:r>
        <w:rPr>
          <w:rFonts w:asciiTheme="majorHAnsi" w:hAnsiTheme="majorHAnsi" w:cs="Arial"/>
          <w:color w:val="000000"/>
          <w:sz w:val="22"/>
          <w:szCs w:val="22"/>
        </w:rPr>
        <w:t>Así, tratándose entonces</w:t>
      </w:r>
      <w:r w:rsidR="0098647A" w:rsidRPr="0098647A">
        <w:rPr>
          <w:rFonts w:asciiTheme="majorHAnsi" w:hAnsiTheme="majorHAnsi" w:cs="Arial"/>
          <w:color w:val="000000"/>
          <w:sz w:val="22"/>
          <w:szCs w:val="22"/>
        </w:rPr>
        <w:t xml:space="preserve"> de las ganancias de capital percibidas por un fondo de pensiones</w:t>
      </w:r>
      <w:r>
        <w:rPr>
          <w:rFonts w:asciiTheme="majorHAnsi" w:hAnsiTheme="majorHAnsi" w:cs="Arial"/>
          <w:color w:val="000000"/>
          <w:sz w:val="22"/>
          <w:szCs w:val="22"/>
        </w:rPr>
        <w:t xml:space="preserve"> legalmente</w:t>
      </w:r>
      <w:r w:rsidR="0098647A" w:rsidRPr="0098647A">
        <w:rPr>
          <w:rFonts w:asciiTheme="majorHAnsi" w:hAnsiTheme="majorHAnsi" w:cs="Arial"/>
          <w:color w:val="000000"/>
          <w:sz w:val="22"/>
          <w:szCs w:val="22"/>
        </w:rPr>
        <w:t xml:space="preserve"> reconocido</w:t>
      </w:r>
      <w:r>
        <w:rPr>
          <w:rFonts w:asciiTheme="majorHAnsi" w:hAnsiTheme="majorHAnsi" w:cs="Arial"/>
          <w:color w:val="000000"/>
          <w:sz w:val="22"/>
          <w:szCs w:val="22"/>
        </w:rPr>
        <w:t xml:space="preserve"> por los respectivos Estados</w:t>
      </w:r>
      <w:r w:rsidR="0098647A" w:rsidRPr="0098647A">
        <w:rPr>
          <w:rFonts w:asciiTheme="majorHAnsi" w:hAnsiTheme="majorHAnsi" w:cs="Arial"/>
          <w:color w:val="000000"/>
          <w:sz w:val="22"/>
          <w:szCs w:val="22"/>
        </w:rPr>
        <w:t xml:space="preserve">, que cumplan con los requisitos establecidos en el acuerdo, la potestad tributaria será atribuida en forma exclusiva al país de residencia de dicho fondo, quedando exento de tributación en el país de la fuente. </w:t>
      </w:r>
    </w:p>
    <w:p w:rsidR="00D26671" w:rsidRDefault="00D26671" w:rsidP="00D26671">
      <w:pPr>
        <w:tabs>
          <w:tab w:val="left" w:pos="2835"/>
        </w:tabs>
        <w:jc w:val="both"/>
        <w:rPr>
          <w:rFonts w:asciiTheme="majorHAnsi" w:hAnsiTheme="majorHAnsi" w:cs="Arial"/>
          <w:sz w:val="22"/>
          <w:szCs w:val="22"/>
          <w:lang w:val="es-ES_tradnl"/>
        </w:rPr>
      </w:pPr>
    </w:p>
    <w:p w:rsidR="0098647A" w:rsidRPr="00D26671" w:rsidRDefault="00D26671" w:rsidP="00D26671">
      <w:pPr>
        <w:tabs>
          <w:tab w:val="left" w:pos="2835"/>
        </w:tabs>
        <w:jc w:val="both"/>
        <w:rPr>
          <w:rFonts w:asciiTheme="majorHAnsi" w:hAnsiTheme="majorHAnsi" w:cs="Arial"/>
          <w:sz w:val="22"/>
          <w:szCs w:val="22"/>
          <w:lang w:val="es-ES_tradnl"/>
        </w:rPr>
      </w:pPr>
      <w:r>
        <w:rPr>
          <w:rFonts w:asciiTheme="majorHAnsi" w:hAnsiTheme="majorHAnsi" w:cs="Arial"/>
          <w:color w:val="000000"/>
          <w:sz w:val="22"/>
          <w:szCs w:val="22"/>
        </w:rPr>
        <w:t xml:space="preserve">Ahora bien, al abordar </w:t>
      </w:r>
      <w:r w:rsidR="0098647A" w:rsidRPr="0098647A">
        <w:rPr>
          <w:rFonts w:asciiTheme="majorHAnsi" w:hAnsiTheme="majorHAnsi" w:cs="Arial"/>
          <w:color w:val="000000"/>
          <w:sz w:val="22"/>
          <w:szCs w:val="22"/>
        </w:rPr>
        <w:t>los intereses percibidos por un fondo de pensiones reconocido, la potestad tributaria será compartida entre el país donde el fondo es residente y el país de la fuente. Sin embargo, en este caso el impuesto no podrá ser mayor del 10% del importe bruto de los intereses.</w:t>
      </w:r>
    </w:p>
    <w:p w:rsidR="00D26671" w:rsidRDefault="00D26671" w:rsidP="00D26671">
      <w:pPr>
        <w:keepNext/>
        <w:tabs>
          <w:tab w:val="left" w:pos="2880"/>
        </w:tabs>
        <w:jc w:val="both"/>
        <w:outlineLvl w:val="0"/>
        <w:rPr>
          <w:rFonts w:asciiTheme="majorHAnsi" w:hAnsiTheme="majorHAnsi" w:cs="Arial"/>
          <w:color w:val="000000"/>
          <w:sz w:val="22"/>
          <w:szCs w:val="22"/>
        </w:rPr>
      </w:pPr>
    </w:p>
    <w:p w:rsidR="00D26671" w:rsidRDefault="00300AEC" w:rsidP="00D26671">
      <w:pPr>
        <w:keepNext/>
        <w:tabs>
          <w:tab w:val="left" w:pos="2880"/>
        </w:tabs>
        <w:jc w:val="both"/>
        <w:outlineLvl w:val="0"/>
        <w:rPr>
          <w:rFonts w:asciiTheme="majorHAnsi" w:hAnsiTheme="majorHAnsi" w:cs="Arial"/>
          <w:sz w:val="22"/>
          <w:szCs w:val="22"/>
          <w:lang w:val="es-ES_tradnl"/>
        </w:rPr>
      </w:pPr>
      <w:r w:rsidRPr="00300AEC">
        <w:rPr>
          <w:rFonts w:asciiTheme="majorHAnsi" w:hAnsiTheme="majorHAnsi" w:cs="Arial"/>
          <w:b/>
          <w:sz w:val="22"/>
          <w:szCs w:val="22"/>
          <w:u w:val="single"/>
          <w:lang w:val="es-ES_tradnl"/>
        </w:rPr>
        <w:t>Comentario</w:t>
      </w:r>
      <w:r>
        <w:rPr>
          <w:rFonts w:asciiTheme="majorHAnsi" w:hAnsiTheme="majorHAnsi" w:cs="Arial"/>
          <w:b/>
          <w:sz w:val="22"/>
          <w:szCs w:val="22"/>
          <w:u w:val="single"/>
          <w:lang w:val="es-ES_tradnl"/>
        </w:rPr>
        <w:t>s para una eventual intervención</w:t>
      </w:r>
      <w:r>
        <w:rPr>
          <w:rFonts w:asciiTheme="majorHAnsi" w:hAnsiTheme="majorHAnsi" w:cs="Arial"/>
          <w:sz w:val="22"/>
          <w:szCs w:val="22"/>
          <w:lang w:val="es-ES_tradnl"/>
        </w:rPr>
        <w:t>:</w:t>
      </w:r>
    </w:p>
    <w:p w:rsidR="00300AEC" w:rsidRDefault="00300AEC" w:rsidP="00D26671">
      <w:pPr>
        <w:keepNext/>
        <w:tabs>
          <w:tab w:val="left" w:pos="2880"/>
        </w:tabs>
        <w:jc w:val="both"/>
        <w:outlineLvl w:val="0"/>
        <w:rPr>
          <w:rFonts w:asciiTheme="majorHAnsi" w:hAnsiTheme="majorHAnsi" w:cs="Arial"/>
          <w:sz w:val="22"/>
          <w:szCs w:val="22"/>
          <w:lang w:val="es-ES_tradnl"/>
        </w:rPr>
      </w:pPr>
    </w:p>
    <w:p w:rsidR="00300AEC" w:rsidRDefault="00300AEC" w:rsidP="00300AEC">
      <w:pPr>
        <w:pStyle w:val="ListParagraph"/>
        <w:keepNext/>
        <w:numPr>
          <w:ilvl w:val="0"/>
          <w:numId w:val="1"/>
        </w:numPr>
        <w:tabs>
          <w:tab w:val="left" w:pos="2880"/>
        </w:tabs>
        <w:jc w:val="both"/>
        <w:outlineLvl w:val="0"/>
        <w:rPr>
          <w:rFonts w:asciiTheme="majorHAnsi" w:hAnsiTheme="majorHAnsi" w:cs="Arial"/>
          <w:sz w:val="22"/>
          <w:szCs w:val="22"/>
          <w:lang w:val="es-ES_tradnl"/>
        </w:rPr>
      </w:pPr>
      <w:r w:rsidRPr="00300AEC">
        <w:rPr>
          <w:rFonts w:asciiTheme="majorHAnsi" w:hAnsiTheme="majorHAnsi" w:cs="Arial"/>
          <w:sz w:val="22"/>
          <w:szCs w:val="22"/>
          <w:lang w:val="es-ES_tradnl"/>
        </w:rPr>
        <w:t xml:space="preserve">Este convenio representa reafirmación y una profundización de la apuesta por integración y la apertura económica que nuestro país adoptó hace ya varias décadas atrás. Por </w:t>
      </w:r>
      <w:r>
        <w:rPr>
          <w:rFonts w:asciiTheme="majorHAnsi" w:hAnsiTheme="majorHAnsi" w:cs="Arial"/>
          <w:sz w:val="22"/>
          <w:szCs w:val="22"/>
          <w:lang w:val="es-ES_tradnl"/>
        </w:rPr>
        <w:t xml:space="preserve">esto no </w:t>
      </w:r>
      <w:r w:rsidRPr="00300AEC">
        <w:rPr>
          <w:rFonts w:asciiTheme="majorHAnsi" w:hAnsiTheme="majorHAnsi" w:cs="Arial"/>
          <w:sz w:val="22"/>
          <w:szCs w:val="22"/>
          <w:lang w:val="es-ES_tradnl"/>
        </w:rPr>
        <w:t xml:space="preserve">debemos pasar por alto el </w:t>
      </w:r>
      <w:r>
        <w:rPr>
          <w:rFonts w:asciiTheme="majorHAnsi" w:hAnsiTheme="majorHAnsi" w:cs="Arial"/>
          <w:sz w:val="22"/>
          <w:szCs w:val="22"/>
          <w:lang w:val="es-ES_tradnl"/>
        </w:rPr>
        <w:t>trasfondo que tienen convenios internacionales como este.</w:t>
      </w:r>
      <w:r w:rsidRPr="00300AEC">
        <w:rPr>
          <w:rFonts w:asciiTheme="majorHAnsi" w:hAnsiTheme="majorHAnsi" w:cs="Arial"/>
          <w:sz w:val="22"/>
          <w:szCs w:val="22"/>
          <w:lang w:val="es-ES_tradnl"/>
        </w:rPr>
        <w:t xml:space="preserve"> </w:t>
      </w:r>
    </w:p>
    <w:p w:rsidR="00843385" w:rsidRDefault="00843385" w:rsidP="00843385">
      <w:pPr>
        <w:pStyle w:val="ListParagraph"/>
        <w:keepNext/>
        <w:tabs>
          <w:tab w:val="left" w:pos="2880"/>
        </w:tabs>
        <w:jc w:val="both"/>
        <w:outlineLvl w:val="0"/>
        <w:rPr>
          <w:rFonts w:asciiTheme="majorHAnsi" w:hAnsiTheme="majorHAnsi" w:cs="Arial"/>
          <w:sz w:val="22"/>
          <w:szCs w:val="22"/>
          <w:lang w:val="es-ES_tradnl"/>
        </w:rPr>
      </w:pPr>
    </w:p>
    <w:p w:rsidR="00843385" w:rsidRDefault="00300AEC" w:rsidP="00300AEC">
      <w:pPr>
        <w:pStyle w:val="ListParagraph"/>
        <w:keepNext/>
        <w:numPr>
          <w:ilvl w:val="0"/>
          <w:numId w:val="1"/>
        </w:numPr>
        <w:tabs>
          <w:tab w:val="left" w:pos="2880"/>
        </w:tabs>
        <w:jc w:val="both"/>
        <w:outlineLvl w:val="0"/>
        <w:rPr>
          <w:rFonts w:asciiTheme="majorHAnsi" w:hAnsiTheme="majorHAnsi" w:cs="Arial"/>
          <w:sz w:val="22"/>
          <w:szCs w:val="22"/>
          <w:lang w:val="es-ES_tradnl"/>
        </w:rPr>
      </w:pPr>
      <w:r>
        <w:rPr>
          <w:rFonts w:asciiTheme="majorHAnsi" w:hAnsiTheme="majorHAnsi" w:cs="Arial"/>
          <w:sz w:val="22"/>
          <w:szCs w:val="22"/>
          <w:lang w:val="es-ES_tradnl"/>
        </w:rPr>
        <w:t xml:space="preserve">En tiempos en </w:t>
      </w:r>
      <w:r w:rsidRPr="00300AEC">
        <w:rPr>
          <w:rFonts w:asciiTheme="majorHAnsi" w:hAnsiTheme="majorHAnsi" w:cs="Arial"/>
          <w:sz w:val="22"/>
          <w:szCs w:val="22"/>
          <w:lang w:val="es-ES_tradnl"/>
        </w:rPr>
        <w:t xml:space="preserve">que </w:t>
      </w:r>
      <w:r>
        <w:rPr>
          <w:rFonts w:asciiTheme="majorHAnsi" w:hAnsiTheme="majorHAnsi" w:cs="Arial"/>
          <w:sz w:val="22"/>
          <w:szCs w:val="22"/>
          <w:lang w:val="es-ES_tradnl"/>
        </w:rPr>
        <w:t>vemos como en el mundo vuelven surgir voc</w:t>
      </w:r>
      <w:r w:rsidR="00843385">
        <w:rPr>
          <w:rFonts w:asciiTheme="majorHAnsi" w:hAnsiTheme="majorHAnsi" w:cs="Arial"/>
          <w:sz w:val="22"/>
          <w:szCs w:val="22"/>
          <w:lang w:val="es-ES_tradnl"/>
        </w:rPr>
        <w:t>es</w:t>
      </w:r>
      <w:r>
        <w:rPr>
          <w:rFonts w:asciiTheme="majorHAnsi" w:hAnsiTheme="majorHAnsi" w:cs="Arial"/>
          <w:sz w:val="22"/>
          <w:szCs w:val="22"/>
          <w:lang w:val="es-ES_tradnl"/>
        </w:rPr>
        <w:t xml:space="preserve"> proteccionistas y aislacionistas, tanto de derecha como de izquierda, </w:t>
      </w:r>
      <w:r w:rsidR="00843385">
        <w:rPr>
          <w:rFonts w:asciiTheme="majorHAnsi" w:hAnsiTheme="majorHAnsi" w:cs="Arial"/>
          <w:sz w:val="22"/>
          <w:szCs w:val="22"/>
          <w:lang w:val="es-ES_tradnl"/>
        </w:rPr>
        <w:t xml:space="preserve">y que </w:t>
      </w:r>
      <w:r>
        <w:rPr>
          <w:rFonts w:asciiTheme="majorHAnsi" w:hAnsiTheme="majorHAnsi" w:cs="Arial"/>
          <w:sz w:val="22"/>
          <w:szCs w:val="22"/>
          <w:lang w:val="es-ES_tradnl"/>
        </w:rPr>
        <w:t>fundadas en una mal entendida</w:t>
      </w:r>
      <w:r w:rsidR="00843385">
        <w:rPr>
          <w:rFonts w:asciiTheme="majorHAnsi" w:hAnsiTheme="majorHAnsi" w:cs="Arial"/>
          <w:sz w:val="22"/>
          <w:szCs w:val="22"/>
          <w:lang w:val="es-ES_tradnl"/>
        </w:rPr>
        <w:t xml:space="preserve"> noción del nacionalismo, promueven volver a levantar las barreras económicas en</w:t>
      </w:r>
      <w:r w:rsidR="00FD78C4">
        <w:rPr>
          <w:rFonts w:asciiTheme="majorHAnsi" w:hAnsiTheme="majorHAnsi" w:cs="Arial"/>
          <w:sz w:val="22"/>
          <w:szCs w:val="22"/>
          <w:lang w:val="es-ES_tradnl"/>
        </w:rPr>
        <w:t xml:space="preserve">tre un país y otros, se vuelve indispensable reafirmar el compromiso con la apertura comercial. </w:t>
      </w:r>
    </w:p>
    <w:p w:rsidR="00843385" w:rsidRPr="00843385" w:rsidRDefault="00843385" w:rsidP="00843385">
      <w:pPr>
        <w:keepNext/>
        <w:tabs>
          <w:tab w:val="left" w:pos="2880"/>
        </w:tabs>
        <w:jc w:val="both"/>
        <w:outlineLvl w:val="0"/>
        <w:rPr>
          <w:rFonts w:asciiTheme="majorHAnsi" w:hAnsiTheme="majorHAnsi" w:cs="Arial"/>
          <w:sz w:val="22"/>
          <w:szCs w:val="22"/>
          <w:lang w:val="es-ES_tradnl"/>
        </w:rPr>
      </w:pPr>
    </w:p>
    <w:p w:rsidR="00322F16" w:rsidRDefault="00843385" w:rsidP="00300AEC">
      <w:pPr>
        <w:pStyle w:val="ListParagraph"/>
        <w:keepNext/>
        <w:numPr>
          <w:ilvl w:val="0"/>
          <w:numId w:val="1"/>
        </w:numPr>
        <w:tabs>
          <w:tab w:val="left" w:pos="2880"/>
        </w:tabs>
        <w:jc w:val="both"/>
        <w:outlineLvl w:val="0"/>
        <w:rPr>
          <w:rFonts w:asciiTheme="majorHAnsi" w:hAnsiTheme="majorHAnsi" w:cs="Arial"/>
          <w:sz w:val="22"/>
          <w:szCs w:val="22"/>
          <w:lang w:val="es-ES_tradnl"/>
        </w:rPr>
      </w:pPr>
      <w:r>
        <w:rPr>
          <w:rFonts w:asciiTheme="majorHAnsi" w:hAnsiTheme="majorHAnsi" w:cs="Arial"/>
          <w:sz w:val="22"/>
          <w:szCs w:val="22"/>
          <w:lang w:val="es-ES_tradnl"/>
        </w:rPr>
        <w:t xml:space="preserve">En Chile durante gran parte del siglo XX </w:t>
      </w:r>
      <w:r w:rsidR="00FD78C4">
        <w:rPr>
          <w:rFonts w:asciiTheme="majorHAnsi" w:hAnsiTheme="majorHAnsi" w:cs="Arial"/>
          <w:sz w:val="22"/>
          <w:szCs w:val="22"/>
          <w:lang w:val="es-ES_tradnl"/>
        </w:rPr>
        <w:t>se tomó</w:t>
      </w:r>
      <w:bookmarkStart w:id="0" w:name="_GoBack"/>
      <w:bookmarkEnd w:id="0"/>
      <w:r>
        <w:rPr>
          <w:rFonts w:asciiTheme="majorHAnsi" w:hAnsiTheme="majorHAnsi" w:cs="Arial"/>
          <w:sz w:val="22"/>
          <w:szCs w:val="22"/>
          <w:lang w:val="es-ES_tradnl"/>
        </w:rPr>
        <w:t xml:space="preserve"> la opción por el proteccionismo, lo que lo llevó a empobrecer su economía y le impidió desarrollar y diversificar la industria nacional. Por esto, uno de los mas grande acuerdos de la transición democrática que vivió nuestro país fue </w:t>
      </w:r>
      <w:r w:rsidR="00322F16">
        <w:rPr>
          <w:rFonts w:asciiTheme="majorHAnsi" w:hAnsiTheme="majorHAnsi" w:cs="Arial"/>
          <w:sz w:val="22"/>
          <w:szCs w:val="22"/>
          <w:lang w:val="es-ES_tradnl"/>
        </w:rPr>
        <w:t xml:space="preserve">la de </w:t>
      </w:r>
      <w:r>
        <w:rPr>
          <w:rFonts w:asciiTheme="majorHAnsi" w:hAnsiTheme="majorHAnsi" w:cs="Arial"/>
          <w:sz w:val="22"/>
          <w:szCs w:val="22"/>
          <w:lang w:val="es-ES_tradnl"/>
        </w:rPr>
        <w:t>jugársela por la integración</w:t>
      </w:r>
      <w:r w:rsidR="00322F16">
        <w:rPr>
          <w:rFonts w:asciiTheme="majorHAnsi" w:hAnsiTheme="majorHAnsi" w:cs="Arial"/>
          <w:sz w:val="22"/>
          <w:szCs w:val="22"/>
          <w:lang w:val="es-ES_tradnl"/>
        </w:rPr>
        <w:t xml:space="preserve"> y la apertura económica, abriéndose a competir de igual a igual con el resto del mundo, aprovechando sus ventajas competitivas y sirviéndose de los avances tecnológicos que el mundo podía ofrecerle a su industria.</w:t>
      </w:r>
      <w:r>
        <w:rPr>
          <w:rFonts w:asciiTheme="majorHAnsi" w:hAnsiTheme="majorHAnsi" w:cs="Arial"/>
          <w:sz w:val="22"/>
          <w:szCs w:val="22"/>
          <w:lang w:val="es-ES_tradnl"/>
        </w:rPr>
        <w:t xml:space="preserve"> </w:t>
      </w:r>
    </w:p>
    <w:p w:rsidR="00322F16" w:rsidRPr="00322F16" w:rsidRDefault="00322F16" w:rsidP="00322F16">
      <w:pPr>
        <w:keepNext/>
        <w:tabs>
          <w:tab w:val="left" w:pos="2880"/>
        </w:tabs>
        <w:jc w:val="both"/>
        <w:outlineLvl w:val="0"/>
        <w:rPr>
          <w:rFonts w:asciiTheme="majorHAnsi" w:hAnsiTheme="majorHAnsi" w:cs="Arial"/>
          <w:sz w:val="22"/>
          <w:szCs w:val="22"/>
          <w:lang w:val="es-ES_tradnl"/>
        </w:rPr>
      </w:pPr>
    </w:p>
    <w:p w:rsidR="00300AEC" w:rsidRPr="00300AEC" w:rsidRDefault="00322F16" w:rsidP="00300AEC">
      <w:pPr>
        <w:pStyle w:val="ListParagraph"/>
        <w:keepNext/>
        <w:numPr>
          <w:ilvl w:val="0"/>
          <w:numId w:val="1"/>
        </w:numPr>
        <w:tabs>
          <w:tab w:val="left" w:pos="2880"/>
        </w:tabs>
        <w:jc w:val="both"/>
        <w:outlineLvl w:val="0"/>
        <w:rPr>
          <w:rFonts w:asciiTheme="majorHAnsi" w:hAnsiTheme="majorHAnsi" w:cs="Arial"/>
          <w:sz w:val="22"/>
          <w:szCs w:val="22"/>
          <w:lang w:val="es-ES_tradnl"/>
        </w:rPr>
      </w:pPr>
      <w:r>
        <w:rPr>
          <w:rFonts w:asciiTheme="majorHAnsi" w:hAnsiTheme="majorHAnsi" w:cs="Arial"/>
          <w:sz w:val="22"/>
          <w:szCs w:val="22"/>
          <w:lang w:val="es-ES_tradnl"/>
        </w:rPr>
        <w:t>Por esto, e</w:t>
      </w:r>
      <w:r w:rsidR="00300AEC">
        <w:rPr>
          <w:rFonts w:asciiTheme="majorHAnsi" w:hAnsiTheme="majorHAnsi" w:cs="Arial"/>
          <w:sz w:val="22"/>
          <w:szCs w:val="22"/>
          <w:lang w:val="es-ES_tradnl"/>
        </w:rPr>
        <w:t xml:space="preserve">n tiempos en que hay quienes </w:t>
      </w:r>
      <w:r>
        <w:rPr>
          <w:rFonts w:asciiTheme="majorHAnsi" w:hAnsiTheme="majorHAnsi" w:cs="Arial"/>
          <w:sz w:val="22"/>
          <w:szCs w:val="22"/>
          <w:lang w:val="es-ES_tradnl"/>
        </w:rPr>
        <w:t>quieren legítimamente cuestionar y revertir los acuerdos de nuestra transición, es fundamental reafirmar la apuesta</w:t>
      </w:r>
      <w:r w:rsidR="00FA4F92">
        <w:rPr>
          <w:rFonts w:asciiTheme="majorHAnsi" w:hAnsiTheme="majorHAnsi" w:cs="Arial"/>
          <w:sz w:val="22"/>
          <w:szCs w:val="22"/>
          <w:lang w:val="es-ES_tradnl"/>
        </w:rPr>
        <w:t xml:space="preserve"> por un Chile abierto al comercio y al mundo. Apuesta que hace tiempo dejó</w:t>
      </w:r>
      <w:r w:rsidR="00AF56EA">
        <w:rPr>
          <w:rFonts w:asciiTheme="majorHAnsi" w:hAnsiTheme="majorHAnsi" w:cs="Arial"/>
          <w:sz w:val="22"/>
          <w:szCs w:val="22"/>
          <w:lang w:val="es-ES_tradnl"/>
        </w:rPr>
        <w:t xml:space="preserve"> de ser solo una apuesta, y</w:t>
      </w:r>
      <w:r w:rsidR="00FA4F92">
        <w:rPr>
          <w:rFonts w:asciiTheme="majorHAnsi" w:hAnsiTheme="majorHAnsi" w:cs="Arial"/>
          <w:sz w:val="22"/>
          <w:szCs w:val="22"/>
          <w:lang w:val="es-ES_tradnl"/>
        </w:rPr>
        <w:t xml:space="preserve"> que hace años nos viene rindiendo frutos, con ya varias décadas de crecimiento económico sostenido.</w:t>
      </w:r>
    </w:p>
    <w:p w:rsidR="00300AEC" w:rsidRPr="00D26671" w:rsidRDefault="00300AEC" w:rsidP="00D26671">
      <w:pPr>
        <w:keepNext/>
        <w:tabs>
          <w:tab w:val="left" w:pos="2880"/>
        </w:tabs>
        <w:jc w:val="both"/>
        <w:outlineLvl w:val="0"/>
        <w:rPr>
          <w:rFonts w:asciiTheme="majorHAnsi" w:hAnsiTheme="majorHAnsi" w:cs="Arial"/>
          <w:sz w:val="22"/>
          <w:szCs w:val="22"/>
          <w:lang w:val="es-ES_tradnl"/>
        </w:rPr>
      </w:pPr>
    </w:p>
    <w:p w:rsidR="00972C5F" w:rsidRPr="0098647A" w:rsidRDefault="00972C5F" w:rsidP="000845B4">
      <w:pPr>
        <w:jc w:val="both"/>
        <w:rPr>
          <w:rFonts w:asciiTheme="majorHAnsi" w:hAnsiTheme="majorHAnsi"/>
          <w:sz w:val="22"/>
          <w:szCs w:val="22"/>
        </w:rPr>
      </w:pPr>
    </w:p>
    <w:sectPr w:rsidR="00972C5F" w:rsidRPr="0098647A" w:rsidSect="00425A8C">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16" w:rsidRDefault="00322F16" w:rsidP="00425A8C">
      <w:r>
        <w:separator/>
      </w:r>
    </w:p>
  </w:endnote>
  <w:endnote w:type="continuationSeparator" w:id="0">
    <w:p w:rsidR="00322F16" w:rsidRDefault="00322F16" w:rsidP="0042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16" w:rsidRDefault="00322F16" w:rsidP="00425A8C">
      <w:r>
        <w:separator/>
      </w:r>
    </w:p>
  </w:footnote>
  <w:footnote w:type="continuationSeparator" w:id="0">
    <w:p w:rsidR="00322F16" w:rsidRDefault="00322F16" w:rsidP="00425A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349"/>
      <w:gridCol w:w="8704"/>
    </w:tblGrid>
    <w:tr w:rsidR="00322F16" w:rsidRPr="00A844EE" w:rsidTr="00425A8C">
      <w:tc>
        <w:tcPr>
          <w:tcW w:w="1152" w:type="dxa"/>
        </w:tcPr>
        <w:p w:rsidR="00322F16" w:rsidRPr="0088634D" w:rsidRDefault="00322F16" w:rsidP="00425A8C">
          <w:pPr>
            <w:pStyle w:val="Header"/>
            <w:jc w:val="right"/>
            <w:rPr>
              <w:b/>
            </w:rPr>
          </w:pPr>
          <w:r w:rsidRPr="0088634D">
            <w:fldChar w:fldCharType="begin"/>
          </w:r>
          <w:r w:rsidRPr="0088634D">
            <w:instrText xml:space="preserve"> PAGE   \* MERGEFORMAT </w:instrText>
          </w:r>
          <w:r w:rsidRPr="0088634D">
            <w:fldChar w:fldCharType="separate"/>
          </w:r>
          <w:r w:rsidR="00FD78C4">
            <w:rPr>
              <w:noProof/>
            </w:rPr>
            <w:t>2</w:t>
          </w:r>
          <w:r w:rsidRPr="0088634D">
            <w:fldChar w:fldCharType="end"/>
          </w:r>
        </w:p>
      </w:tc>
      <w:tc>
        <w:tcPr>
          <w:tcW w:w="0" w:type="auto"/>
          <w:noWrap/>
        </w:tcPr>
        <w:p w:rsidR="00322F16" w:rsidRPr="00A844EE" w:rsidRDefault="00322F16" w:rsidP="00A844EE">
          <w:pPr>
            <w:pStyle w:val="Header"/>
            <w:rPr>
              <w:rFonts w:asciiTheme="majorHAnsi" w:hAnsiTheme="majorHAnsi"/>
              <w:sz w:val="22"/>
              <w:szCs w:val="22"/>
            </w:rPr>
          </w:pPr>
          <w:r>
            <w:rPr>
              <w:rFonts w:asciiTheme="majorHAnsi" w:hAnsiTheme="majorHAnsi"/>
              <w:sz w:val="22"/>
              <w:szCs w:val="22"/>
            </w:rPr>
            <w:t>Convención para evitar la doble imposición entre los Estados Parte de la Alianza por el Pacífico</w:t>
          </w:r>
          <w:r w:rsidRPr="00A844EE">
            <w:rPr>
              <w:rFonts w:asciiTheme="majorHAnsi" w:hAnsiTheme="majorHAnsi"/>
              <w:sz w:val="22"/>
              <w:szCs w:val="22"/>
            </w:rPr>
            <w:t>.</w:t>
          </w:r>
        </w:p>
      </w:tc>
    </w:tr>
  </w:tbl>
  <w:p w:rsidR="00322F16" w:rsidRDefault="00322F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16" w:rsidRPr="00425A8C" w:rsidRDefault="00322F16" w:rsidP="00425A8C">
    <w:pPr>
      <w:jc w:val="right"/>
      <w:rPr>
        <w:rFonts w:asciiTheme="majorHAnsi" w:eastAsia="Times New Roman" w:hAnsiTheme="majorHAnsi" w:cs="Times New Roman"/>
        <w:color w:val="4D5D75"/>
        <w:sz w:val="22"/>
        <w:szCs w:val="22"/>
        <w:shd w:val="clear" w:color="auto" w:fill="FFFFFF"/>
      </w:rPr>
    </w:pPr>
    <w:r w:rsidRPr="00425A8C">
      <w:rPr>
        <w:rFonts w:asciiTheme="majorHAnsi" w:eastAsia="Times New Roman" w:hAnsiTheme="majorHAnsi" w:cs="Times New Roman"/>
        <w:color w:val="4D5D75"/>
        <w:sz w:val="22"/>
        <w:szCs w:val="22"/>
        <w:shd w:val="clear" w:color="auto" w:fill="FFFFFF"/>
      </w:rPr>
      <w:t>Juan Carlos Gazmuri</w:t>
    </w:r>
  </w:p>
  <w:p w:rsidR="00322F16" w:rsidRPr="00425A8C" w:rsidRDefault="00322F16" w:rsidP="00425A8C">
    <w:pPr>
      <w:jc w:val="right"/>
      <w:rPr>
        <w:rFonts w:asciiTheme="majorHAnsi" w:eastAsia="Times New Roman" w:hAnsiTheme="majorHAnsi" w:cs="Times New Roman"/>
        <w:color w:val="4D5D75"/>
        <w:sz w:val="22"/>
        <w:szCs w:val="22"/>
        <w:shd w:val="clear" w:color="auto" w:fill="FFFFFF"/>
      </w:rPr>
    </w:pPr>
    <w:r w:rsidRPr="00425A8C">
      <w:rPr>
        <w:rFonts w:asciiTheme="majorHAnsi" w:eastAsia="Times New Roman" w:hAnsiTheme="majorHAnsi" w:cs="Times New Roman"/>
        <w:color w:val="4D5D75"/>
        <w:sz w:val="22"/>
        <w:szCs w:val="22"/>
        <w:shd w:val="clear" w:color="auto" w:fill="FFFFFF"/>
      </w:rPr>
      <w:t>Asesor Legislativo</w:t>
    </w:r>
  </w:p>
  <w:p w:rsidR="00322F16" w:rsidRDefault="00322F16" w:rsidP="00425A8C">
    <w:pPr>
      <w:jc w:val="right"/>
      <w:rPr>
        <w:rFonts w:asciiTheme="majorHAnsi" w:eastAsia="Times New Roman" w:hAnsiTheme="majorHAnsi" w:cs="Times New Roman"/>
        <w:color w:val="4D5D75"/>
        <w:sz w:val="22"/>
        <w:szCs w:val="22"/>
        <w:shd w:val="clear" w:color="auto" w:fill="FFFFFF"/>
      </w:rPr>
    </w:pPr>
    <w:r w:rsidRPr="00425A8C">
      <w:rPr>
        <w:rFonts w:asciiTheme="majorHAnsi" w:eastAsia="Times New Roman" w:hAnsiTheme="majorHAnsi" w:cs="Times New Roman"/>
        <w:color w:val="4D5D75"/>
        <w:sz w:val="22"/>
        <w:szCs w:val="22"/>
        <w:shd w:val="clear" w:color="auto" w:fill="FFFFFF"/>
      </w:rPr>
      <w:t xml:space="preserve">Senadora E. Von </w:t>
    </w:r>
    <w:proofErr w:type="spellStart"/>
    <w:r w:rsidRPr="00425A8C">
      <w:rPr>
        <w:rFonts w:asciiTheme="majorHAnsi" w:eastAsia="Times New Roman" w:hAnsiTheme="majorHAnsi" w:cs="Times New Roman"/>
        <w:color w:val="4D5D75"/>
        <w:sz w:val="22"/>
        <w:szCs w:val="22"/>
        <w:shd w:val="clear" w:color="auto" w:fill="FFFFFF"/>
      </w:rPr>
      <w:t>Baer</w:t>
    </w:r>
    <w:proofErr w:type="spellEnd"/>
  </w:p>
  <w:p w:rsidR="00322F16" w:rsidRPr="00425A8C" w:rsidRDefault="00322F16" w:rsidP="00425A8C">
    <w:pPr>
      <w:jc w:val="right"/>
      <w:rPr>
        <w:rFonts w:asciiTheme="majorHAnsi" w:eastAsia="Times New Roman" w:hAnsiTheme="majorHAnsi" w:cs="Times New Roman"/>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795"/>
    <w:multiLevelType w:val="hybridMultilevel"/>
    <w:tmpl w:val="B73E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8C"/>
    <w:rsid w:val="000845B4"/>
    <w:rsid w:val="000A3BEA"/>
    <w:rsid w:val="001B37BE"/>
    <w:rsid w:val="00300AEC"/>
    <w:rsid w:val="00322F16"/>
    <w:rsid w:val="00327FAB"/>
    <w:rsid w:val="00425A8C"/>
    <w:rsid w:val="00453868"/>
    <w:rsid w:val="00843385"/>
    <w:rsid w:val="00972C5F"/>
    <w:rsid w:val="0098647A"/>
    <w:rsid w:val="00991807"/>
    <w:rsid w:val="00A844EE"/>
    <w:rsid w:val="00AF56EA"/>
    <w:rsid w:val="00C16FDB"/>
    <w:rsid w:val="00C861DD"/>
    <w:rsid w:val="00D26671"/>
    <w:rsid w:val="00FA4F92"/>
    <w:rsid w:val="00FD4F52"/>
    <w:rsid w:val="00FD78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A8C"/>
    <w:rPr>
      <w:rFonts w:ascii="Cambria" w:eastAsia="Cambria" w:hAnsi="Cambria" w:cs="Cambria"/>
      <w:lang w:val="es-ES"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8C"/>
    <w:pPr>
      <w:tabs>
        <w:tab w:val="center" w:pos="4153"/>
        <w:tab w:val="right" w:pos="8306"/>
      </w:tabs>
    </w:pPr>
    <w:rPr>
      <w:rFonts w:asciiTheme="minorHAnsi" w:eastAsiaTheme="minorEastAsia" w:hAnsiTheme="minorHAnsi" w:cstheme="minorBidi"/>
      <w:lang w:val="es-ES_tradnl" w:eastAsia="en-US"/>
    </w:rPr>
  </w:style>
  <w:style w:type="character" w:customStyle="1" w:styleId="HeaderChar">
    <w:name w:val="Header Char"/>
    <w:basedOn w:val="DefaultParagraphFont"/>
    <w:link w:val="Header"/>
    <w:uiPriority w:val="99"/>
    <w:rsid w:val="00425A8C"/>
  </w:style>
  <w:style w:type="paragraph" w:styleId="Footer">
    <w:name w:val="footer"/>
    <w:basedOn w:val="Normal"/>
    <w:link w:val="FooterChar"/>
    <w:uiPriority w:val="99"/>
    <w:unhideWhenUsed/>
    <w:rsid w:val="00425A8C"/>
    <w:pPr>
      <w:tabs>
        <w:tab w:val="center" w:pos="4153"/>
        <w:tab w:val="right" w:pos="8306"/>
      </w:tabs>
    </w:pPr>
    <w:rPr>
      <w:rFonts w:asciiTheme="minorHAnsi" w:eastAsiaTheme="minorEastAsia" w:hAnsiTheme="minorHAnsi" w:cstheme="minorBidi"/>
      <w:lang w:val="es-ES_tradnl" w:eastAsia="en-US"/>
    </w:rPr>
  </w:style>
  <w:style w:type="character" w:customStyle="1" w:styleId="FooterChar">
    <w:name w:val="Footer Char"/>
    <w:basedOn w:val="DefaultParagraphFont"/>
    <w:link w:val="Footer"/>
    <w:uiPriority w:val="99"/>
    <w:rsid w:val="00425A8C"/>
  </w:style>
  <w:style w:type="paragraph" w:customStyle="1" w:styleId="CharChar">
    <w:name w:val="Char Char"/>
    <w:basedOn w:val="Normal"/>
    <w:rsid w:val="00425A8C"/>
    <w:pPr>
      <w:spacing w:after="160" w:line="240" w:lineRule="exact"/>
      <w:ind w:left="500"/>
      <w:jc w:val="center"/>
    </w:pPr>
    <w:rPr>
      <w:rFonts w:ascii="Verdana" w:eastAsia="Times New Roman" w:hAnsi="Verdana" w:cs="Arial"/>
      <w:b/>
      <w:sz w:val="20"/>
      <w:szCs w:val="20"/>
      <w:lang w:val="es-VE" w:eastAsia="en-US"/>
    </w:rPr>
  </w:style>
  <w:style w:type="paragraph" w:styleId="PlainText">
    <w:name w:val="Plain Text"/>
    <w:basedOn w:val="Normal"/>
    <w:link w:val="PlainTextChar"/>
    <w:uiPriority w:val="99"/>
    <w:unhideWhenUsed/>
    <w:rsid w:val="00FD4F52"/>
    <w:pPr>
      <w:jc w:val="both"/>
    </w:pPr>
    <w:rPr>
      <w:rFonts w:ascii="Consolas" w:eastAsia="Calibri" w:hAnsi="Consolas" w:cs="Times New Roman"/>
      <w:color w:val="000000"/>
      <w:sz w:val="21"/>
      <w:szCs w:val="21"/>
      <w:lang w:val="es-CL" w:eastAsia="en-US"/>
    </w:rPr>
  </w:style>
  <w:style w:type="character" w:customStyle="1" w:styleId="PlainTextChar">
    <w:name w:val="Plain Text Char"/>
    <w:basedOn w:val="DefaultParagraphFont"/>
    <w:link w:val="PlainText"/>
    <w:uiPriority w:val="99"/>
    <w:rsid w:val="00FD4F52"/>
    <w:rPr>
      <w:rFonts w:ascii="Consolas" w:eastAsia="Calibri" w:hAnsi="Consolas" w:cs="Times New Roman"/>
      <w:color w:val="000000"/>
      <w:sz w:val="21"/>
      <w:szCs w:val="21"/>
      <w:lang w:val="es-CL"/>
    </w:rPr>
  </w:style>
  <w:style w:type="paragraph" w:styleId="ListParagraph">
    <w:name w:val="List Paragraph"/>
    <w:basedOn w:val="Normal"/>
    <w:uiPriority w:val="34"/>
    <w:qFormat/>
    <w:rsid w:val="00300A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A8C"/>
    <w:rPr>
      <w:rFonts w:ascii="Cambria" w:eastAsia="Cambria" w:hAnsi="Cambria" w:cs="Cambria"/>
      <w:lang w:val="es-ES"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8C"/>
    <w:pPr>
      <w:tabs>
        <w:tab w:val="center" w:pos="4153"/>
        <w:tab w:val="right" w:pos="8306"/>
      </w:tabs>
    </w:pPr>
    <w:rPr>
      <w:rFonts w:asciiTheme="minorHAnsi" w:eastAsiaTheme="minorEastAsia" w:hAnsiTheme="minorHAnsi" w:cstheme="minorBidi"/>
      <w:lang w:val="es-ES_tradnl" w:eastAsia="en-US"/>
    </w:rPr>
  </w:style>
  <w:style w:type="character" w:customStyle="1" w:styleId="HeaderChar">
    <w:name w:val="Header Char"/>
    <w:basedOn w:val="DefaultParagraphFont"/>
    <w:link w:val="Header"/>
    <w:uiPriority w:val="99"/>
    <w:rsid w:val="00425A8C"/>
  </w:style>
  <w:style w:type="paragraph" w:styleId="Footer">
    <w:name w:val="footer"/>
    <w:basedOn w:val="Normal"/>
    <w:link w:val="FooterChar"/>
    <w:uiPriority w:val="99"/>
    <w:unhideWhenUsed/>
    <w:rsid w:val="00425A8C"/>
    <w:pPr>
      <w:tabs>
        <w:tab w:val="center" w:pos="4153"/>
        <w:tab w:val="right" w:pos="8306"/>
      </w:tabs>
    </w:pPr>
    <w:rPr>
      <w:rFonts w:asciiTheme="minorHAnsi" w:eastAsiaTheme="minorEastAsia" w:hAnsiTheme="minorHAnsi" w:cstheme="minorBidi"/>
      <w:lang w:val="es-ES_tradnl" w:eastAsia="en-US"/>
    </w:rPr>
  </w:style>
  <w:style w:type="character" w:customStyle="1" w:styleId="FooterChar">
    <w:name w:val="Footer Char"/>
    <w:basedOn w:val="DefaultParagraphFont"/>
    <w:link w:val="Footer"/>
    <w:uiPriority w:val="99"/>
    <w:rsid w:val="00425A8C"/>
  </w:style>
  <w:style w:type="paragraph" w:customStyle="1" w:styleId="CharChar">
    <w:name w:val="Char Char"/>
    <w:basedOn w:val="Normal"/>
    <w:rsid w:val="00425A8C"/>
    <w:pPr>
      <w:spacing w:after="160" w:line="240" w:lineRule="exact"/>
      <w:ind w:left="500"/>
      <w:jc w:val="center"/>
    </w:pPr>
    <w:rPr>
      <w:rFonts w:ascii="Verdana" w:eastAsia="Times New Roman" w:hAnsi="Verdana" w:cs="Arial"/>
      <w:b/>
      <w:sz w:val="20"/>
      <w:szCs w:val="20"/>
      <w:lang w:val="es-VE" w:eastAsia="en-US"/>
    </w:rPr>
  </w:style>
  <w:style w:type="paragraph" w:styleId="PlainText">
    <w:name w:val="Plain Text"/>
    <w:basedOn w:val="Normal"/>
    <w:link w:val="PlainTextChar"/>
    <w:uiPriority w:val="99"/>
    <w:unhideWhenUsed/>
    <w:rsid w:val="00FD4F52"/>
    <w:pPr>
      <w:jc w:val="both"/>
    </w:pPr>
    <w:rPr>
      <w:rFonts w:ascii="Consolas" w:eastAsia="Calibri" w:hAnsi="Consolas" w:cs="Times New Roman"/>
      <w:color w:val="000000"/>
      <w:sz w:val="21"/>
      <w:szCs w:val="21"/>
      <w:lang w:val="es-CL" w:eastAsia="en-US"/>
    </w:rPr>
  </w:style>
  <w:style w:type="character" w:customStyle="1" w:styleId="PlainTextChar">
    <w:name w:val="Plain Text Char"/>
    <w:basedOn w:val="DefaultParagraphFont"/>
    <w:link w:val="PlainText"/>
    <w:uiPriority w:val="99"/>
    <w:rsid w:val="00FD4F52"/>
    <w:rPr>
      <w:rFonts w:ascii="Consolas" w:eastAsia="Calibri" w:hAnsi="Consolas" w:cs="Times New Roman"/>
      <w:color w:val="000000"/>
      <w:sz w:val="21"/>
      <w:szCs w:val="21"/>
      <w:lang w:val="es-CL"/>
    </w:rPr>
  </w:style>
  <w:style w:type="paragraph" w:styleId="ListParagraph">
    <w:name w:val="List Paragraph"/>
    <w:basedOn w:val="Normal"/>
    <w:uiPriority w:val="34"/>
    <w:qFormat/>
    <w:rsid w:val="00300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85044">
      <w:bodyDiv w:val="1"/>
      <w:marLeft w:val="0"/>
      <w:marRight w:val="0"/>
      <w:marTop w:val="0"/>
      <w:marBottom w:val="0"/>
      <w:divBdr>
        <w:top w:val="none" w:sz="0" w:space="0" w:color="auto"/>
        <w:left w:val="none" w:sz="0" w:space="0" w:color="auto"/>
        <w:bottom w:val="none" w:sz="0" w:space="0" w:color="auto"/>
        <w:right w:val="none" w:sz="0" w:space="0" w:color="auto"/>
      </w:divBdr>
    </w:div>
    <w:div w:id="1578661500">
      <w:bodyDiv w:val="1"/>
      <w:marLeft w:val="0"/>
      <w:marRight w:val="0"/>
      <w:marTop w:val="0"/>
      <w:marBottom w:val="0"/>
      <w:divBdr>
        <w:top w:val="none" w:sz="0" w:space="0" w:color="auto"/>
        <w:left w:val="none" w:sz="0" w:space="0" w:color="auto"/>
        <w:bottom w:val="none" w:sz="0" w:space="0" w:color="auto"/>
        <w:right w:val="none" w:sz="0" w:space="0" w:color="auto"/>
      </w:divBdr>
    </w:div>
    <w:div w:id="1815829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0111-2B69-BA4B-AE6D-2106A7E3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Macintosh Word</Application>
  <DocSecurity>0</DocSecurity>
  <Lines>28</Lines>
  <Paragraphs>7</Paragraphs>
  <ScaleCrop>false</ScaleCrop>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2018-12-10T14:11:00Z</dcterms:created>
  <dcterms:modified xsi:type="dcterms:W3CDTF">2018-12-10T14:11:00Z</dcterms:modified>
</cp:coreProperties>
</file>