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8818" w14:textId="60A0CAFB" w:rsidR="009971DC" w:rsidRPr="00372504" w:rsidRDefault="009971DC" w:rsidP="00372504">
      <w:pPr>
        <w:shd w:val="clear" w:color="auto" w:fill="FFFFFF"/>
        <w:rPr>
          <w:rFonts w:ascii="Arial" w:hAnsi="Arial" w:cs="Arial"/>
          <w:color w:val="222222"/>
          <w:lang w:eastAsia="es-ES_tradnl"/>
        </w:rPr>
      </w:pPr>
      <w:bookmarkStart w:id="0" w:name="_GoBack"/>
      <w:bookmarkEnd w:id="0"/>
      <w:r w:rsidRPr="00372504">
        <w:rPr>
          <w:rFonts w:ascii="Arial" w:hAnsi="Arial" w:cs="Arial"/>
          <w:color w:val="222222"/>
          <w:lang w:eastAsia="es-ES_tradnl"/>
        </w:rPr>
        <w:t>Memorándum</w:t>
      </w:r>
    </w:p>
    <w:p w14:paraId="0921615C" w14:textId="7CE04F6A" w:rsidR="009971DC" w:rsidRPr="00372504" w:rsidRDefault="00372504" w:rsidP="00372504">
      <w:pPr>
        <w:shd w:val="clear" w:color="auto" w:fill="FFFFFF"/>
        <w:rPr>
          <w:rFonts w:ascii="Arial" w:hAnsi="Arial" w:cs="Arial"/>
          <w:color w:val="222222"/>
          <w:lang w:eastAsia="es-ES_tradnl"/>
        </w:rPr>
      </w:pPr>
      <w:r w:rsidRPr="00372504">
        <w:rPr>
          <w:rFonts w:ascii="Arial" w:hAnsi="Arial" w:cs="Arial"/>
          <w:color w:val="222222"/>
          <w:lang w:eastAsia="es-ES_tradnl"/>
        </w:rPr>
        <w:t xml:space="preserve">Al </w:t>
      </w:r>
      <w:proofErr w:type="spellStart"/>
      <w:r w:rsidRPr="00372504">
        <w:rPr>
          <w:rFonts w:ascii="Arial" w:hAnsi="Arial" w:cs="Arial"/>
          <w:color w:val="222222"/>
          <w:lang w:eastAsia="es-ES_tradnl"/>
        </w:rPr>
        <w:t>Hon</w:t>
      </w:r>
      <w:proofErr w:type="spellEnd"/>
      <w:r w:rsidRPr="00372504">
        <w:rPr>
          <w:rFonts w:ascii="Arial" w:hAnsi="Arial" w:cs="Arial"/>
          <w:color w:val="222222"/>
          <w:lang w:eastAsia="es-ES_tradnl"/>
        </w:rPr>
        <w:t>. Senado, Comisión d</w:t>
      </w:r>
      <w:r w:rsidR="009971DC" w:rsidRPr="00372504">
        <w:rPr>
          <w:rFonts w:ascii="Arial" w:hAnsi="Arial" w:cs="Arial"/>
          <w:color w:val="222222"/>
          <w:lang w:eastAsia="es-ES_tradnl"/>
        </w:rPr>
        <w:t>e Educación</w:t>
      </w:r>
      <w:r w:rsidRPr="00372504">
        <w:rPr>
          <w:rFonts w:ascii="Arial" w:hAnsi="Arial" w:cs="Arial"/>
          <w:color w:val="222222"/>
          <w:lang w:eastAsia="es-ES_tradnl"/>
        </w:rPr>
        <w:t xml:space="preserve"> y Cultura </w:t>
      </w:r>
    </w:p>
    <w:p w14:paraId="15957057" w14:textId="3D293DD7" w:rsidR="00372504" w:rsidRPr="00372504" w:rsidRDefault="00372504" w:rsidP="00372504">
      <w:pPr>
        <w:rPr>
          <w:rFonts w:ascii="Times New Roman" w:eastAsia="Times New Roman" w:hAnsi="Times New Roman" w:cs="Times New Roman"/>
          <w:lang w:eastAsia="es-ES_tradnl"/>
        </w:rPr>
      </w:pPr>
      <w:r w:rsidRPr="00372504">
        <w:rPr>
          <w:rFonts w:ascii="Arial" w:hAnsi="Arial" w:cs="Arial"/>
          <w:color w:val="222222"/>
          <w:lang w:eastAsia="es-ES_tradnl"/>
        </w:rPr>
        <w:t xml:space="preserve">Opinión </w:t>
      </w:r>
      <w:r w:rsidRPr="00372504">
        <w:rPr>
          <w:rFonts w:ascii="Arial" w:eastAsia="Times New Roman" w:hAnsi="Arial" w:cs="Arial"/>
          <w:color w:val="333333"/>
          <w:lang w:eastAsia="es-ES_tradnl"/>
        </w:rPr>
        <w:t>respecto del proyecto de ley sobre Educación Superior (Bol</w:t>
      </w:r>
      <w:r>
        <w:rPr>
          <w:rFonts w:ascii="Arial" w:eastAsia="Times New Roman" w:hAnsi="Arial" w:cs="Arial"/>
          <w:color w:val="333333"/>
          <w:lang w:eastAsia="es-ES_tradnl"/>
        </w:rPr>
        <w:t xml:space="preserve">etín </w:t>
      </w:r>
      <w:r w:rsidRPr="00372504">
        <w:rPr>
          <w:rFonts w:ascii="Arial" w:eastAsia="Times New Roman" w:hAnsi="Arial" w:cs="Arial"/>
          <w:color w:val="333333"/>
          <w:lang w:eastAsia="es-ES_tradnl"/>
        </w:rPr>
        <w:t>N° 10.783-04).</w:t>
      </w:r>
    </w:p>
    <w:p w14:paraId="445387B3" w14:textId="0E44A98C" w:rsidR="00372504" w:rsidRDefault="00372504" w:rsidP="00372504">
      <w:pPr>
        <w:shd w:val="clear" w:color="auto" w:fill="FFFFFF"/>
        <w:rPr>
          <w:rFonts w:ascii="Arial" w:hAnsi="Arial" w:cs="Arial"/>
          <w:color w:val="222222"/>
          <w:lang w:eastAsia="es-ES_tradnl"/>
        </w:rPr>
      </w:pPr>
      <w:r w:rsidRPr="00372504">
        <w:rPr>
          <w:rFonts w:ascii="Arial" w:hAnsi="Arial" w:cs="Arial"/>
          <w:color w:val="222222"/>
          <w:lang w:eastAsia="es-ES_tradnl"/>
        </w:rPr>
        <w:t>De: José Joaquín Brunner, Profesor Titular, Universidad Diego Portales.</w:t>
      </w:r>
    </w:p>
    <w:p w14:paraId="72363027" w14:textId="23E23A36" w:rsidR="00372504" w:rsidRDefault="00372504" w:rsidP="00372504">
      <w:pPr>
        <w:pBdr>
          <w:bottom w:val="single" w:sz="6" w:space="1" w:color="auto"/>
        </w:pBdr>
        <w:shd w:val="clear" w:color="auto" w:fill="FFFFFF"/>
        <w:rPr>
          <w:rFonts w:ascii="Arial" w:hAnsi="Arial" w:cs="Arial"/>
          <w:color w:val="222222"/>
          <w:lang w:eastAsia="es-ES_tradnl"/>
        </w:rPr>
      </w:pPr>
      <w:r>
        <w:rPr>
          <w:rFonts w:ascii="Arial" w:hAnsi="Arial" w:cs="Arial"/>
          <w:color w:val="222222"/>
          <w:lang w:eastAsia="es-ES_tradnl"/>
        </w:rPr>
        <w:t>11 de septiembre de 2017</w:t>
      </w:r>
    </w:p>
    <w:p w14:paraId="359EF729" w14:textId="1932B18D" w:rsidR="00F53D50" w:rsidRPr="00F53D50" w:rsidRDefault="00F53D50" w:rsidP="00F53D50">
      <w:pPr>
        <w:shd w:val="clear" w:color="auto" w:fill="FFFFFF"/>
        <w:spacing w:before="100" w:beforeAutospacing="1" w:after="100" w:afterAutospacing="1"/>
        <w:rPr>
          <w:rFonts w:ascii="Arial" w:hAnsi="Arial" w:cs="Arial"/>
          <w:color w:val="222222"/>
          <w:lang w:eastAsia="es-ES_tradnl"/>
        </w:rPr>
      </w:pPr>
      <w:r w:rsidRPr="00961C08">
        <w:rPr>
          <w:rFonts w:ascii="Arial" w:hAnsi="Arial" w:cs="Arial"/>
          <w:color w:val="222222"/>
          <w:lang w:eastAsia="es-ES_tradnl"/>
        </w:rPr>
        <w:t xml:space="preserve">Ante todo, deseo llamar la atención sobre el carácter y desempeño </w:t>
      </w:r>
      <w:r w:rsidR="009F132B">
        <w:rPr>
          <w:rFonts w:ascii="Arial" w:hAnsi="Arial" w:cs="Arial"/>
          <w:color w:val="222222"/>
          <w:lang w:eastAsia="es-ES_tradnl"/>
        </w:rPr>
        <w:t>de nuestra</w:t>
      </w:r>
      <w:r w:rsidRPr="00961C08">
        <w:rPr>
          <w:rFonts w:ascii="Arial" w:hAnsi="Arial" w:cs="Arial"/>
          <w:color w:val="222222"/>
          <w:lang w:eastAsia="es-ES_tradnl"/>
        </w:rPr>
        <w:t xml:space="preserve"> educación terciaria (ET)</w:t>
      </w:r>
      <w:r w:rsidR="009F132B">
        <w:rPr>
          <w:rFonts w:ascii="Arial" w:hAnsi="Arial" w:cs="Arial"/>
          <w:color w:val="222222"/>
          <w:lang w:eastAsia="es-ES_tradnl"/>
        </w:rPr>
        <w:t>,</w:t>
      </w:r>
      <w:r w:rsidRPr="00961C08">
        <w:rPr>
          <w:rFonts w:ascii="Arial" w:hAnsi="Arial" w:cs="Arial"/>
          <w:color w:val="222222"/>
          <w:lang w:eastAsia="es-ES_tradnl"/>
        </w:rPr>
        <w:t xml:space="preserve"> cuya legislación más fundamental estamos tratando de cambiar.</w:t>
      </w:r>
    </w:p>
    <w:p w14:paraId="61B6484D" w14:textId="6565DEA5" w:rsidR="00F53D50" w:rsidRPr="00F53D50" w:rsidRDefault="00F53D50" w:rsidP="00F53D50">
      <w:pPr>
        <w:shd w:val="clear" w:color="auto" w:fill="FFFFFF"/>
        <w:spacing w:before="100" w:beforeAutospacing="1" w:after="100" w:afterAutospacing="1"/>
        <w:rPr>
          <w:rFonts w:ascii="Arial" w:hAnsi="Arial" w:cs="Arial"/>
          <w:color w:val="222222"/>
          <w:lang w:eastAsia="es-ES_tradnl"/>
        </w:rPr>
      </w:pPr>
      <w:r w:rsidRPr="00961C08">
        <w:rPr>
          <w:rFonts w:ascii="Arial" w:hAnsi="Arial" w:cs="Arial"/>
          <w:color w:val="222222"/>
          <w:u w:val="single"/>
          <w:lang w:eastAsia="es-ES_tradnl"/>
        </w:rPr>
        <w:t>Carácter</w:t>
      </w:r>
      <w:r w:rsidRPr="00961C08">
        <w:rPr>
          <w:rFonts w:ascii="Arial" w:hAnsi="Arial" w:cs="Arial"/>
          <w:color w:val="222222"/>
          <w:lang w:eastAsia="es-ES_tradnl"/>
        </w:rPr>
        <w:t>. Dentro de la clasific</w:t>
      </w:r>
      <w:r w:rsidR="006B76B1">
        <w:rPr>
          <w:rFonts w:ascii="Arial" w:hAnsi="Arial" w:cs="Arial"/>
          <w:color w:val="222222"/>
          <w:lang w:eastAsia="es-ES_tradnl"/>
        </w:rPr>
        <w:t>ación de regímenes de economía p</w:t>
      </w:r>
      <w:r w:rsidRPr="00961C08">
        <w:rPr>
          <w:rFonts w:ascii="Arial" w:hAnsi="Arial" w:cs="Arial"/>
          <w:color w:val="222222"/>
          <w:lang w:eastAsia="es-ES_tradnl"/>
        </w:rPr>
        <w:t xml:space="preserve">olítica de los sistemas nacionales según el carácter público / privado de la provisión y el financiamiento del </w:t>
      </w:r>
      <w:r w:rsidR="00961C08" w:rsidRPr="00961C08">
        <w:rPr>
          <w:rFonts w:ascii="Arial" w:hAnsi="Arial" w:cs="Arial"/>
          <w:color w:val="222222"/>
          <w:lang w:eastAsia="es-ES_tradnl"/>
        </w:rPr>
        <w:t>sistema,</w:t>
      </w:r>
      <w:r w:rsidRPr="00961C08">
        <w:rPr>
          <w:rFonts w:ascii="Arial" w:hAnsi="Arial" w:cs="Arial"/>
          <w:color w:val="222222"/>
          <w:lang w:eastAsia="es-ES_tradnl"/>
        </w:rPr>
        <w:t xml:space="preserve"> el de Chile se caracteriza --en comparación con el promedio de los países de la </w:t>
      </w:r>
      <w:r w:rsidR="006B76B1">
        <w:rPr>
          <w:rFonts w:ascii="Arial" w:hAnsi="Arial" w:cs="Arial"/>
          <w:color w:val="222222"/>
          <w:lang w:eastAsia="es-ES_tradnl"/>
        </w:rPr>
        <w:t>OCDE--</w:t>
      </w:r>
      <w:r w:rsidR="006B76B1" w:rsidRPr="00961C08">
        <w:rPr>
          <w:rFonts w:ascii="Arial" w:hAnsi="Arial" w:cs="Arial"/>
          <w:color w:val="222222"/>
          <w:lang w:eastAsia="es-ES_tradnl"/>
        </w:rPr>
        <w:t> por</w:t>
      </w:r>
      <w:r w:rsidRPr="00961C08">
        <w:rPr>
          <w:rFonts w:ascii="Arial" w:hAnsi="Arial" w:cs="Arial"/>
          <w:color w:val="222222"/>
          <w:lang w:eastAsia="es-ES_tradnl"/>
        </w:rPr>
        <w:t xml:space="preserve"> tener en ambas dimensiones una presencia mayor de matrícula y recursos privados</w:t>
      </w:r>
      <w:r w:rsidR="0021721B">
        <w:rPr>
          <w:rFonts w:ascii="Arial" w:hAnsi="Arial" w:cs="Arial"/>
          <w:color w:val="222222"/>
          <w:lang w:eastAsia="es-ES_tradnl"/>
        </w:rPr>
        <w:t xml:space="preserve"> (</w:t>
      </w:r>
      <w:r w:rsidR="0021721B" w:rsidRPr="0021721B">
        <w:rPr>
          <w:rFonts w:ascii="Arial" w:hAnsi="Arial" w:cs="Arial"/>
          <w:color w:val="FF0000"/>
          <w:lang w:eastAsia="es-ES_tradnl"/>
        </w:rPr>
        <w:t>Tabla 1</w:t>
      </w:r>
      <w:r w:rsidR="0021721B">
        <w:rPr>
          <w:rFonts w:ascii="Arial" w:hAnsi="Arial" w:cs="Arial"/>
          <w:color w:val="222222"/>
          <w:lang w:eastAsia="es-ES_tradnl"/>
        </w:rPr>
        <w:t>)</w:t>
      </w:r>
      <w:r w:rsidRPr="00961C08">
        <w:rPr>
          <w:rFonts w:ascii="Arial" w:hAnsi="Arial" w:cs="Arial"/>
          <w:color w:val="222222"/>
          <w:lang w:eastAsia="es-ES_tradnl"/>
        </w:rPr>
        <w:t xml:space="preserve">. En esta misma categoría se encuentran Brasil, Corea, </w:t>
      </w:r>
      <w:r w:rsidR="0021721B">
        <w:rPr>
          <w:rFonts w:ascii="Arial" w:hAnsi="Arial" w:cs="Arial"/>
          <w:color w:val="222222"/>
          <w:lang w:eastAsia="es-ES_tradnl"/>
        </w:rPr>
        <w:t xml:space="preserve">Gran Bretaña, Israel, </w:t>
      </w:r>
      <w:r w:rsidRPr="00961C08">
        <w:rPr>
          <w:rFonts w:ascii="Arial" w:hAnsi="Arial" w:cs="Arial"/>
          <w:color w:val="222222"/>
          <w:lang w:eastAsia="es-ES_tradnl"/>
        </w:rPr>
        <w:t>Indonesia, Japón, Perú y otros. Los otros tipos de regímenes de economía política son aquellos con predominio de provisión y financiamiento estatal, como ocurre en diversos grados en la mayoría de los países de Europa Occidental y en Argentina, Cuba y Uruguay</w:t>
      </w:r>
      <w:r w:rsidR="0021721B">
        <w:rPr>
          <w:rFonts w:ascii="Arial" w:hAnsi="Arial" w:cs="Arial"/>
          <w:color w:val="222222"/>
          <w:lang w:eastAsia="es-ES_tradnl"/>
        </w:rPr>
        <w:t>, por ejemplo</w:t>
      </w:r>
      <w:r w:rsidRPr="00961C08">
        <w:rPr>
          <w:rFonts w:ascii="Arial" w:hAnsi="Arial" w:cs="Arial"/>
          <w:color w:val="222222"/>
          <w:lang w:eastAsia="es-ES_tradnl"/>
        </w:rPr>
        <w:t>. Un tercer tipo de régimen es aquel en que predomina la provisión estatal pero con financiamiento mayoritariamente privado</w:t>
      </w:r>
      <w:r w:rsidR="0021721B">
        <w:rPr>
          <w:rFonts w:ascii="Arial" w:hAnsi="Arial" w:cs="Arial"/>
          <w:color w:val="222222"/>
          <w:lang w:eastAsia="es-ES_tradnl"/>
        </w:rPr>
        <w:t xml:space="preserve"> (economía política estatal de costos compartidos)</w:t>
      </w:r>
      <w:r w:rsidRPr="00961C08">
        <w:rPr>
          <w:rFonts w:ascii="Arial" w:hAnsi="Arial" w:cs="Arial"/>
          <w:color w:val="222222"/>
          <w:lang w:eastAsia="es-ES_tradnl"/>
        </w:rPr>
        <w:t xml:space="preserve">, como son los casos de Australia, </w:t>
      </w:r>
      <w:r w:rsidR="00961C08" w:rsidRPr="00961C08">
        <w:rPr>
          <w:rFonts w:ascii="Arial" w:hAnsi="Arial" w:cs="Arial"/>
          <w:color w:val="222222"/>
          <w:lang w:eastAsia="es-ES_tradnl"/>
        </w:rPr>
        <w:t>Canadá</w:t>
      </w:r>
      <w:r w:rsidRPr="00961C08">
        <w:rPr>
          <w:rFonts w:ascii="Arial" w:hAnsi="Arial" w:cs="Arial"/>
          <w:color w:val="222222"/>
          <w:lang w:eastAsia="es-ES_tradnl"/>
        </w:rPr>
        <w:t>, Estados Unidos</w:t>
      </w:r>
      <w:r w:rsidR="0021721B">
        <w:rPr>
          <w:rFonts w:ascii="Arial" w:hAnsi="Arial" w:cs="Arial"/>
          <w:color w:val="222222"/>
          <w:lang w:eastAsia="es-ES_tradnl"/>
        </w:rPr>
        <w:t xml:space="preserve"> entre otros</w:t>
      </w:r>
      <w:r w:rsidRPr="00961C08">
        <w:rPr>
          <w:rFonts w:ascii="Arial" w:hAnsi="Arial" w:cs="Arial"/>
          <w:color w:val="222222"/>
          <w:lang w:eastAsia="es-ES_tradnl"/>
        </w:rPr>
        <w:t xml:space="preserve">. Por </w:t>
      </w:r>
      <w:r w:rsidR="00961C08" w:rsidRPr="00961C08">
        <w:rPr>
          <w:rFonts w:ascii="Arial" w:hAnsi="Arial" w:cs="Arial"/>
          <w:color w:val="222222"/>
          <w:lang w:eastAsia="es-ES_tradnl"/>
        </w:rPr>
        <w:t>último, hay</w:t>
      </w:r>
      <w:r w:rsidRPr="00961C08">
        <w:rPr>
          <w:rFonts w:ascii="Arial" w:hAnsi="Arial" w:cs="Arial"/>
          <w:color w:val="222222"/>
          <w:lang w:eastAsia="es-ES_tradnl"/>
        </w:rPr>
        <w:t xml:space="preserve"> sistemas cuyo régimen </w:t>
      </w:r>
      <w:r w:rsidR="008531CF">
        <w:rPr>
          <w:rFonts w:ascii="Arial" w:hAnsi="Arial" w:cs="Arial"/>
          <w:color w:val="222222"/>
          <w:lang w:eastAsia="es-ES_tradnl"/>
        </w:rPr>
        <w:t>combina provisión mayoritaria por</w:t>
      </w:r>
      <w:r w:rsidRPr="00961C08">
        <w:rPr>
          <w:rFonts w:ascii="Arial" w:hAnsi="Arial" w:cs="Arial"/>
          <w:color w:val="222222"/>
          <w:lang w:eastAsia="es-ES_tradnl"/>
        </w:rPr>
        <w:t xml:space="preserve"> instituciones </w:t>
      </w:r>
      <w:r w:rsidR="008531CF">
        <w:rPr>
          <w:rFonts w:ascii="Arial" w:hAnsi="Arial" w:cs="Arial"/>
          <w:color w:val="222222"/>
          <w:lang w:eastAsia="es-ES_tradnl"/>
        </w:rPr>
        <w:t xml:space="preserve">privadas (“de vocación pública”) </w:t>
      </w:r>
      <w:r w:rsidR="00A67AF5">
        <w:rPr>
          <w:rFonts w:ascii="Arial" w:hAnsi="Arial" w:cs="Arial"/>
          <w:color w:val="222222"/>
          <w:lang w:eastAsia="es-ES_tradnl"/>
        </w:rPr>
        <w:t xml:space="preserve">con </w:t>
      </w:r>
      <w:r w:rsidRPr="00961C08">
        <w:rPr>
          <w:rFonts w:ascii="Arial" w:hAnsi="Arial" w:cs="Arial"/>
          <w:color w:val="222222"/>
          <w:lang w:eastAsia="es-ES_tradnl"/>
        </w:rPr>
        <w:t xml:space="preserve">gestión independiente </w:t>
      </w:r>
      <w:r w:rsidR="00A67AF5">
        <w:rPr>
          <w:rFonts w:ascii="Arial" w:hAnsi="Arial" w:cs="Arial"/>
          <w:color w:val="222222"/>
          <w:lang w:eastAsia="es-ES_tradnl"/>
        </w:rPr>
        <w:t xml:space="preserve">y </w:t>
      </w:r>
      <w:r w:rsidRPr="00961C08">
        <w:rPr>
          <w:rFonts w:ascii="Arial" w:hAnsi="Arial" w:cs="Arial"/>
          <w:color w:val="222222"/>
          <w:lang w:eastAsia="es-ES_tradnl"/>
        </w:rPr>
        <w:t>financiamiento predominantemente fiscal</w:t>
      </w:r>
      <w:r w:rsidR="0021721B">
        <w:rPr>
          <w:rFonts w:ascii="Arial" w:hAnsi="Arial" w:cs="Arial"/>
          <w:color w:val="222222"/>
          <w:lang w:eastAsia="es-ES_tradnl"/>
        </w:rPr>
        <w:t xml:space="preserve"> (economía política de tercer sector)</w:t>
      </w:r>
      <w:r w:rsidRPr="00961C08">
        <w:rPr>
          <w:rFonts w:ascii="Arial" w:hAnsi="Arial" w:cs="Arial"/>
          <w:color w:val="222222"/>
          <w:lang w:eastAsia="es-ES_tradnl"/>
        </w:rPr>
        <w:t xml:space="preserve">, como ocurre en </w:t>
      </w:r>
      <w:r w:rsidR="0021721B">
        <w:rPr>
          <w:rFonts w:ascii="Arial" w:hAnsi="Arial" w:cs="Arial"/>
          <w:color w:val="222222"/>
          <w:lang w:eastAsia="es-ES_tradnl"/>
        </w:rPr>
        <w:t xml:space="preserve">Bélgica, Finlandia, </w:t>
      </w:r>
      <w:r w:rsidRPr="00961C08">
        <w:rPr>
          <w:rFonts w:ascii="Arial" w:hAnsi="Arial" w:cs="Arial"/>
          <w:color w:val="222222"/>
          <w:lang w:eastAsia="es-ES_tradnl"/>
        </w:rPr>
        <w:t>Estonia</w:t>
      </w:r>
      <w:r w:rsidR="00A67AF5">
        <w:rPr>
          <w:rFonts w:ascii="Arial" w:hAnsi="Arial" w:cs="Arial"/>
          <w:color w:val="222222"/>
          <w:lang w:eastAsia="es-ES_tradnl"/>
        </w:rPr>
        <w:t xml:space="preserve"> y</w:t>
      </w:r>
      <w:r w:rsidR="0021721B">
        <w:rPr>
          <w:rFonts w:ascii="Arial" w:hAnsi="Arial" w:cs="Arial"/>
          <w:color w:val="222222"/>
          <w:lang w:eastAsia="es-ES_tradnl"/>
        </w:rPr>
        <w:t xml:space="preserve"> Honduras</w:t>
      </w:r>
      <w:r w:rsidR="00A67AF5">
        <w:rPr>
          <w:rFonts w:ascii="Arial" w:hAnsi="Arial" w:cs="Arial"/>
          <w:color w:val="222222"/>
          <w:lang w:eastAsia="es-ES_tradnl"/>
        </w:rPr>
        <w:t>,</w:t>
      </w:r>
      <w:r w:rsidR="0021721B">
        <w:rPr>
          <w:rFonts w:ascii="Arial" w:hAnsi="Arial" w:cs="Arial"/>
          <w:color w:val="222222"/>
          <w:lang w:eastAsia="es-ES_tradnl"/>
        </w:rPr>
        <w:t xml:space="preserve"> por ejemplo</w:t>
      </w:r>
      <w:r w:rsidRPr="00961C08">
        <w:rPr>
          <w:rFonts w:ascii="Arial" w:hAnsi="Arial" w:cs="Arial"/>
          <w:color w:val="222222"/>
          <w:lang w:eastAsia="es-ES_tradnl"/>
        </w:rPr>
        <w:t>. Nótese que</w:t>
      </w:r>
      <w:r w:rsidR="00A67AF5">
        <w:rPr>
          <w:rFonts w:ascii="Arial" w:hAnsi="Arial" w:cs="Arial"/>
          <w:color w:val="222222"/>
          <w:lang w:eastAsia="es-ES_tradnl"/>
        </w:rPr>
        <w:t xml:space="preserve"> si bien </w:t>
      </w:r>
      <w:r w:rsidRPr="00961C08">
        <w:rPr>
          <w:rFonts w:ascii="Arial" w:hAnsi="Arial" w:cs="Arial"/>
          <w:color w:val="222222"/>
          <w:lang w:eastAsia="es-ES_tradnl"/>
        </w:rPr>
        <w:t xml:space="preserve">Chile </w:t>
      </w:r>
      <w:r w:rsidR="00A67AF5">
        <w:rPr>
          <w:rFonts w:ascii="Arial" w:hAnsi="Arial" w:cs="Arial"/>
          <w:color w:val="222222"/>
          <w:lang w:eastAsia="es-ES_tradnl"/>
        </w:rPr>
        <w:t xml:space="preserve">se sitúa en el cuadrante de provisión y financiamiento predominantemente privados, sin embargo </w:t>
      </w:r>
      <w:r w:rsidRPr="00961C08">
        <w:rPr>
          <w:rFonts w:ascii="Arial" w:hAnsi="Arial" w:cs="Arial"/>
          <w:color w:val="222222"/>
          <w:lang w:eastAsia="es-ES_tradnl"/>
        </w:rPr>
        <w:t xml:space="preserve">posee universidades que se ubican en tres de los tipos de regímenes de economía política descritos. Universidades estales mayormente financiadas con recursos privados; universidades privadas de la clase G9, </w:t>
      </w:r>
      <w:r w:rsidR="00A67AF5">
        <w:rPr>
          <w:rFonts w:ascii="Arial" w:hAnsi="Arial" w:cs="Arial"/>
          <w:color w:val="222222"/>
          <w:lang w:eastAsia="es-ES_tradnl"/>
        </w:rPr>
        <w:t>co</w:t>
      </w:r>
      <w:r w:rsidRPr="00961C08">
        <w:rPr>
          <w:rFonts w:ascii="Arial" w:hAnsi="Arial" w:cs="Arial"/>
          <w:color w:val="222222"/>
          <w:lang w:eastAsia="es-ES_tradnl"/>
        </w:rPr>
        <w:t>financiadas con aportes directos del Estado, y universidades privadas con financiamiento principal (aunque no exclusivo) de fuentes privadas.</w:t>
      </w:r>
    </w:p>
    <w:p w14:paraId="17C95C2A" w14:textId="0207CC4E" w:rsidR="00F53D50" w:rsidRPr="00F53D50" w:rsidRDefault="00F53D50" w:rsidP="00F53D50">
      <w:pPr>
        <w:shd w:val="clear" w:color="auto" w:fill="FFFFFF"/>
        <w:spacing w:before="100" w:beforeAutospacing="1" w:after="100" w:afterAutospacing="1"/>
        <w:rPr>
          <w:rFonts w:ascii="Arial" w:hAnsi="Arial" w:cs="Arial"/>
          <w:color w:val="222222"/>
          <w:lang w:eastAsia="es-ES_tradnl"/>
        </w:rPr>
      </w:pPr>
      <w:r w:rsidRPr="00961C08">
        <w:rPr>
          <w:rFonts w:ascii="Arial" w:hAnsi="Arial" w:cs="Arial"/>
          <w:color w:val="222222"/>
          <w:u w:val="single"/>
          <w:lang w:eastAsia="es-ES_tradnl"/>
        </w:rPr>
        <w:t>Desempeño</w:t>
      </w:r>
      <w:r w:rsidRPr="00961C08">
        <w:rPr>
          <w:rFonts w:ascii="Arial" w:hAnsi="Arial" w:cs="Arial"/>
          <w:color w:val="222222"/>
          <w:lang w:eastAsia="es-ES_tradnl"/>
        </w:rPr>
        <w:t>. ¿Qué rendimiento posee nuestro sistema en las dimensiones básicas de desempeño? </w:t>
      </w:r>
    </w:p>
    <w:p w14:paraId="22E17813" w14:textId="77777777" w:rsidR="00F53D50" w:rsidRPr="00F53D50" w:rsidRDefault="00F53D50" w:rsidP="00F53D50">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5A06E1">
        <w:rPr>
          <w:rFonts w:ascii="Arial" w:eastAsia="Times New Roman" w:hAnsi="Arial" w:cs="Arial"/>
          <w:color w:val="222222"/>
          <w:sz w:val="22"/>
          <w:szCs w:val="22"/>
          <w:u w:val="single"/>
          <w:lang w:eastAsia="es-ES_tradnl"/>
        </w:rPr>
        <w:t>Participación</w:t>
      </w:r>
      <w:r w:rsidRPr="005A06E1">
        <w:rPr>
          <w:rFonts w:ascii="Arial" w:eastAsia="Times New Roman" w:hAnsi="Arial" w:cs="Arial"/>
          <w:color w:val="222222"/>
          <w:sz w:val="22"/>
          <w:szCs w:val="22"/>
          <w:lang w:eastAsia="es-ES_tradnl"/>
        </w:rPr>
        <w:t>. La participación neta, sobre el grupo de edad de 20 a 29 años, alcanza en Chile a un 27%, mientras que en el promedio de la OCDE se sitúa en torno a un 22%. La participación bruta medida por la UNESCO en relación a la cohorte de edad pertinente es de 89%, trece puntos porcentuales por encima de los países de Europa Occidental y América del Norte y casi el doble de la tasa promedio de América Latina (46,3%). </w:t>
      </w:r>
    </w:p>
    <w:p w14:paraId="3EC828F3" w14:textId="5FD44B95" w:rsidR="00F53D50" w:rsidRPr="00F53D50" w:rsidRDefault="004A096E" w:rsidP="00F53D50">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Pr>
          <w:rFonts w:ascii="Arial" w:eastAsia="Times New Roman" w:hAnsi="Arial" w:cs="Arial"/>
          <w:color w:val="222222"/>
          <w:sz w:val="22"/>
          <w:szCs w:val="22"/>
          <w:u w:val="single"/>
          <w:lang w:eastAsia="es-ES_tradnl"/>
        </w:rPr>
        <w:t>Acceso</w:t>
      </w:r>
      <w:r w:rsidR="00F53D50" w:rsidRPr="005A06E1">
        <w:rPr>
          <w:rFonts w:ascii="Arial" w:eastAsia="Times New Roman" w:hAnsi="Arial" w:cs="Arial"/>
          <w:color w:val="222222"/>
          <w:sz w:val="22"/>
          <w:szCs w:val="22"/>
          <w:lang w:eastAsia="es-ES_tradnl"/>
        </w:rPr>
        <w:t xml:space="preserve">. La tasa de primer </w:t>
      </w:r>
      <w:r>
        <w:rPr>
          <w:rFonts w:ascii="Arial" w:eastAsia="Times New Roman" w:hAnsi="Arial" w:cs="Arial"/>
          <w:color w:val="222222"/>
          <w:sz w:val="22"/>
          <w:szCs w:val="22"/>
          <w:lang w:eastAsia="es-ES_tradnl"/>
        </w:rPr>
        <w:t>acceso</w:t>
      </w:r>
      <w:r w:rsidR="00F53D50" w:rsidRPr="005A06E1">
        <w:rPr>
          <w:rFonts w:ascii="Arial" w:eastAsia="Times New Roman" w:hAnsi="Arial" w:cs="Arial"/>
          <w:color w:val="222222"/>
          <w:sz w:val="22"/>
          <w:szCs w:val="22"/>
          <w:lang w:eastAsia="es-ES_tradnl"/>
        </w:rPr>
        <w:t xml:space="preserve"> a la ET (proporción de personas que puede esperarse ingresaran a algún programa de ER en el curso de su vida), que da </w:t>
      </w:r>
      <w:r w:rsidR="00F53D50" w:rsidRPr="005A06E1">
        <w:rPr>
          <w:rFonts w:ascii="Arial" w:eastAsia="Times New Roman" w:hAnsi="Arial" w:cs="Arial"/>
          <w:color w:val="222222"/>
          <w:sz w:val="22"/>
          <w:szCs w:val="22"/>
          <w:lang w:eastAsia="es-ES_tradnl"/>
        </w:rPr>
        <w:lastRenderedPageBreak/>
        <w:t>una idea general sobre la accesibilidad a este nivel, es de 87% en Chile y 68% en el promedio de la OCDE. </w:t>
      </w:r>
    </w:p>
    <w:p w14:paraId="1FD7C706" w14:textId="5A7967C7" w:rsidR="00F53D50" w:rsidRDefault="00F53D50" w:rsidP="00F53D50">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5A06E1">
        <w:rPr>
          <w:rFonts w:ascii="Arial" w:eastAsia="Times New Roman" w:hAnsi="Arial" w:cs="Arial"/>
          <w:color w:val="222222"/>
          <w:sz w:val="22"/>
          <w:szCs w:val="22"/>
          <w:u w:val="single"/>
          <w:lang w:eastAsia="es-ES_tradnl"/>
        </w:rPr>
        <w:t>Matrícula x niveles</w:t>
      </w:r>
      <w:r w:rsidRPr="005A06E1">
        <w:rPr>
          <w:rFonts w:ascii="Arial" w:eastAsia="Times New Roman" w:hAnsi="Arial" w:cs="Arial"/>
          <w:color w:val="222222"/>
          <w:sz w:val="22"/>
          <w:szCs w:val="22"/>
          <w:lang w:eastAsia="es-ES_tradnl"/>
        </w:rPr>
        <w:t>. La distribución de la matrícula x niveles de la CINE en Chile es la siguiente: Nivel 5, 29%; Nivel 6, 63,1%; Nivel 7, 7,1%</w:t>
      </w:r>
      <w:r w:rsidR="007A6723">
        <w:rPr>
          <w:rFonts w:ascii="Arial" w:eastAsia="Times New Roman" w:hAnsi="Arial" w:cs="Arial"/>
          <w:color w:val="222222"/>
          <w:sz w:val="22"/>
          <w:szCs w:val="22"/>
          <w:lang w:eastAsia="es-ES_tradnl"/>
        </w:rPr>
        <w:t>%; y Nivel 8, 0,4%. En los país</w:t>
      </w:r>
      <w:r w:rsidRPr="005A06E1">
        <w:rPr>
          <w:rFonts w:ascii="Arial" w:eastAsia="Times New Roman" w:hAnsi="Arial" w:cs="Arial"/>
          <w:color w:val="222222"/>
          <w:sz w:val="22"/>
          <w:szCs w:val="22"/>
          <w:lang w:eastAsia="es-ES_tradnl"/>
        </w:rPr>
        <w:t xml:space="preserve">es de Europa Occidental y </w:t>
      </w:r>
      <w:r w:rsidR="007A6723" w:rsidRPr="005A06E1">
        <w:rPr>
          <w:rFonts w:ascii="Arial" w:eastAsia="Times New Roman" w:hAnsi="Arial" w:cs="Arial"/>
          <w:color w:val="222222"/>
          <w:sz w:val="22"/>
          <w:szCs w:val="22"/>
          <w:lang w:eastAsia="es-ES_tradnl"/>
        </w:rPr>
        <w:t>América</w:t>
      </w:r>
      <w:r w:rsidR="007A6723">
        <w:rPr>
          <w:rFonts w:ascii="Arial" w:eastAsia="Times New Roman" w:hAnsi="Arial" w:cs="Arial"/>
          <w:color w:val="222222"/>
          <w:sz w:val="22"/>
          <w:szCs w:val="22"/>
          <w:lang w:eastAsia="es-ES_tradnl"/>
        </w:rPr>
        <w:t xml:space="preserve"> del a N</w:t>
      </w:r>
      <w:r w:rsidRPr="005A06E1">
        <w:rPr>
          <w:rFonts w:ascii="Arial" w:eastAsia="Times New Roman" w:hAnsi="Arial" w:cs="Arial"/>
          <w:color w:val="222222"/>
          <w:sz w:val="22"/>
          <w:szCs w:val="22"/>
          <w:lang w:eastAsia="es-ES_tradnl"/>
        </w:rPr>
        <w:t>orte, las cifras correspondientes son: 24,2%; 53,5%; 19,4%; 2,8%, respectivamente (UIS, 2027).</w:t>
      </w:r>
    </w:p>
    <w:p w14:paraId="7E8F322D" w14:textId="740B379E" w:rsidR="007A6723" w:rsidRPr="00F53D50" w:rsidRDefault="007A6723" w:rsidP="007A6723">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5A06E1">
        <w:rPr>
          <w:rFonts w:ascii="Arial" w:eastAsia="Times New Roman" w:hAnsi="Arial" w:cs="Arial"/>
          <w:color w:val="222222"/>
          <w:sz w:val="22"/>
          <w:szCs w:val="22"/>
          <w:u w:val="single"/>
          <w:lang w:eastAsia="es-ES_tradnl"/>
        </w:rPr>
        <w:t>Equidad de la participación</w:t>
      </w:r>
      <w:r w:rsidRPr="005A06E1">
        <w:rPr>
          <w:rFonts w:ascii="Arial" w:eastAsia="Times New Roman" w:hAnsi="Arial" w:cs="Arial"/>
          <w:color w:val="222222"/>
          <w:sz w:val="22"/>
          <w:szCs w:val="22"/>
          <w:lang w:eastAsia="es-ES_tradnl"/>
        </w:rPr>
        <w:t>. De acuerdo a las cifras de participación de los quintiles de ingreso equivalente, Chile posee la mayor tasa de participación neta del quintil 1 (más pobre) en América Latina, la que alcanza a un 27,4%. Asimismo, tiene el segundo índice de desigualdad 20:20 más bajo después de Bolivia; en efecto, el valor para Chile es 2,3, el de Bolivia 1,8 y el índice promedio para América Latina es 7,0. (SEDLAC, 2017).</w:t>
      </w:r>
      <w:r>
        <w:rPr>
          <w:rStyle w:val="Refdenotaalpie"/>
          <w:rFonts w:ascii="Arial" w:eastAsia="Times New Roman" w:hAnsi="Arial" w:cs="Arial"/>
          <w:color w:val="222222"/>
          <w:sz w:val="22"/>
          <w:szCs w:val="22"/>
          <w:lang w:eastAsia="es-ES_tradnl"/>
        </w:rPr>
        <w:footnoteReference w:id="1"/>
      </w:r>
    </w:p>
    <w:p w14:paraId="33FAF55E" w14:textId="0B016A72" w:rsidR="00F53D50" w:rsidRPr="00F53D50" w:rsidRDefault="00F53D50" w:rsidP="00F53D50">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5A06E1">
        <w:rPr>
          <w:rFonts w:ascii="Arial" w:eastAsia="Times New Roman" w:hAnsi="Arial" w:cs="Arial"/>
          <w:color w:val="222222"/>
          <w:sz w:val="22"/>
          <w:szCs w:val="22"/>
          <w:u w:val="single"/>
          <w:lang w:eastAsia="es-ES_tradnl"/>
        </w:rPr>
        <w:t>Eficiencia interna</w:t>
      </w:r>
      <w:r w:rsidRPr="005A06E1">
        <w:rPr>
          <w:rFonts w:ascii="Arial" w:eastAsia="Times New Roman" w:hAnsi="Arial" w:cs="Arial"/>
          <w:color w:val="222222"/>
          <w:sz w:val="22"/>
          <w:szCs w:val="22"/>
          <w:lang w:eastAsia="es-ES_tradnl"/>
        </w:rPr>
        <w:t xml:space="preserve">. (A) La </w:t>
      </w:r>
      <w:r w:rsidRPr="00372504">
        <w:rPr>
          <w:rFonts w:ascii="Arial" w:eastAsia="Times New Roman" w:hAnsi="Arial" w:cs="Arial"/>
          <w:color w:val="222222"/>
          <w:sz w:val="22"/>
          <w:szCs w:val="22"/>
          <w:u w:val="single"/>
          <w:lang w:eastAsia="es-ES_tradnl"/>
        </w:rPr>
        <w:t>tasa de 1a graduación de la ET</w:t>
      </w:r>
      <w:r w:rsidRPr="005A06E1">
        <w:rPr>
          <w:rFonts w:ascii="Arial" w:eastAsia="Times New Roman" w:hAnsi="Arial" w:cs="Arial"/>
          <w:color w:val="222222"/>
          <w:sz w:val="22"/>
          <w:szCs w:val="22"/>
          <w:lang w:eastAsia="es-ES_tradnl"/>
        </w:rPr>
        <w:t xml:space="preserve"> (sin incluir estudiantes extranjeros) --que es una estimación del porcentaje de una cohorte de edad que se espera se graduara durante el largo de su vida-- es en Chile de 51% y en el promedio de la OCDE de un 45%. En los programas de ciclo corto las correspondientes cifras son de 22% y 11%; en el nivel de bachillerato o equivalente, 34% y 38%; en el de MA o equivalente, 9</w:t>
      </w:r>
      <w:r w:rsidR="007A6723" w:rsidRPr="005A06E1">
        <w:rPr>
          <w:rFonts w:ascii="Arial" w:eastAsia="Times New Roman" w:hAnsi="Arial" w:cs="Arial"/>
          <w:color w:val="222222"/>
          <w:sz w:val="22"/>
          <w:szCs w:val="22"/>
          <w:lang w:eastAsia="es-ES_tradnl"/>
        </w:rPr>
        <w:t>% y</w:t>
      </w:r>
      <w:r w:rsidRPr="005A06E1">
        <w:rPr>
          <w:rFonts w:ascii="Arial" w:eastAsia="Times New Roman" w:hAnsi="Arial" w:cs="Arial"/>
          <w:color w:val="222222"/>
          <w:sz w:val="22"/>
          <w:szCs w:val="22"/>
          <w:lang w:eastAsia="es-ES_tradnl"/>
        </w:rPr>
        <w:t xml:space="preserve"> 18</w:t>
      </w:r>
      <w:r w:rsidR="00E47FF5" w:rsidRPr="005A06E1">
        <w:rPr>
          <w:rFonts w:ascii="Arial" w:eastAsia="Times New Roman" w:hAnsi="Arial" w:cs="Arial"/>
          <w:color w:val="222222"/>
          <w:sz w:val="22"/>
          <w:szCs w:val="22"/>
          <w:lang w:eastAsia="es-ES_tradnl"/>
        </w:rPr>
        <w:t>%; y</w:t>
      </w:r>
      <w:r w:rsidRPr="005A06E1">
        <w:rPr>
          <w:rFonts w:ascii="Arial" w:eastAsia="Times New Roman" w:hAnsi="Arial" w:cs="Arial"/>
          <w:color w:val="222222"/>
          <w:sz w:val="22"/>
          <w:szCs w:val="22"/>
          <w:lang w:eastAsia="es-ES_tradnl"/>
        </w:rPr>
        <w:t xml:space="preserve"> en el de PhD o equivalente, 0,2% y 1,7%, respectivamente. (B) En cuanto a la </w:t>
      </w:r>
      <w:r w:rsidRPr="00372504">
        <w:rPr>
          <w:rFonts w:ascii="Arial" w:eastAsia="Times New Roman" w:hAnsi="Arial" w:cs="Arial"/>
          <w:color w:val="222222"/>
          <w:sz w:val="22"/>
          <w:szCs w:val="22"/>
          <w:u w:val="single"/>
          <w:lang w:eastAsia="es-ES_tradnl"/>
        </w:rPr>
        <w:t xml:space="preserve">tasa de conclusión de estudios universitarios </w:t>
      </w:r>
      <w:r w:rsidR="00372504" w:rsidRPr="00372504">
        <w:rPr>
          <w:rFonts w:ascii="Arial" w:eastAsia="Times New Roman" w:hAnsi="Arial" w:cs="Arial"/>
          <w:color w:val="222222"/>
          <w:sz w:val="22"/>
          <w:szCs w:val="22"/>
          <w:u w:val="single"/>
          <w:lang w:eastAsia="es-ES_tradnl"/>
        </w:rPr>
        <w:t>por</w:t>
      </w:r>
      <w:r w:rsidRPr="00372504">
        <w:rPr>
          <w:rFonts w:ascii="Arial" w:eastAsia="Times New Roman" w:hAnsi="Arial" w:cs="Arial"/>
          <w:color w:val="222222"/>
          <w:sz w:val="22"/>
          <w:szCs w:val="22"/>
          <w:u w:val="single"/>
          <w:lang w:eastAsia="es-ES_tradnl"/>
        </w:rPr>
        <w:t xml:space="preserve"> cohorte</w:t>
      </w:r>
      <w:r w:rsidRPr="005A06E1">
        <w:rPr>
          <w:rFonts w:ascii="Arial" w:eastAsia="Times New Roman" w:hAnsi="Arial" w:cs="Arial"/>
          <w:color w:val="222222"/>
          <w:sz w:val="22"/>
          <w:szCs w:val="22"/>
          <w:lang w:eastAsia="es-ES_tradnl"/>
        </w:rPr>
        <w:t xml:space="preserve">, </w:t>
      </w:r>
      <w:r w:rsidR="00F51E76">
        <w:rPr>
          <w:rFonts w:ascii="Arial" w:eastAsia="Times New Roman" w:hAnsi="Arial" w:cs="Arial"/>
          <w:color w:val="222222"/>
          <w:sz w:val="22"/>
          <w:szCs w:val="22"/>
          <w:lang w:eastAsia="es-ES_tradnl"/>
        </w:rPr>
        <w:t xml:space="preserve">no hay datos confiables en Chile que sean comparables internacionalmente, mientras </w:t>
      </w:r>
      <w:r w:rsidRPr="005A06E1">
        <w:rPr>
          <w:rFonts w:ascii="Arial" w:eastAsia="Times New Roman" w:hAnsi="Arial" w:cs="Arial"/>
          <w:color w:val="222222"/>
          <w:sz w:val="22"/>
          <w:szCs w:val="22"/>
          <w:lang w:eastAsia="es-ES_tradnl"/>
        </w:rPr>
        <w:t>para el promedio de los países de la OCDE es</w:t>
      </w:r>
      <w:r w:rsidR="00F51E76">
        <w:rPr>
          <w:rFonts w:ascii="Arial" w:eastAsia="Times New Roman" w:hAnsi="Arial" w:cs="Arial"/>
          <w:color w:val="222222"/>
          <w:sz w:val="22"/>
          <w:szCs w:val="22"/>
          <w:lang w:eastAsia="es-ES_tradnl"/>
        </w:rPr>
        <w:t>a tasa es de un</w:t>
      </w:r>
      <w:r w:rsidRPr="005A06E1">
        <w:rPr>
          <w:rFonts w:ascii="Arial" w:eastAsia="Times New Roman" w:hAnsi="Arial" w:cs="Arial"/>
          <w:color w:val="222222"/>
          <w:sz w:val="22"/>
          <w:szCs w:val="22"/>
          <w:lang w:eastAsia="es-ES_tradnl"/>
        </w:rPr>
        <w:t xml:space="preserve"> 45% en tiempo oportuno y 69% con tres años adicionales a la duración nominal de los programas</w:t>
      </w:r>
      <w:r w:rsidR="00F51E76">
        <w:rPr>
          <w:rFonts w:ascii="Arial" w:eastAsia="Times New Roman" w:hAnsi="Arial" w:cs="Arial"/>
          <w:color w:val="222222"/>
          <w:sz w:val="22"/>
          <w:szCs w:val="22"/>
          <w:lang w:eastAsia="es-ES_tradnl"/>
        </w:rPr>
        <w:t>.  Suele estimarse que en Chile esta última cifra sería significativamente inferior y que hay, además, una prolongación excesiva de los estudios en relación con su duración nominal.</w:t>
      </w:r>
    </w:p>
    <w:p w14:paraId="7AE7B3F3" w14:textId="7FD4FBB4" w:rsidR="009B6D35" w:rsidRPr="00372504" w:rsidRDefault="00F53D50" w:rsidP="0070569B">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70569B">
        <w:rPr>
          <w:rFonts w:ascii="Arial" w:eastAsia="Times New Roman" w:hAnsi="Arial" w:cs="Arial"/>
          <w:color w:val="222222"/>
          <w:sz w:val="22"/>
          <w:szCs w:val="22"/>
          <w:u w:val="single"/>
          <w:lang w:eastAsia="es-ES_tradnl"/>
        </w:rPr>
        <w:t>Eficiencia externa</w:t>
      </w:r>
      <w:r w:rsidRPr="0070569B">
        <w:rPr>
          <w:rFonts w:ascii="Arial" w:eastAsia="Times New Roman" w:hAnsi="Arial" w:cs="Arial"/>
          <w:color w:val="222222"/>
          <w:sz w:val="22"/>
          <w:szCs w:val="22"/>
          <w:lang w:eastAsia="es-ES_tradnl"/>
        </w:rPr>
        <w:t xml:space="preserve">, vinculada con el empleo e ingresos de las personas con ET.  (A) La </w:t>
      </w:r>
      <w:r w:rsidRPr="00372504">
        <w:rPr>
          <w:rFonts w:ascii="Arial" w:eastAsia="Times New Roman" w:hAnsi="Arial" w:cs="Arial"/>
          <w:color w:val="222222"/>
          <w:sz w:val="22"/>
          <w:szCs w:val="22"/>
          <w:u w:val="single"/>
          <w:lang w:eastAsia="es-ES_tradnl"/>
        </w:rPr>
        <w:t>tasa de empleo de personas con ET</w:t>
      </w:r>
      <w:r w:rsidRPr="0070569B">
        <w:rPr>
          <w:rFonts w:ascii="Arial" w:eastAsia="Times New Roman" w:hAnsi="Arial" w:cs="Arial"/>
          <w:color w:val="222222"/>
          <w:sz w:val="22"/>
          <w:szCs w:val="22"/>
          <w:lang w:eastAsia="es-ES_tradnl"/>
        </w:rPr>
        <w:t xml:space="preserve"> x áreas de educación, hombres y mujeres, aparece como altamente satisfactoria </w:t>
      </w:r>
      <w:r w:rsidR="0021721B" w:rsidRPr="0070569B">
        <w:rPr>
          <w:rFonts w:ascii="Arial" w:eastAsia="Times New Roman" w:hAnsi="Arial" w:cs="Arial"/>
          <w:color w:val="222222"/>
          <w:sz w:val="22"/>
          <w:szCs w:val="22"/>
          <w:lang w:eastAsia="es-ES_tradnl"/>
        </w:rPr>
        <w:t xml:space="preserve">en </w:t>
      </w:r>
      <w:r w:rsidRPr="0070569B">
        <w:rPr>
          <w:rFonts w:ascii="Arial" w:eastAsia="Times New Roman" w:hAnsi="Arial" w:cs="Arial"/>
          <w:color w:val="222222"/>
          <w:sz w:val="22"/>
          <w:szCs w:val="22"/>
          <w:lang w:eastAsia="es-ES_tradnl"/>
        </w:rPr>
        <w:t xml:space="preserve">comparación </w:t>
      </w:r>
      <w:r w:rsidR="0021721B" w:rsidRPr="0070569B">
        <w:rPr>
          <w:rFonts w:ascii="Arial" w:eastAsia="Times New Roman" w:hAnsi="Arial" w:cs="Arial"/>
          <w:color w:val="222222"/>
          <w:sz w:val="22"/>
          <w:szCs w:val="22"/>
          <w:lang w:eastAsia="es-ES_tradnl"/>
        </w:rPr>
        <w:t xml:space="preserve">internacional </w:t>
      </w:r>
      <w:r w:rsidRPr="0070569B">
        <w:rPr>
          <w:rFonts w:ascii="Arial" w:eastAsia="Times New Roman" w:hAnsi="Arial" w:cs="Arial"/>
          <w:color w:val="222222"/>
          <w:sz w:val="22"/>
          <w:szCs w:val="22"/>
          <w:lang w:eastAsia="es-ES_tradnl"/>
        </w:rPr>
        <w:t xml:space="preserve">(Chile 2015; OCDE promedio, 2012 a 2015). (OECD </w:t>
      </w:r>
      <w:proofErr w:type="spellStart"/>
      <w:r w:rsidRPr="0070569B">
        <w:rPr>
          <w:rFonts w:ascii="Arial" w:eastAsia="Times New Roman" w:hAnsi="Arial" w:cs="Arial"/>
          <w:i/>
          <w:color w:val="222222"/>
          <w:sz w:val="22"/>
          <w:szCs w:val="22"/>
          <w:lang w:eastAsia="es-ES_tradnl"/>
        </w:rPr>
        <w:t>Survey</w:t>
      </w:r>
      <w:proofErr w:type="spellEnd"/>
      <w:r w:rsidRPr="0070569B">
        <w:rPr>
          <w:rFonts w:ascii="Arial" w:eastAsia="Times New Roman" w:hAnsi="Arial" w:cs="Arial"/>
          <w:i/>
          <w:color w:val="222222"/>
          <w:sz w:val="22"/>
          <w:szCs w:val="22"/>
          <w:lang w:eastAsia="es-ES_tradnl"/>
        </w:rPr>
        <w:t xml:space="preserve"> of </w:t>
      </w:r>
      <w:proofErr w:type="spellStart"/>
      <w:r w:rsidRPr="0070569B">
        <w:rPr>
          <w:rFonts w:ascii="Arial" w:eastAsia="Times New Roman" w:hAnsi="Arial" w:cs="Arial"/>
          <w:i/>
          <w:color w:val="222222"/>
          <w:sz w:val="22"/>
          <w:szCs w:val="22"/>
          <w:lang w:eastAsia="es-ES_tradnl"/>
        </w:rPr>
        <w:t>Adult</w:t>
      </w:r>
      <w:proofErr w:type="spellEnd"/>
      <w:r w:rsidRPr="0070569B">
        <w:rPr>
          <w:rFonts w:ascii="Arial" w:eastAsia="Times New Roman" w:hAnsi="Arial" w:cs="Arial"/>
          <w:i/>
          <w:color w:val="222222"/>
          <w:sz w:val="22"/>
          <w:szCs w:val="22"/>
          <w:lang w:eastAsia="es-ES_tradnl"/>
        </w:rPr>
        <w:t xml:space="preserve"> </w:t>
      </w:r>
      <w:proofErr w:type="spellStart"/>
      <w:r w:rsidRPr="0070569B">
        <w:rPr>
          <w:rFonts w:ascii="Arial" w:eastAsia="Times New Roman" w:hAnsi="Arial" w:cs="Arial"/>
          <w:i/>
          <w:color w:val="222222"/>
          <w:sz w:val="22"/>
          <w:szCs w:val="22"/>
          <w:lang w:eastAsia="es-ES_tradnl"/>
        </w:rPr>
        <w:t>Skills</w:t>
      </w:r>
      <w:proofErr w:type="spellEnd"/>
      <w:r w:rsidRPr="0070569B">
        <w:rPr>
          <w:rFonts w:ascii="Arial" w:eastAsia="Times New Roman" w:hAnsi="Arial" w:cs="Arial"/>
          <w:color w:val="222222"/>
          <w:sz w:val="22"/>
          <w:szCs w:val="22"/>
          <w:lang w:eastAsia="es-ES_tradnl"/>
        </w:rPr>
        <w:t xml:space="preserve"> (PIAAC), 2012, 2015</w:t>
      </w:r>
      <w:r w:rsidR="005A06E1" w:rsidRPr="0070569B">
        <w:rPr>
          <w:rFonts w:ascii="Arial" w:eastAsia="Times New Roman" w:hAnsi="Arial" w:cs="Arial"/>
          <w:color w:val="222222"/>
          <w:sz w:val="22"/>
          <w:szCs w:val="22"/>
          <w:lang w:eastAsia="es-ES_tradnl"/>
        </w:rPr>
        <w:t>). (</w:t>
      </w:r>
      <w:r w:rsidR="0021721B" w:rsidRPr="0070569B">
        <w:rPr>
          <w:rFonts w:ascii="Arial" w:eastAsia="Times New Roman" w:hAnsi="Arial" w:cs="Arial"/>
          <w:color w:val="FF0000"/>
          <w:sz w:val="22"/>
          <w:szCs w:val="22"/>
          <w:lang w:eastAsia="es-ES_tradnl"/>
        </w:rPr>
        <w:t>Tabla 2</w:t>
      </w:r>
      <w:r w:rsidR="005A06E1" w:rsidRPr="0070569B">
        <w:rPr>
          <w:rFonts w:ascii="Arial" w:eastAsia="Times New Roman" w:hAnsi="Arial" w:cs="Arial"/>
          <w:color w:val="222222"/>
          <w:sz w:val="22"/>
          <w:szCs w:val="22"/>
          <w:lang w:eastAsia="es-ES_tradnl"/>
        </w:rPr>
        <w:t xml:space="preserve">) </w:t>
      </w:r>
      <w:r w:rsidRPr="0070569B">
        <w:rPr>
          <w:rFonts w:ascii="Arial" w:hAnsi="Arial" w:cs="Arial"/>
          <w:color w:val="222222"/>
          <w:sz w:val="22"/>
          <w:szCs w:val="22"/>
          <w:lang w:eastAsia="es-ES_tradnl"/>
        </w:rPr>
        <w:t xml:space="preserve">(B) El </w:t>
      </w:r>
      <w:r w:rsidRPr="00372504">
        <w:rPr>
          <w:rFonts w:ascii="Arial" w:hAnsi="Arial" w:cs="Arial"/>
          <w:color w:val="222222"/>
          <w:sz w:val="22"/>
          <w:szCs w:val="22"/>
          <w:u w:val="single"/>
          <w:lang w:eastAsia="es-ES_tradnl"/>
        </w:rPr>
        <w:t>diferencial del ingreso</w:t>
      </w:r>
      <w:r w:rsidRPr="0070569B">
        <w:rPr>
          <w:rFonts w:ascii="Arial" w:hAnsi="Arial" w:cs="Arial"/>
          <w:color w:val="222222"/>
          <w:sz w:val="22"/>
          <w:szCs w:val="22"/>
          <w:lang w:eastAsia="es-ES_tradnl"/>
        </w:rPr>
        <w:t xml:space="preserve"> recibido por las personas con ET en relación con el ingreso promedio de las personas con educación secundaria superior (=100</w:t>
      </w:r>
      <w:r w:rsidR="005A06E1" w:rsidRPr="0070569B">
        <w:rPr>
          <w:rFonts w:ascii="Arial" w:hAnsi="Arial" w:cs="Arial"/>
          <w:color w:val="222222"/>
          <w:sz w:val="22"/>
          <w:szCs w:val="22"/>
          <w:lang w:eastAsia="es-ES_tradnl"/>
        </w:rPr>
        <w:t>) es</w:t>
      </w:r>
      <w:r w:rsidRPr="0070569B">
        <w:rPr>
          <w:rFonts w:ascii="Arial" w:hAnsi="Arial" w:cs="Arial"/>
          <w:color w:val="222222"/>
          <w:sz w:val="22"/>
          <w:szCs w:val="22"/>
          <w:lang w:eastAsia="es-ES_tradnl"/>
        </w:rPr>
        <w:t xml:space="preserve"> en </w:t>
      </w:r>
      <w:r w:rsidR="005A06E1" w:rsidRPr="0070569B">
        <w:rPr>
          <w:rFonts w:ascii="Arial" w:hAnsi="Arial" w:cs="Arial"/>
          <w:color w:val="222222"/>
          <w:sz w:val="22"/>
          <w:szCs w:val="22"/>
          <w:lang w:eastAsia="es-ES_tradnl"/>
        </w:rPr>
        <w:t>general alto</w:t>
      </w:r>
      <w:r w:rsidRPr="0070569B">
        <w:rPr>
          <w:rFonts w:ascii="Arial" w:hAnsi="Arial" w:cs="Arial"/>
          <w:color w:val="222222"/>
          <w:sz w:val="22"/>
          <w:szCs w:val="22"/>
          <w:lang w:eastAsia="es-ES_tradnl"/>
        </w:rPr>
        <w:t xml:space="preserve"> en comparación con el promedio OCDE, en todos </w:t>
      </w:r>
      <w:r w:rsidRPr="0070569B">
        <w:rPr>
          <w:rFonts w:ascii="Arial" w:hAnsi="Arial" w:cs="Arial"/>
          <w:color w:val="222222"/>
          <w:lang w:eastAsia="es-ES_tradnl"/>
        </w:rPr>
        <w:t>los niveles</w:t>
      </w:r>
      <w:r w:rsidR="00E16A66" w:rsidRPr="0070569B">
        <w:rPr>
          <w:rFonts w:ascii="Arial" w:hAnsi="Arial" w:cs="Arial"/>
          <w:color w:val="222222"/>
          <w:lang w:eastAsia="es-ES_tradnl"/>
        </w:rPr>
        <w:t>. (</w:t>
      </w:r>
      <w:r w:rsidR="00E16A66" w:rsidRPr="0070569B">
        <w:rPr>
          <w:rFonts w:ascii="Arial" w:hAnsi="Arial" w:cs="Arial"/>
          <w:color w:val="FF0000"/>
          <w:lang w:eastAsia="es-ES_tradnl"/>
        </w:rPr>
        <w:t xml:space="preserve">Tabla </w:t>
      </w:r>
      <w:r w:rsidR="0021721B" w:rsidRPr="0070569B">
        <w:rPr>
          <w:rFonts w:ascii="Arial" w:hAnsi="Arial" w:cs="Arial"/>
          <w:color w:val="FF0000"/>
          <w:lang w:eastAsia="es-ES_tradnl"/>
        </w:rPr>
        <w:t>3</w:t>
      </w:r>
      <w:r w:rsidR="00E16A66" w:rsidRPr="0070569B">
        <w:rPr>
          <w:rFonts w:ascii="Arial" w:hAnsi="Arial" w:cs="Arial"/>
          <w:color w:val="222222"/>
          <w:lang w:eastAsia="es-ES_tradnl"/>
        </w:rPr>
        <w:t>).</w:t>
      </w:r>
      <w:r w:rsidR="00F50C31" w:rsidRPr="0070569B">
        <w:rPr>
          <w:rFonts w:ascii="Arial" w:hAnsi="Arial" w:cs="Arial"/>
          <w:color w:val="222222"/>
          <w:lang w:eastAsia="es-ES_tradnl"/>
        </w:rPr>
        <w:t xml:space="preserve"> </w:t>
      </w:r>
      <w:r w:rsidR="00F50C31" w:rsidRPr="00372504">
        <w:rPr>
          <w:rFonts w:ascii="Arial" w:hAnsi="Arial" w:cs="Arial"/>
          <w:color w:val="222222"/>
          <w:sz w:val="22"/>
          <w:szCs w:val="22"/>
          <w:lang w:eastAsia="es-ES_tradnl"/>
        </w:rPr>
        <w:t xml:space="preserve">Con todo, </w:t>
      </w:r>
      <w:r w:rsidR="00713796" w:rsidRPr="00372504">
        <w:rPr>
          <w:rFonts w:ascii="Arial" w:hAnsi="Arial" w:cs="Arial"/>
          <w:color w:val="222222"/>
          <w:sz w:val="22"/>
          <w:szCs w:val="22"/>
          <w:lang w:eastAsia="es-ES_tradnl"/>
        </w:rPr>
        <w:t xml:space="preserve">se observa </w:t>
      </w:r>
      <w:r w:rsidR="00F50C31" w:rsidRPr="00372504">
        <w:rPr>
          <w:rFonts w:ascii="Arial" w:hAnsi="Arial" w:cs="Arial"/>
          <w:color w:val="222222"/>
          <w:sz w:val="22"/>
          <w:szCs w:val="22"/>
          <w:lang w:eastAsia="es-ES_tradnl"/>
        </w:rPr>
        <w:t xml:space="preserve">una creciente dispersión de </w:t>
      </w:r>
      <w:r w:rsidR="00713796" w:rsidRPr="00372504">
        <w:rPr>
          <w:rFonts w:ascii="Arial" w:hAnsi="Arial" w:cs="Arial"/>
          <w:color w:val="222222"/>
          <w:sz w:val="22"/>
          <w:szCs w:val="22"/>
          <w:lang w:eastAsia="es-ES_tradnl"/>
        </w:rPr>
        <w:t xml:space="preserve">remuneraciones de los graduados; por ejemplo, en el caso de derecho, durante el primer año después de la graduación, el 10% superior tiene una remuneración alrededor de 10 veces </w:t>
      </w:r>
      <w:r w:rsidR="00A67AF5">
        <w:rPr>
          <w:rFonts w:ascii="Arial" w:hAnsi="Arial" w:cs="Arial"/>
          <w:color w:val="222222"/>
          <w:sz w:val="22"/>
          <w:szCs w:val="22"/>
          <w:lang w:eastAsia="es-ES_tradnl"/>
        </w:rPr>
        <w:t>mayor</w:t>
      </w:r>
      <w:r w:rsidR="00713796" w:rsidRPr="00372504">
        <w:rPr>
          <w:rFonts w:ascii="Arial" w:hAnsi="Arial" w:cs="Arial"/>
          <w:color w:val="222222"/>
          <w:sz w:val="22"/>
          <w:szCs w:val="22"/>
          <w:lang w:eastAsia="es-ES_tradnl"/>
        </w:rPr>
        <w:t xml:space="preserve"> al 10% inferior </w:t>
      </w:r>
      <w:r w:rsidR="00713796" w:rsidRPr="00372504">
        <w:rPr>
          <w:rFonts w:ascii="Arial" w:hAnsi="Arial" w:cs="Arial"/>
          <w:color w:val="222222"/>
          <w:sz w:val="22"/>
          <w:szCs w:val="22"/>
          <w:lang w:eastAsia="es-ES_tradnl"/>
        </w:rPr>
        <w:lastRenderedPageBreak/>
        <w:t>(3,4</w:t>
      </w:r>
      <w:r w:rsidR="00035737" w:rsidRPr="00372504">
        <w:rPr>
          <w:rFonts w:ascii="Arial" w:hAnsi="Arial" w:cs="Arial"/>
          <w:color w:val="222222"/>
          <w:sz w:val="22"/>
          <w:szCs w:val="22"/>
          <w:lang w:eastAsia="es-ES_tradnl"/>
        </w:rPr>
        <w:t xml:space="preserve"> millones versus 344 mil pesos) (Mi Futuro, 2017). Asimismo, un reciente estudio del Banco Mundial estima que un 7% de los estudiantes que comenzaron sus estudios de ET en 2012 se matriculó en programas que tendrían tasas negativas de retorno</w:t>
      </w:r>
      <w:r w:rsidR="0070569B" w:rsidRPr="00372504">
        <w:rPr>
          <w:rFonts w:ascii="Arial" w:hAnsi="Arial" w:cs="Arial"/>
          <w:color w:val="222222"/>
          <w:sz w:val="22"/>
          <w:szCs w:val="22"/>
          <w:lang w:eastAsia="es-ES_tradnl"/>
        </w:rPr>
        <w:t xml:space="preserve"> (</w:t>
      </w:r>
      <w:proofErr w:type="spellStart"/>
      <w:r w:rsidR="0070569B" w:rsidRPr="00372504">
        <w:rPr>
          <w:rFonts w:ascii="Arial" w:hAnsi="Arial" w:cs="Arial"/>
          <w:color w:val="222222"/>
          <w:sz w:val="22"/>
          <w:szCs w:val="22"/>
          <w:lang w:eastAsia="es-ES_tradnl"/>
        </w:rPr>
        <w:t>The</w:t>
      </w:r>
      <w:proofErr w:type="spellEnd"/>
      <w:r w:rsidR="0070569B" w:rsidRPr="00372504">
        <w:rPr>
          <w:rFonts w:ascii="Arial" w:hAnsi="Arial" w:cs="Arial"/>
          <w:color w:val="222222"/>
          <w:sz w:val="22"/>
          <w:szCs w:val="22"/>
          <w:lang w:eastAsia="es-ES_tradnl"/>
        </w:rPr>
        <w:t xml:space="preserve"> </w:t>
      </w:r>
      <w:proofErr w:type="spellStart"/>
      <w:r w:rsidR="0070569B" w:rsidRPr="00372504">
        <w:rPr>
          <w:rFonts w:ascii="Arial" w:hAnsi="Arial" w:cs="Arial"/>
          <w:color w:val="222222"/>
          <w:sz w:val="22"/>
          <w:szCs w:val="22"/>
          <w:lang w:eastAsia="es-ES_tradnl"/>
        </w:rPr>
        <w:t>World</w:t>
      </w:r>
      <w:proofErr w:type="spellEnd"/>
      <w:r w:rsidR="0070569B" w:rsidRPr="00372504">
        <w:rPr>
          <w:rFonts w:ascii="Arial" w:hAnsi="Arial" w:cs="Arial"/>
          <w:color w:val="222222"/>
          <w:sz w:val="22"/>
          <w:szCs w:val="22"/>
          <w:lang w:eastAsia="es-ES_tradnl"/>
        </w:rPr>
        <w:t xml:space="preserve"> Bank, </w:t>
      </w:r>
      <w:r w:rsidR="0070569B" w:rsidRPr="00A67AF5">
        <w:rPr>
          <w:rFonts w:ascii="Arial" w:eastAsia="Times New Roman" w:hAnsi="Arial" w:cs="Arial"/>
          <w:i/>
          <w:color w:val="333333"/>
          <w:sz w:val="22"/>
          <w:szCs w:val="22"/>
        </w:rPr>
        <w:t xml:space="preserve">At a </w:t>
      </w:r>
      <w:proofErr w:type="spellStart"/>
      <w:r w:rsidR="0070569B" w:rsidRPr="00A67AF5">
        <w:rPr>
          <w:rFonts w:ascii="Arial" w:eastAsia="Times New Roman" w:hAnsi="Arial" w:cs="Arial"/>
          <w:i/>
          <w:color w:val="333333"/>
          <w:sz w:val="22"/>
          <w:szCs w:val="22"/>
        </w:rPr>
        <w:t>Crossroads</w:t>
      </w:r>
      <w:proofErr w:type="spellEnd"/>
      <w:r w:rsidR="0070569B" w:rsidRPr="00A67AF5">
        <w:rPr>
          <w:rFonts w:ascii="Arial" w:eastAsia="Times New Roman" w:hAnsi="Arial" w:cs="Arial"/>
          <w:i/>
          <w:color w:val="333333"/>
          <w:sz w:val="22"/>
          <w:szCs w:val="22"/>
        </w:rPr>
        <w:t xml:space="preserve">: </w:t>
      </w:r>
      <w:proofErr w:type="spellStart"/>
      <w:r w:rsidR="0070569B" w:rsidRPr="00A67AF5">
        <w:rPr>
          <w:rFonts w:ascii="Arial" w:eastAsia="Times New Roman" w:hAnsi="Arial" w:cs="Arial"/>
          <w:i/>
          <w:color w:val="333333"/>
          <w:sz w:val="22"/>
          <w:szCs w:val="22"/>
        </w:rPr>
        <w:t>Higher</w:t>
      </w:r>
      <w:proofErr w:type="spellEnd"/>
      <w:r w:rsidR="0070569B" w:rsidRPr="00A67AF5">
        <w:rPr>
          <w:rFonts w:ascii="Arial" w:eastAsia="Times New Roman" w:hAnsi="Arial" w:cs="Arial"/>
          <w:i/>
          <w:color w:val="333333"/>
          <w:sz w:val="22"/>
          <w:szCs w:val="22"/>
        </w:rPr>
        <w:t xml:space="preserve"> </w:t>
      </w:r>
      <w:proofErr w:type="spellStart"/>
      <w:r w:rsidR="0070569B" w:rsidRPr="00A67AF5">
        <w:rPr>
          <w:rFonts w:ascii="Arial" w:eastAsia="Times New Roman" w:hAnsi="Arial" w:cs="Arial"/>
          <w:i/>
          <w:color w:val="333333"/>
          <w:sz w:val="22"/>
          <w:szCs w:val="22"/>
        </w:rPr>
        <w:t>Education</w:t>
      </w:r>
      <w:proofErr w:type="spellEnd"/>
      <w:r w:rsidR="0070569B" w:rsidRPr="00A67AF5">
        <w:rPr>
          <w:rFonts w:ascii="Arial" w:eastAsia="Times New Roman" w:hAnsi="Arial" w:cs="Arial"/>
          <w:i/>
          <w:color w:val="333333"/>
          <w:sz w:val="22"/>
          <w:szCs w:val="22"/>
        </w:rPr>
        <w:t xml:space="preserve"> in </w:t>
      </w:r>
      <w:proofErr w:type="spellStart"/>
      <w:r w:rsidR="0070569B" w:rsidRPr="00A67AF5">
        <w:rPr>
          <w:rFonts w:ascii="Arial" w:eastAsia="Times New Roman" w:hAnsi="Arial" w:cs="Arial"/>
          <w:i/>
          <w:color w:val="333333"/>
          <w:sz w:val="22"/>
          <w:szCs w:val="22"/>
        </w:rPr>
        <w:t>Latin</w:t>
      </w:r>
      <w:proofErr w:type="spellEnd"/>
      <w:r w:rsidR="0070569B" w:rsidRPr="00A67AF5">
        <w:rPr>
          <w:rFonts w:ascii="Arial" w:eastAsia="Times New Roman" w:hAnsi="Arial" w:cs="Arial"/>
          <w:i/>
          <w:color w:val="333333"/>
          <w:sz w:val="22"/>
          <w:szCs w:val="22"/>
        </w:rPr>
        <w:t xml:space="preserve"> </w:t>
      </w:r>
      <w:proofErr w:type="spellStart"/>
      <w:r w:rsidR="0070569B" w:rsidRPr="00A67AF5">
        <w:rPr>
          <w:rFonts w:ascii="Arial" w:eastAsia="Times New Roman" w:hAnsi="Arial" w:cs="Arial"/>
          <w:i/>
          <w:color w:val="333333"/>
          <w:sz w:val="22"/>
          <w:szCs w:val="22"/>
        </w:rPr>
        <w:t>America</w:t>
      </w:r>
      <w:proofErr w:type="spellEnd"/>
      <w:r w:rsidR="0070569B" w:rsidRPr="00A67AF5">
        <w:rPr>
          <w:rFonts w:ascii="Arial" w:eastAsia="Times New Roman" w:hAnsi="Arial" w:cs="Arial"/>
          <w:i/>
          <w:color w:val="333333"/>
          <w:sz w:val="22"/>
          <w:szCs w:val="22"/>
        </w:rPr>
        <w:t xml:space="preserve"> and </w:t>
      </w:r>
      <w:proofErr w:type="spellStart"/>
      <w:r w:rsidR="0070569B" w:rsidRPr="00A67AF5">
        <w:rPr>
          <w:rFonts w:ascii="Arial" w:eastAsia="Times New Roman" w:hAnsi="Arial" w:cs="Arial"/>
          <w:i/>
          <w:color w:val="333333"/>
          <w:sz w:val="22"/>
          <w:szCs w:val="22"/>
        </w:rPr>
        <w:t>the</w:t>
      </w:r>
      <w:proofErr w:type="spellEnd"/>
      <w:r w:rsidR="0070569B" w:rsidRPr="00A67AF5">
        <w:rPr>
          <w:rFonts w:ascii="Arial" w:eastAsia="Times New Roman" w:hAnsi="Arial" w:cs="Arial"/>
          <w:i/>
          <w:color w:val="333333"/>
          <w:sz w:val="22"/>
          <w:szCs w:val="22"/>
        </w:rPr>
        <w:t xml:space="preserve"> </w:t>
      </w:r>
      <w:proofErr w:type="spellStart"/>
      <w:r w:rsidR="0070569B" w:rsidRPr="00A67AF5">
        <w:rPr>
          <w:rFonts w:ascii="Arial" w:eastAsia="Times New Roman" w:hAnsi="Arial" w:cs="Arial"/>
          <w:i/>
          <w:color w:val="333333"/>
          <w:sz w:val="22"/>
          <w:szCs w:val="22"/>
        </w:rPr>
        <w:t>Caribbean</w:t>
      </w:r>
      <w:proofErr w:type="spellEnd"/>
      <w:r w:rsidR="0070569B" w:rsidRPr="00372504">
        <w:rPr>
          <w:rFonts w:ascii="Arial" w:eastAsia="Times New Roman" w:hAnsi="Arial" w:cs="Arial"/>
          <w:color w:val="333333"/>
          <w:sz w:val="22"/>
          <w:szCs w:val="22"/>
        </w:rPr>
        <w:t xml:space="preserve">, 2017, cap. 3 de </w:t>
      </w:r>
      <w:proofErr w:type="spellStart"/>
      <w:r w:rsidR="0070569B" w:rsidRPr="00372504">
        <w:rPr>
          <w:rFonts w:ascii="Arial" w:eastAsia="Times New Roman" w:hAnsi="Arial" w:cs="Arial"/>
          <w:color w:val="333333"/>
          <w:sz w:val="22"/>
          <w:szCs w:val="22"/>
        </w:rPr>
        <w:t>Sergion</w:t>
      </w:r>
      <w:proofErr w:type="spellEnd"/>
      <w:r w:rsidR="0070569B" w:rsidRPr="00372504">
        <w:rPr>
          <w:rFonts w:ascii="Arial" w:eastAsia="Times New Roman" w:hAnsi="Arial" w:cs="Arial"/>
          <w:color w:val="333333"/>
          <w:sz w:val="22"/>
          <w:szCs w:val="22"/>
        </w:rPr>
        <w:t xml:space="preserve"> Urzúa). </w:t>
      </w:r>
    </w:p>
    <w:p w14:paraId="36C99EAF" w14:textId="7EBA0993" w:rsidR="009B6D35" w:rsidRPr="00372504" w:rsidRDefault="00F53D50" w:rsidP="009B6D35">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372504">
        <w:rPr>
          <w:rFonts w:ascii="Arial" w:eastAsia="Times New Roman" w:hAnsi="Arial" w:cs="Arial"/>
          <w:color w:val="222222"/>
          <w:sz w:val="22"/>
          <w:szCs w:val="22"/>
          <w:u w:val="single"/>
          <w:lang w:eastAsia="es-ES_tradnl"/>
        </w:rPr>
        <w:t>Calidad</w:t>
      </w:r>
      <w:r w:rsidRPr="00372504">
        <w:rPr>
          <w:rFonts w:ascii="Arial" w:eastAsia="Times New Roman" w:hAnsi="Arial" w:cs="Arial"/>
          <w:color w:val="222222"/>
          <w:sz w:val="22"/>
          <w:szCs w:val="22"/>
          <w:lang w:eastAsia="es-ES_tradnl"/>
        </w:rPr>
        <w:t xml:space="preserve">. (A) </w:t>
      </w:r>
      <w:r w:rsidRPr="00372504">
        <w:rPr>
          <w:rFonts w:ascii="Arial" w:eastAsia="Times New Roman" w:hAnsi="Arial" w:cs="Arial"/>
          <w:color w:val="222222"/>
          <w:sz w:val="22"/>
          <w:szCs w:val="22"/>
          <w:u w:val="single"/>
          <w:lang w:eastAsia="es-ES_tradnl"/>
        </w:rPr>
        <w:t>Según el porcentaje de estudiantes en universidades acreditadas</w:t>
      </w:r>
      <w:r w:rsidRPr="00372504">
        <w:rPr>
          <w:rFonts w:ascii="Arial" w:eastAsia="Times New Roman" w:hAnsi="Arial" w:cs="Arial"/>
          <w:color w:val="222222"/>
          <w:sz w:val="22"/>
          <w:szCs w:val="22"/>
          <w:lang w:eastAsia="es-ES_tradnl"/>
        </w:rPr>
        <w:t xml:space="preserve">, durante los últimos años menos de un </w:t>
      </w:r>
      <w:r w:rsidR="00A67AF5">
        <w:rPr>
          <w:rFonts w:ascii="Arial" w:eastAsia="Times New Roman" w:hAnsi="Arial" w:cs="Arial"/>
          <w:color w:val="222222"/>
          <w:sz w:val="22"/>
          <w:szCs w:val="22"/>
          <w:lang w:eastAsia="es-ES_tradnl"/>
        </w:rPr>
        <w:t>10% de los estudiantes se halla matriculado</w:t>
      </w:r>
      <w:r w:rsidRPr="00372504">
        <w:rPr>
          <w:rFonts w:ascii="Arial" w:eastAsia="Times New Roman" w:hAnsi="Arial" w:cs="Arial"/>
          <w:color w:val="222222"/>
          <w:sz w:val="22"/>
          <w:szCs w:val="22"/>
          <w:lang w:eastAsia="es-ES_tradnl"/>
        </w:rPr>
        <w:t xml:space="preserve"> en universidades no-acreditadas. Un 31% de la </w:t>
      </w:r>
      <w:r w:rsidR="009B6D35" w:rsidRPr="00372504">
        <w:rPr>
          <w:rFonts w:ascii="Arial" w:eastAsia="Times New Roman" w:hAnsi="Arial" w:cs="Arial"/>
          <w:color w:val="222222"/>
          <w:sz w:val="22"/>
          <w:szCs w:val="22"/>
          <w:lang w:eastAsia="es-ES_tradnl"/>
        </w:rPr>
        <w:t>matrícula</w:t>
      </w:r>
      <w:r w:rsidRPr="00372504">
        <w:rPr>
          <w:rFonts w:ascii="Arial" w:eastAsia="Times New Roman" w:hAnsi="Arial" w:cs="Arial"/>
          <w:color w:val="222222"/>
          <w:sz w:val="22"/>
          <w:szCs w:val="22"/>
          <w:lang w:eastAsia="es-ES_tradnl"/>
        </w:rPr>
        <w:t xml:space="preserve"> total de las universidades se encuentra en instituciones con 5 </w:t>
      </w:r>
      <w:r w:rsidR="009B6D35" w:rsidRPr="00372504">
        <w:rPr>
          <w:rFonts w:ascii="Arial" w:eastAsia="Times New Roman" w:hAnsi="Arial" w:cs="Arial"/>
          <w:color w:val="222222"/>
          <w:sz w:val="22"/>
          <w:szCs w:val="22"/>
          <w:lang w:eastAsia="es-ES_tradnl"/>
        </w:rPr>
        <w:t>áreas</w:t>
      </w:r>
      <w:r w:rsidRPr="00372504">
        <w:rPr>
          <w:rFonts w:ascii="Arial" w:eastAsia="Times New Roman" w:hAnsi="Arial" w:cs="Arial"/>
          <w:color w:val="222222"/>
          <w:sz w:val="22"/>
          <w:szCs w:val="22"/>
          <w:lang w:eastAsia="es-ES_tradnl"/>
        </w:rPr>
        <w:t xml:space="preserve"> acreditadas, mientras que un 14% de los estudiantes de pregrado </w:t>
      </w:r>
      <w:r w:rsidR="00A67AF5">
        <w:rPr>
          <w:rFonts w:ascii="Arial" w:eastAsia="Times New Roman" w:hAnsi="Arial" w:cs="Arial"/>
          <w:color w:val="222222"/>
          <w:sz w:val="22"/>
          <w:szCs w:val="22"/>
          <w:lang w:eastAsia="es-ES_tradnl"/>
        </w:rPr>
        <w:t>está matriculado</w:t>
      </w:r>
      <w:r w:rsidRPr="00372504">
        <w:rPr>
          <w:rFonts w:ascii="Arial" w:eastAsia="Times New Roman" w:hAnsi="Arial" w:cs="Arial"/>
          <w:color w:val="222222"/>
          <w:sz w:val="22"/>
          <w:szCs w:val="22"/>
          <w:lang w:eastAsia="es-ES_tradnl"/>
        </w:rPr>
        <w:t xml:space="preserve"> en universidades con </w:t>
      </w:r>
      <w:r w:rsidR="009B6D35" w:rsidRPr="00372504">
        <w:rPr>
          <w:rFonts w:ascii="Arial" w:eastAsia="Times New Roman" w:hAnsi="Arial" w:cs="Arial"/>
          <w:color w:val="222222"/>
          <w:sz w:val="22"/>
          <w:szCs w:val="22"/>
          <w:lang w:eastAsia="es-ES_tradnl"/>
        </w:rPr>
        <w:t>acreditación</w:t>
      </w:r>
      <w:r w:rsidRPr="00372504">
        <w:rPr>
          <w:rFonts w:ascii="Arial" w:eastAsia="Times New Roman" w:hAnsi="Arial" w:cs="Arial"/>
          <w:color w:val="222222"/>
          <w:sz w:val="22"/>
          <w:szCs w:val="22"/>
          <w:lang w:eastAsia="es-ES_tradnl"/>
        </w:rPr>
        <w:t xml:space="preserve"> </w:t>
      </w:r>
      <w:r w:rsidR="009B6D35" w:rsidRPr="00372504">
        <w:rPr>
          <w:rFonts w:ascii="Arial" w:eastAsia="Times New Roman" w:hAnsi="Arial" w:cs="Arial"/>
          <w:color w:val="222222"/>
          <w:sz w:val="22"/>
          <w:szCs w:val="22"/>
          <w:lang w:eastAsia="es-ES_tradnl"/>
        </w:rPr>
        <w:t>solo</w:t>
      </w:r>
      <w:r w:rsidRPr="00372504">
        <w:rPr>
          <w:rFonts w:ascii="Arial" w:eastAsia="Times New Roman" w:hAnsi="Arial" w:cs="Arial"/>
          <w:color w:val="222222"/>
          <w:sz w:val="22"/>
          <w:szCs w:val="22"/>
          <w:lang w:eastAsia="es-ES_tradnl"/>
        </w:rPr>
        <w:t xml:space="preserve"> en las dos </w:t>
      </w:r>
      <w:r w:rsidR="009B6D35" w:rsidRPr="00372504">
        <w:rPr>
          <w:rFonts w:ascii="Arial" w:eastAsia="Times New Roman" w:hAnsi="Arial" w:cs="Arial"/>
          <w:color w:val="222222"/>
          <w:sz w:val="22"/>
          <w:szCs w:val="22"/>
          <w:lang w:eastAsia="es-ES_tradnl"/>
        </w:rPr>
        <w:t>áreas</w:t>
      </w:r>
      <w:r w:rsidRPr="00372504">
        <w:rPr>
          <w:rFonts w:ascii="Arial" w:eastAsia="Times New Roman" w:hAnsi="Arial" w:cs="Arial"/>
          <w:color w:val="222222"/>
          <w:sz w:val="22"/>
          <w:szCs w:val="22"/>
          <w:lang w:eastAsia="es-ES_tradnl"/>
        </w:rPr>
        <w:t xml:space="preserve"> obligatorias. Considerando la </w:t>
      </w:r>
      <w:r w:rsidR="009B6D35" w:rsidRPr="00372504">
        <w:rPr>
          <w:rFonts w:ascii="Arial" w:eastAsia="Times New Roman" w:hAnsi="Arial" w:cs="Arial"/>
          <w:color w:val="222222"/>
          <w:sz w:val="22"/>
          <w:szCs w:val="22"/>
          <w:lang w:eastAsia="es-ES_tradnl"/>
        </w:rPr>
        <w:t>matrícula</w:t>
      </w:r>
      <w:r w:rsidRPr="00372504">
        <w:rPr>
          <w:rFonts w:ascii="Arial" w:eastAsia="Times New Roman" w:hAnsi="Arial" w:cs="Arial"/>
          <w:color w:val="222222"/>
          <w:sz w:val="22"/>
          <w:szCs w:val="22"/>
          <w:lang w:eastAsia="es-ES_tradnl"/>
        </w:rPr>
        <w:t xml:space="preserve"> de los IP y CFT, un 87,3% de la </w:t>
      </w:r>
      <w:r w:rsidR="009B6D35" w:rsidRPr="00372504">
        <w:rPr>
          <w:rFonts w:ascii="Arial" w:eastAsia="Times New Roman" w:hAnsi="Arial" w:cs="Arial"/>
          <w:color w:val="222222"/>
          <w:sz w:val="22"/>
          <w:szCs w:val="22"/>
          <w:lang w:eastAsia="es-ES_tradnl"/>
        </w:rPr>
        <w:t>matrícula</w:t>
      </w:r>
      <w:r w:rsidRPr="00372504">
        <w:rPr>
          <w:rFonts w:ascii="Arial" w:eastAsia="Times New Roman" w:hAnsi="Arial" w:cs="Arial"/>
          <w:color w:val="222222"/>
          <w:sz w:val="22"/>
          <w:szCs w:val="22"/>
          <w:lang w:eastAsia="es-ES_tradnl"/>
        </w:rPr>
        <w:t xml:space="preserve"> del sector </w:t>
      </w:r>
      <w:r w:rsidR="009B6D35" w:rsidRPr="00372504">
        <w:rPr>
          <w:rFonts w:ascii="Arial" w:eastAsia="Times New Roman" w:hAnsi="Arial" w:cs="Arial"/>
          <w:color w:val="222222"/>
          <w:sz w:val="22"/>
          <w:szCs w:val="22"/>
          <w:lang w:eastAsia="es-ES_tradnl"/>
        </w:rPr>
        <w:t>técnico</w:t>
      </w:r>
      <w:r w:rsidRPr="00372504">
        <w:rPr>
          <w:rFonts w:ascii="Arial" w:eastAsia="Times New Roman" w:hAnsi="Arial" w:cs="Arial"/>
          <w:color w:val="222222"/>
          <w:sz w:val="22"/>
          <w:szCs w:val="22"/>
          <w:lang w:eastAsia="es-ES_tradnl"/>
        </w:rPr>
        <w:t xml:space="preserve"> profesional corresponde a instituciones con 2 o más </w:t>
      </w:r>
      <w:r w:rsidR="009B6D35" w:rsidRPr="00372504">
        <w:rPr>
          <w:rFonts w:ascii="Arial" w:eastAsia="Times New Roman" w:hAnsi="Arial" w:cs="Arial"/>
          <w:color w:val="222222"/>
          <w:sz w:val="22"/>
          <w:szCs w:val="22"/>
          <w:lang w:eastAsia="es-ES_tradnl"/>
        </w:rPr>
        <w:t>áreas</w:t>
      </w:r>
      <w:r w:rsidRPr="00372504">
        <w:rPr>
          <w:rFonts w:ascii="Arial" w:eastAsia="Times New Roman" w:hAnsi="Arial" w:cs="Arial"/>
          <w:color w:val="222222"/>
          <w:sz w:val="22"/>
          <w:szCs w:val="22"/>
          <w:lang w:eastAsia="es-ES_tradnl"/>
        </w:rPr>
        <w:t xml:space="preserve"> de </w:t>
      </w:r>
      <w:r w:rsidR="009B6D35" w:rsidRPr="00372504">
        <w:rPr>
          <w:rFonts w:ascii="Arial" w:eastAsia="Times New Roman" w:hAnsi="Arial" w:cs="Arial"/>
          <w:color w:val="222222"/>
          <w:sz w:val="22"/>
          <w:szCs w:val="22"/>
          <w:lang w:eastAsia="es-ES_tradnl"/>
        </w:rPr>
        <w:t>acreditación</w:t>
      </w:r>
      <w:r w:rsidRPr="00372504">
        <w:rPr>
          <w:rFonts w:ascii="Arial" w:eastAsia="Times New Roman" w:hAnsi="Arial" w:cs="Arial"/>
          <w:color w:val="222222"/>
          <w:sz w:val="22"/>
          <w:szCs w:val="22"/>
          <w:lang w:eastAsia="es-ES_tradnl"/>
        </w:rPr>
        <w:t xml:space="preserve"> y un 13% a instituciones sin </w:t>
      </w:r>
      <w:r w:rsidR="009B6D35" w:rsidRPr="00372504">
        <w:rPr>
          <w:rFonts w:ascii="Arial" w:eastAsia="Times New Roman" w:hAnsi="Arial" w:cs="Arial"/>
          <w:color w:val="222222"/>
          <w:sz w:val="22"/>
          <w:szCs w:val="22"/>
          <w:lang w:eastAsia="es-ES_tradnl"/>
        </w:rPr>
        <w:t>acreditación</w:t>
      </w:r>
      <w:r w:rsidRPr="00372504">
        <w:rPr>
          <w:rFonts w:ascii="Arial" w:eastAsia="Times New Roman" w:hAnsi="Arial" w:cs="Arial"/>
          <w:color w:val="222222"/>
          <w:sz w:val="22"/>
          <w:szCs w:val="22"/>
          <w:lang w:eastAsia="es-ES_tradnl"/>
        </w:rPr>
        <w:t>. </w:t>
      </w:r>
      <w:r w:rsidRPr="00372504">
        <w:rPr>
          <w:rFonts w:ascii="Arial" w:hAnsi="Arial" w:cs="Arial"/>
          <w:color w:val="222222"/>
          <w:sz w:val="22"/>
          <w:szCs w:val="22"/>
          <w:lang w:eastAsia="es-ES_tradnl"/>
        </w:rPr>
        <w:t xml:space="preserve">(B) </w:t>
      </w:r>
      <w:r w:rsidRPr="00372504">
        <w:rPr>
          <w:rFonts w:ascii="Arial" w:hAnsi="Arial" w:cs="Arial"/>
          <w:color w:val="222222"/>
          <w:sz w:val="22"/>
          <w:szCs w:val="22"/>
          <w:u w:val="single"/>
          <w:lang w:eastAsia="es-ES_tradnl"/>
        </w:rPr>
        <w:t xml:space="preserve">Según el número universidades de excelencia registradas entre </w:t>
      </w:r>
      <w:r w:rsidR="005530C8" w:rsidRPr="00372504">
        <w:rPr>
          <w:rFonts w:ascii="Arial" w:hAnsi="Arial" w:cs="Arial"/>
          <w:color w:val="222222"/>
          <w:sz w:val="22"/>
          <w:szCs w:val="22"/>
          <w:u w:val="single"/>
          <w:lang w:eastAsia="es-ES_tradnl"/>
        </w:rPr>
        <w:t>la</w:t>
      </w:r>
      <w:r w:rsidR="009B6D35" w:rsidRPr="00372504">
        <w:rPr>
          <w:rFonts w:ascii="Arial" w:hAnsi="Arial" w:cs="Arial"/>
          <w:color w:val="222222"/>
          <w:sz w:val="22"/>
          <w:szCs w:val="22"/>
          <w:u w:val="single"/>
          <w:lang w:eastAsia="es-ES_tradnl"/>
        </w:rPr>
        <w:t xml:space="preserve">s mil </w:t>
      </w:r>
      <w:r w:rsidR="009F132B" w:rsidRPr="00372504">
        <w:rPr>
          <w:rFonts w:ascii="Arial" w:hAnsi="Arial" w:cs="Arial"/>
          <w:color w:val="222222"/>
          <w:sz w:val="22"/>
          <w:szCs w:val="22"/>
          <w:u w:val="single"/>
          <w:lang w:eastAsia="es-ES_tradnl"/>
        </w:rPr>
        <w:t xml:space="preserve">universidades </w:t>
      </w:r>
      <w:r w:rsidR="009B6D35" w:rsidRPr="00372504">
        <w:rPr>
          <w:rFonts w:ascii="Arial" w:hAnsi="Arial" w:cs="Arial"/>
          <w:color w:val="222222"/>
          <w:sz w:val="22"/>
          <w:szCs w:val="22"/>
          <w:u w:val="single"/>
          <w:lang w:eastAsia="es-ES_tradnl"/>
        </w:rPr>
        <w:t>top</w:t>
      </w:r>
      <w:r w:rsidRPr="00372504">
        <w:rPr>
          <w:rFonts w:ascii="Arial" w:hAnsi="Arial" w:cs="Arial"/>
          <w:color w:val="222222"/>
          <w:sz w:val="22"/>
          <w:szCs w:val="22"/>
          <w:lang w:eastAsia="es-ES_tradnl"/>
        </w:rPr>
        <w:t xml:space="preserve"> del ranking global del THE, donde Chile aparece con 13 universidades, 1 por cada 1,4 millón de habitantes, seguido de Costa </w:t>
      </w:r>
      <w:r w:rsidR="009B6D35" w:rsidRPr="00372504">
        <w:rPr>
          <w:rFonts w:ascii="Arial" w:hAnsi="Arial" w:cs="Arial"/>
          <w:color w:val="222222"/>
          <w:sz w:val="22"/>
          <w:szCs w:val="22"/>
          <w:lang w:eastAsia="es-ES_tradnl"/>
        </w:rPr>
        <w:t>Rica con</w:t>
      </w:r>
      <w:r w:rsidRPr="00372504">
        <w:rPr>
          <w:rFonts w:ascii="Arial" w:hAnsi="Arial" w:cs="Arial"/>
          <w:color w:val="222222"/>
          <w:sz w:val="22"/>
          <w:szCs w:val="22"/>
          <w:lang w:eastAsia="es-ES_tradnl"/>
        </w:rPr>
        <w:t xml:space="preserve"> 1 x cada 4,9 millones de habitantes, </w:t>
      </w:r>
      <w:r w:rsidR="008D4954" w:rsidRPr="00372504">
        <w:rPr>
          <w:rFonts w:ascii="Arial" w:hAnsi="Arial" w:cs="Arial"/>
          <w:color w:val="222222"/>
          <w:sz w:val="22"/>
          <w:szCs w:val="22"/>
          <w:lang w:eastAsia="es-ES_tradnl"/>
        </w:rPr>
        <w:t xml:space="preserve">Brasil, 1 x cada 9,2 millón y </w:t>
      </w:r>
      <w:r w:rsidRPr="00372504">
        <w:rPr>
          <w:rFonts w:ascii="Arial" w:hAnsi="Arial" w:cs="Arial"/>
          <w:color w:val="222222"/>
          <w:sz w:val="22"/>
          <w:szCs w:val="22"/>
          <w:lang w:eastAsia="es-ES_tradnl"/>
        </w:rPr>
        <w:t>Colombia 1 x 9</w:t>
      </w:r>
      <w:r w:rsidR="00E632C4" w:rsidRPr="00372504">
        <w:rPr>
          <w:rFonts w:ascii="Arial" w:hAnsi="Arial" w:cs="Arial"/>
          <w:color w:val="222222"/>
          <w:sz w:val="22"/>
          <w:szCs w:val="22"/>
          <w:lang w:eastAsia="es-ES_tradnl"/>
        </w:rPr>
        <w:t>,8</w:t>
      </w:r>
      <w:r w:rsidR="008D4954" w:rsidRPr="00372504">
        <w:rPr>
          <w:rFonts w:ascii="Arial" w:hAnsi="Arial" w:cs="Arial"/>
          <w:color w:val="222222"/>
          <w:sz w:val="22"/>
          <w:szCs w:val="22"/>
          <w:lang w:eastAsia="es-ES_tradnl"/>
        </w:rPr>
        <w:t xml:space="preserve"> millones</w:t>
      </w:r>
      <w:r w:rsidRPr="00372504">
        <w:rPr>
          <w:rFonts w:ascii="Arial" w:hAnsi="Arial" w:cs="Arial"/>
          <w:color w:val="222222"/>
          <w:sz w:val="22"/>
          <w:szCs w:val="22"/>
          <w:lang w:eastAsia="es-ES_tradnl"/>
        </w:rPr>
        <w:t>.</w:t>
      </w:r>
      <w:r w:rsidR="005530C8" w:rsidRPr="00372504">
        <w:rPr>
          <w:rStyle w:val="Refdenotaalpie"/>
          <w:rFonts w:ascii="Arial" w:hAnsi="Arial" w:cs="Arial"/>
          <w:color w:val="222222"/>
          <w:sz w:val="22"/>
          <w:szCs w:val="22"/>
          <w:lang w:eastAsia="es-ES_tradnl"/>
        </w:rPr>
        <w:footnoteReference w:id="2"/>
      </w:r>
      <w:r w:rsidRPr="00372504">
        <w:rPr>
          <w:rFonts w:ascii="Arial" w:hAnsi="Arial" w:cs="Arial"/>
          <w:color w:val="222222"/>
          <w:sz w:val="22"/>
          <w:szCs w:val="22"/>
          <w:lang w:eastAsia="es-ES_tradnl"/>
        </w:rPr>
        <w:t xml:space="preserve"> Después aparecen Venezuela, Perú, México y Argentina.  Nótese que las 1000 primeras universidades corresponden a menos del 4% del total mundial de universidades registradas por </w:t>
      </w:r>
      <w:proofErr w:type="spellStart"/>
      <w:r w:rsidRPr="00372504">
        <w:rPr>
          <w:rFonts w:ascii="Arial" w:hAnsi="Arial" w:cs="Arial"/>
          <w:color w:val="222222"/>
          <w:sz w:val="22"/>
          <w:szCs w:val="22"/>
          <w:lang w:eastAsia="es-ES_tradnl"/>
        </w:rPr>
        <w:t>Webometrics</w:t>
      </w:r>
      <w:proofErr w:type="spellEnd"/>
      <w:r w:rsidRPr="00372504">
        <w:rPr>
          <w:rFonts w:ascii="Arial" w:hAnsi="Arial" w:cs="Arial"/>
          <w:color w:val="222222"/>
          <w:sz w:val="22"/>
          <w:szCs w:val="22"/>
          <w:lang w:eastAsia="es-ES_tradnl"/>
        </w:rPr>
        <w:t xml:space="preserve"> (26.368 en 2017)</w:t>
      </w:r>
      <w:r w:rsidR="005530C8" w:rsidRPr="00372504">
        <w:rPr>
          <w:rStyle w:val="Refdenotaalpie"/>
          <w:rFonts w:ascii="Arial" w:hAnsi="Arial" w:cs="Arial"/>
          <w:color w:val="222222"/>
          <w:sz w:val="22"/>
          <w:szCs w:val="22"/>
          <w:lang w:eastAsia="es-ES_tradnl"/>
        </w:rPr>
        <w:footnoteReference w:id="3"/>
      </w:r>
      <w:r w:rsidRPr="00372504">
        <w:rPr>
          <w:rFonts w:ascii="Arial" w:hAnsi="Arial" w:cs="Arial"/>
          <w:color w:val="222222"/>
          <w:sz w:val="22"/>
          <w:szCs w:val="22"/>
          <w:lang w:eastAsia="es-ES_tradnl"/>
        </w:rPr>
        <w:t xml:space="preserve">. (C) </w:t>
      </w:r>
      <w:r w:rsidRPr="00372504">
        <w:rPr>
          <w:rFonts w:ascii="Arial" w:hAnsi="Arial" w:cs="Arial"/>
          <w:color w:val="222222"/>
          <w:sz w:val="22"/>
          <w:szCs w:val="22"/>
          <w:u w:val="single"/>
          <w:lang w:eastAsia="es-ES_tradnl"/>
        </w:rPr>
        <w:t>Según el desempeño de </w:t>
      </w:r>
      <w:proofErr w:type="spellStart"/>
      <w:r w:rsidRPr="00A67AF5">
        <w:rPr>
          <w:rFonts w:ascii="Arial" w:hAnsi="Arial" w:cs="Arial"/>
          <w:i/>
          <w:color w:val="222222"/>
          <w:sz w:val="22"/>
          <w:szCs w:val="22"/>
          <w:u w:val="single"/>
          <w:lang w:eastAsia="es-ES_tradnl"/>
        </w:rPr>
        <w:t>literacy</w:t>
      </w:r>
      <w:proofErr w:type="spellEnd"/>
      <w:r w:rsidR="009B6D35" w:rsidRPr="00372504">
        <w:rPr>
          <w:rStyle w:val="Refdenotaalpie"/>
          <w:rFonts w:ascii="Arial" w:hAnsi="Arial" w:cs="Arial"/>
          <w:color w:val="222222"/>
          <w:sz w:val="22"/>
          <w:szCs w:val="22"/>
          <w:u w:val="single"/>
          <w:lang w:eastAsia="es-ES_tradnl"/>
        </w:rPr>
        <w:footnoteReference w:id="4"/>
      </w:r>
      <w:r w:rsidRPr="00372504">
        <w:rPr>
          <w:rFonts w:ascii="Arial" w:hAnsi="Arial" w:cs="Arial"/>
          <w:color w:val="222222"/>
          <w:sz w:val="22"/>
          <w:szCs w:val="22"/>
          <w:u w:val="single"/>
          <w:lang w:eastAsia="es-ES_tradnl"/>
        </w:rPr>
        <w:t> de las personas con educación terciaria en el examen PIACC</w:t>
      </w:r>
      <w:r w:rsidRPr="00372504">
        <w:rPr>
          <w:rFonts w:ascii="Arial" w:hAnsi="Arial" w:cs="Arial"/>
          <w:color w:val="222222"/>
          <w:sz w:val="22"/>
          <w:szCs w:val="22"/>
          <w:lang w:eastAsia="es-ES_tradnl"/>
        </w:rPr>
        <w:t>, Chile muestra una baja calidad de resultados --240 puntos en promedio, que representa un nivel elemental de </w:t>
      </w:r>
      <w:proofErr w:type="spellStart"/>
      <w:r w:rsidRPr="00A67AF5">
        <w:rPr>
          <w:rFonts w:ascii="Arial" w:hAnsi="Arial" w:cs="Arial"/>
          <w:i/>
          <w:color w:val="222222"/>
          <w:sz w:val="22"/>
          <w:szCs w:val="22"/>
          <w:lang w:eastAsia="es-ES_tradnl"/>
        </w:rPr>
        <w:t>literacy</w:t>
      </w:r>
      <w:proofErr w:type="spellEnd"/>
      <w:r w:rsidRPr="00372504">
        <w:rPr>
          <w:rFonts w:ascii="Arial" w:hAnsi="Arial" w:cs="Arial"/>
          <w:color w:val="222222"/>
          <w:sz w:val="22"/>
          <w:szCs w:val="22"/>
          <w:lang w:eastAsia="es-ES_tradnl"/>
        </w:rPr>
        <w:t>-- frente a un promedio para los países de la OCDE de 275 puntos. La puntuación obtenida por las personas con ET en Chile es menor que el puntaje alcanzado por las personas con educación secundaria superior de la OCDE (260) y apenas supera por cinco puntos el puntaje promedio OCDE da las personas con educación inferior al nivel secundario superior (235 pu</w:t>
      </w:r>
      <w:r w:rsidR="00A67AF5">
        <w:rPr>
          <w:rFonts w:ascii="Arial" w:hAnsi="Arial" w:cs="Arial"/>
          <w:color w:val="222222"/>
          <w:sz w:val="22"/>
          <w:szCs w:val="22"/>
          <w:lang w:eastAsia="es-ES_tradnl"/>
        </w:rPr>
        <w:t>ntos). Una hipótesis plausible es s</w:t>
      </w:r>
      <w:r w:rsidRPr="00372504">
        <w:rPr>
          <w:rFonts w:ascii="Arial" w:hAnsi="Arial" w:cs="Arial"/>
          <w:color w:val="222222"/>
          <w:sz w:val="22"/>
          <w:szCs w:val="22"/>
          <w:lang w:eastAsia="es-ES_tradnl"/>
        </w:rPr>
        <w:t xml:space="preserve">uponer que la baja puntuación obtenida en Chile por las personas con ET, se debe a los bajísimos niveles alcanzado </w:t>
      </w:r>
      <w:proofErr w:type="spellStart"/>
      <w:r w:rsidRPr="00372504">
        <w:rPr>
          <w:rFonts w:ascii="Arial" w:hAnsi="Arial" w:cs="Arial"/>
          <w:color w:val="222222"/>
          <w:sz w:val="22"/>
          <w:szCs w:val="22"/>
          <w:lang w:eastAsia="es-ES_tradnl"/>
        </w:rPr>
        <w:t>pue</w:t>
      </w:r>
      <w:proofErr w:type="spellEnd"/>
      <w:r w:rsidRPr="00372504">
        <w:rPr>
          <w:rFonts w:ascii="Arial" w:hAnsi="Arial" w:cs="Arial"/>
          <w:color w:val="222222"/>
          <w:sz w:val="22"/>
          <w:szCs w:val="22"/>
          <w:lang w:eastAsia="es-ES_tradnl"/>
        </w:rPr>
        <w:t xml:space="preserve"> las personas con menos que educación secundaria superior (186 puntos) y con educación secundaria superior (219 puntos).</w:t>
      </w:r>
    </w:p>
    <w:p w14:paraId="425D070A" w14:textId="7648AEB2" w:rsidR="009B6D35" w:rsidRPr="00372504" w:rsidRDefault="009B6D35" w:rsidP="009B6D35">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372504">
        <w:rPr>
          <w:rFonts w:ascii="Arial" w:eastAsia="Times New Roman" w:hAnsi="Arial" w:cs="Arial"/>
          <w:color w:val="222222"/>
          <w:sz w:val="22"/>
          <w:szCs w:val="22"/>
          <w:u w:val="single"/>
          <w:lang w:eastAsia="es-ES_tradnl"/>
        </w:rPr>
        <w:t>F</w:t>
      </w:r>
      <w:r w:rsidR="00F53D50" w:rsidRPr="00372504">
        <w:rPr>
          <w:rFonts w:ascii="Arial" w:eastAsia="Times New Roman" w:hAnsi="Arial" w:cs="Arial"/>
          <w:color w:val="222222"/>
          <w:sz w:val="22"/>
          <w:szCs w:val="22"/>
          <w:u w:val="single"/>
          <w:lang w:eastAsia="es-ES_tradnl"/>
        </w:rPr>
        <w:t>inanciamiento</w:t>
      </w:r>
      <w:r w:rsidR="00F53D50" w:rsidRPr="00372504">
        <w:rPr>
          <w:rFonts w:ascii="Arial" w:eastAsia="Times New Roman" w:hAnsi="Arial" w:cs="Arial"/>
          <w:color w:val="222222"/>
          <w:sz w:val="22"/>
          <w:szCs w:val="22"/>
          <w:lang w:eastAsia="es-ES_tradnl"/>
        </w:rPr>
        <w:t xml:space="preserve">. El financiamiento de la ET (incluyendo I&amp;D) </w:t>
      </w:r>
      <w:r w:rsidR="00F53D50" w:rsidRPr="00372504">
        <w:rPr>
          <w:rFonts w:ascii="Arial" w:eastAsia="Times New Roman" w:hAnsi="Arial" w:cs="Arial"/>
          <w:color w:val="222222"/>
          <w:sz w:val="22"/>
          <w:szCs w:val="22"/>
          <w:u w:val="single"/>
          <w:lang w:eastAsia="es-ES_tradnl"/>
        </w:rPr>
        <w:t>como porcentaje del PIB</w:t>
      </w:r>
      <w:r w:rsidR="00F53D50" w:rsidRPr="00372504">
        <w:rPr>
          <w:rFonts w:ascii="Arial" w:eastAsia="Times New Roman" w:hAnsi="Arial" w:cs="Arial"/>
          <w:color w:val="222222"/>
          <w:sz w:val="22"/>
          <w:szCs w:val="22"/>
          <w:lang w:eastAsia="es-ES_tradnl"/>
        </w:rPr>
        <w:t>, un indicador del esfuerzo</w:t>
      </w:r>
      <w:r w:rsidR="00A67AF5">
        <w:rPr>
          <w:rFonts w:ascii="Arial" w:eastAsia="Times New Roman" w:hAnsi="Arial" w:cs="Arial"/>
          <w:color w:val="222222"/>
          <w:sz w:val="22"/>
          <w:szCs w:val="22"/>
          <w:lang w:eastAsia="es-ES_tradnl"/>
        </w:rPr>
        <w:t xml:space="preserve"> relativo</w:t>
      </w:r>
      <w:r w:rsidR="00F53D50" w:rsidRPr="00372504">
        <w:rPr>
          <w:rFonts w:ascii="Arial" w:eastAsia="Times New Roman" w:hAnsi="Arial" w:cs="Arial"/>
          <w:color w:val="222222"/>
          <w:sz w:val="22"/>
          <w:szCs w:val="22"/>
          <w:lang w:eastAsia="es-ES_tradnl"/>
        </w:rPr>
        <w:t xml:space="preserve"> de los países, es netamente superior en Chile al promedio de la OCDE, y en la suma total, uno de los mayores del mundo. Asimismo, se caracteriza por la fuerte presencia de la financiación privada. (A) </w:t>
      </w:r>
      <w:r w:rsidR="00F53D50" w:rsidRPr="00372504">
        <w:rPr>
          <w:rFonts w:ascii="Arial" w:eastAsia="Times New Roman" w:hAnsi="Arial" w:cs="Arial"/>
          <w:color w:val="222222"/>
          <w:sz w:val="22"/>
          <w:szCs w:val="22"/>
          <w:u w:val="single"/>
          <w:lang w:eastAsia="es-ES_tradnl"/>
        </w:rPr>
        <w:t>Por niveles de ET</w:t>
      </w:r>
      <w:r w:rsidR="00F53D50" w:rsidRPr="00372504">
        <w:rPr>
          <w:rFonts w:ascii="Arial" w:eastAsia="Times New Roman" w:hAnsi="Arial" w:cs="Arial"/>
          <w:color w:val="222222"/>
          <w:sz w:val="22"/>
          <w:szCs w:val="22"/>
          <w:lang w:eastAsia="es-ES_tradnl"/>
        </w:rPr>
        <w:t xml:space="preserve">, Nivel 5, Niveles 6 a 8, Total: Chile, 0.4%, 2.0%, 2.3%. OCDE: 0.2%, 1.4%, 1.6%. (B) </w:t>
      </w:r>
      <w:r w:rsidR="00F53D50" w:rsidRPr="00372504">
        <w:rPr>
          <w:rFonts w:ascii="Arial" w:eastAsia="Times New Roman" w:hAnsi="Arial" w:cs="Arial"/>
          <w:color w:val="222222"/>
          <w:sz w:val="22"/>
          <w:szCs w:val="22"/>
          <w:u w:val="single"/>
          <w:lang w:eastAsia="es-ES_tradnl"/>
        </w:rPr>
        <w:t>Por carácter estatal</w:t>
      </w:r>
      <w:r w:rsidR="00A67AF5">
        <w:rPr>
          <w:rFonts w:ascii="Arial" w:eastAsia="Times New Roman" w:hAnsi="Arial" w:cs="Arial"/>
          <w:color w:val="222222"/>
          <w:sz w:val="22"/>
          <w:szCs w:val="22"/>
          <w:u w:val="single"/>
          <w:lang w:eastAsia="es-ES_tradnl"/>
        </w:rPr>
        <w:t xml:space="preserve"> o</w:t>
      </w:r>
      <w:r w:rsidR="00F53D50" w:rsidRPr="00372504">
        <w:rPr>
          <w:rFonts w:ascii="Arial" w:eastAsia="Times New Roman" w:hAnsi="Arial" w:cs="Arial"/>
          <w:color w:val="222222"/>
          <w:sz w:val="22"/>
          <w:szCs w:val="22"/>
          <w:u w:val="single"/>
          <w:lang w:eastAsia="es-ES_tradnl"/>
        </w:rPr>
        <w:t xml:space="preserve"> privada de las fuentes de recursos</w:t>
      </w:r>
      <w:r w:rsidR="00F53D50" w:rsidRPr="00372504">
        <w:rPr>
          <w:rFonts w:ascii="Arial" w:eastAsia="Times New Roman" w:hAnsi="Arial" w:cs="Arial"/>
          <w:color w:val="222222"/>
          <w:sz w:val="22"/>
          <w:szCs w:val="22"/>
          <w:lang w:eastAsia="es-ES_tradnl"/>
        </w:rPr>
        <w:t xml:space="preserve"> y </w:t>
      </w:r>
      <w:r w:rsidR="00F53D50" w:rsidRPr="00A67AF5">
        <w:rPr>
          <w:rFonts w:ascii="Arial" w:eastAsia="Times New Roman" w:hAnsi="Arial" w:cs="Arial"/>
          <w:color w:val="222222"/>
          <w:sz w:val="22"/>
          <w:szCs w:val="22"/>
          <w:u w:val="single"/>
          <w:lang w:eastAsia="es-ES_tradnl"/>
        </w:rPr>
        <w:t>total</w:t>
      </w:r>
      <w:r w:rsidR="00F53D50" w:rsidRPr="00372504">
        <w:rPr>
          <w:rFonts w:ascii="Arial" w:eastAsia="Times New Roman" w:hAnsi="Arial" w:cs="Arial"/>
          <w:color w:val="222222"/>
          <w:sz w:val="22"/>
          <w:szCs w:val="22"/>
          <w:lang w:eastAsia="es-ES_tradnl"/>
        </w:rPr>
        <w:t>: Chile, estatal, 1.0%; privado, 1.4%; total, 2.3%</w:t>
      </w:r>
      <w:r w:rsidR="00A67AF5">
        <w:rPr>
          <w:rFonts w:ascii="Arial" w:eastAsia="Times New Roman" w:hAnsi="Arial" w:cs="Arial"/>
          <w:color w:val="222222"/>
          <w:sz w:val="22"/>
          <w:szCs w:val="22"/>
          <w:lang w:eastAsia="es-ES_tradnl"/>
        </w:rPr>
        <w:t xml:space="preserve">, </w:t>
      </w:r>
      <w:r w:rsidR="00A67AF5">
        <w:rPr>
          <w:rFonts w:ascii="Arial" w:eastAsia="Times New Roman" w:hAnsi="Arial" w:cs="Arial"/>
          <w:color w:val="222222"/>
          <w:sz w:val="22"/>
          <w:szCs w:val="22"/>
          <w:lang w:eastAsia="es-ES_tradnl"/>
        </w:rPr>
        <w:lastRenderedPageBreak/>
        <w:t>respectivamente</w:t>
      </w:r>
      <w:r w:rsidR="00F53D50" w:rsidRPr="00372504">
        <w:rPr>
          <w:rFonts w:ascii="Arial" w:eastAsia="Times New Roman" w:hAnsi="Arial" w:cs="Arial"/>
          <w:color w:val="222222"/>
          <w:sz w:val="22"/>
          <w:szCs w:val="22"/>
          <w:lang w:eastAsia="es-ES_tradnl"/>
        </w:rPr>
        <w:t>. OECD: estatal, 1.1%; privado, 0.5</w:t>
      </w:r>
      <w:r w:rsidRPr="00372504">
        <w:rPr>
          <w:rFonts w:ascii="Arial" w:eastAsia="Times New Roman" w:hAnsi="Arial" w:cs="Arial"/>
          <w:color w:val="222222"/>
          <w:sz w:val="22"/>
          <w:szCs w:val="22"/>
          <w:lang w:eastAsia="es-ES_tradnl"/>
        </w:rPr>
        <w:t xml:space="preserve">%; </w:t>
      </w:r>
      <w:r w:rsidR="00F53D50" w:rsidRPr="00372504">
        <w:rPr>
          <w:rFonts w:ascii="Arial" w:eastAsia="Times New Roman" w:hAnsi="Arial" w:cs="Arial"/>
          <w:color w:val="222222"/>
          <w:sz w:val="22"/>
          <w:szCs w:val="22"/>
          <w:lang w:eastAsia="es-ES_tradnl"/>
        </w:rPr>
        <w:t>total, 1.6%</w:t>
      </w:r>
      <w:r w:rsidR="00A67AF5">
        <w:rPr>
          <w:rFonts w:ascii="Arial" w:eastAsia="Times New Roman" w:hAnsi="Arial" w:cs="Arial"/>
          <w:color w:val="222222"/>
          <w:sz w:val="22"/>
          <w:szCs w:val="22"/>
          <w:lang w:eastAsia="es-ES_tradnl"/>
        </w:rPr>
        <w:t>, respectivamente</w:t>
      </w:r>
      <w:r w:rsidR="00F53D50" w:rsidRPr="00372504">
        <w:rPr>
          <w:rFonts w:ascii="Arial" w:eastAsia="Times New Roman" w:hAnsi="Arial" w:cs="Arial"/>
          <w:color w:val="222222"/>
          <w:sz w:val="22"/>
          <w:szCs w:val="22"/>
          <w:lang w:eastAsia="es-ES_tradnl"/>
        </w:rPr>
        <w:t xml:space="preserve">.  (C) </w:t>
      </w:r>
      <w:r w:rsidR="00F53D50" w:rsidRPr="00372504">
        <w:rPr>
          <w:rFonts w:ascii="Arial" w:eastAsia="Times New Roman" w:hAnsi="Arial" w:cs="Arial"/>
          <w:color w:val="222222"/>
          <w:sz w:val="22"/>
          <w:szCs w:val="22"/>
          <w:u w:val="single"/>
          <w:lang w:eastAsia="es-ES_tradnl"/>
        </w:rPr>
        <w:t>De acuerdo a la proporción desagregada del gasto estatal y privado</w:t>
      </w:r>
      <w:r w:rsidR="00F53D50" w:rsidRPr="00372504">
        <w:rPr>
          <w:rFonts w:ascii="Arial" w:eastAsia="Times New Roman" w:hAnsi="Arial" w:cs="Arial"/>
          <w:color w:val="222222"/>
          <w:sz w:val="22"/>
          <w:szCs w:val="22"/>
          <w:lang w:eastAsia="es-ES_tradnl"/>
        </w:rPr>
        <w:t>: estatal, hogares, otras entidades privadas, total privado (incluyendo subsidios atribuibles a pagos de instituciones educacionales recibidos de fuentes fiscales</w:t>
      </w:r>
      <w:r w:rsidR="00A67AF5">
        <w:rPr>
          <w:rFonts w:ascii="Arial" w:eastAsia="Times New Roman" w:hAnsi="Arial" w:cs="Arial"/>
          <w:color w:val="222222"/>
          <w:sz w:val="22"/>
          <w:szCs w:val="22"/>
          <w:lang w:eastAsia="es-ES_tradnl"/>
        </w:rPr>
        <w:t>)</w:t>
      </w:r>
      <w:r w:rsidR="00F53D50" w:rsidRPr="00372504">
        <w:rPr>
          <w:rFonts w:ascii="Arial" w:eastAsia="Times New Roman" w:hAnsi="Arial" w:cs="Arial"/>
          <w:color w:val="222222"/>
          <w:sz w:val="22"/>
          <w:szCs w:val="22"/>
          <w:lang w:eastAsia="es-ES_tradnl"/>
        </w:rPr>
        <w:t xml:space="preserve">. Chile: estatal, 38%; hogares, 52%; otras entidades privadas, 11%; total privado, 62%. OCDE: 70%; 21%; 9%; 30%, respectivamente. (D) </w:t>
      </w:r>
      <w:r w:rsidR="00F53D50" w:rsidRPr="00372504">
        <w:rPr>
          <w:rFonts w:ascii="Arial" w:eastAsia="Times New Roman" w:hAnsi="Arial" w:cs="Arial"/>
          <w:color w:val="222222"/>
          <w:sz w:val="22"/>
          <w:szCs w:val="22"/>
          <w:u w:val="single"/>
          <w:lang w:eastAsia="es-ES_tradnl"/>
        </w:rPr>
        <w:t>Gasto x estudiante de ET</w:t>
      </w:r>
      <w:r w:rsidR="00F53D50" w:rsidRPr="00372504">
        <w:rPr>
          <w:rFonts w:ascii="Arial" w:eastAsia="Times New Roman" w:hAnsi="Arial" w:cs="Arial"/>
          <w:color w:val="222222"/>
          <w:sz w:val="22"/>
          <w:szCs w:val="22"/>
          <w:lang w:eastAsia="es-ES_tradnl"/>
        </w:rPr>
        <w:t xml:space="preserve"> (incluyendo gasto en I&amp;D) nivel 5, niveles 6 a 8, total (expresado en USD - </w:t>
      </w:r>
      <w:proofErr w:type="spellStart"/>
      <w:r w:rsidR="00F53D50" w:rsidRPr="00372504">
        <w:rPr>
          <w:rFonts w:ascii="Arial" w:eastAsia="Times New Roman" w:hAnsi="Arial" w:cs="Arial"/>
          <w:color w:val="222222"/>
          <w:sz w:val="22"/>
          <w:szCs w:val="22"/>
          <w:lang w:eastAsia="es-ES_tradnl"/>
        </w:rPr>
        <w:t>ppc</w:t>
      </w:r>
      <w:proofErr w:type="spellEnd"/>
      <w:r w:rsidR="00F53D50" w:rsidRPr="00372504">
        <w:rPr>
          <w:rFonts w:ascii="Arial" w:eastAsia="Times New Roman" w:hAnsi="Arial" w:cs="Arial"/>
          <w:color w:val="222222"/>
          <w:sz w:val="22"/>
          <w:szCs w:val="22"/>
          <w:lang w:eastAsia="es-ES_tradnl"/>
        </w:rPr>
        <w:t>): Chile, Nivel 5, 4.079; Niveles 6 a 8, 9.084; Total, 7.642 (USD 364 en I&amp;D). Como porcentaje de</w:t>
      </w:r>
      <w:r w:rsidR="00A67AF5">
        <w:rPr>
          <w:rFonts w:ascii="Arial" w:eastAsia="Times New Roman" w:hAnsi="Arial" w:cs="Arial"/>
          <w:color w:val="222222"/>
          <w:sz w:val="22"/>
          <w:szCs w:val="22"/>
          <w:lang w:eastAsia="es-ES_tradnl"/>
        </w:rPr>
        <w:t>l</w:t>
      </w:r>
      <w:r w:rsidR="00F53D50" w:rsidRPr="00372504">
        <w:rPr>
          <w:rFonts w:ascii="Arial" w:eastAsia="Times New Roman" w:hAnsi="Arial" w:cs="Arial"/>
          <w:color w:val="222222"/>
          <w:sz w:val="22"/>
          <w:szCs w:val="22"/>
          <w:lang w:eastAsia="es-ES_tradnl"/>
        </w:rPr>
        <w:t xml:space="preserve"> PIB per </w:t>
      </w:r>
      <w:proofErr w:type="spellStart"/>
      <w:r w:rsidR="00F53D50" w:rsidRPr="00372504">
        <w:rPr>
          <w:rFonts w:ascii="Arial" w:eastAsia="Times New Roman" w:hAnsi="Arial" w:cs="Arial"/>
          <w:color w:val="222222"/>
          <w:sz w:val="22"/>
          <w:szCs w:val="22"/>
          <w:lang w:eastAsia="es-ES_tradnl"/>
        </w:rPr>
        <w:t>capita</w:t>
      </w:r>
      <w:proofErr w:type="spellEnd"/>
      <w:r w:rsidR="00F53D50" w:rsidRPr="00372504">
        <w:rPr>
          <w:rFonts w:ascii="Arial" w:eastAsia="Times New Roman" w:hAnsi="Arial" w:cs="Arial"/>
          <w:color w:val="222222"/>
          <w:sz w:val="22"/>
          <w:szCs w:val="22"/>
          <w:lang w:eastAsia="es-ES_tradnl"/>
        </w:rPr>
        <w:t xml:space="preserve">: 19%, 41%, 35%, respectivamente. OCDE: 10.107, 16.199, 15.772 (4.837 en I&amp;D). Como porcentaje de PIB per </w:t>
      </w:r>
      <w:proofErr w:type="spellStart"/>
      <w:r w:rsidR="00F53D50" w:rsidRPr="00372504">
        <w:rPr>
          <w:rFonts w:ascii="Arial" w:eastAsia="Times New Roman" w:hAnsi="Arial" w:cs="Arial"/>
          <w:color w:val="222222"/>
          <w:sz w:val="22"/>
          <w:szCs w:val="22"/>
          <w:lang w:eastAsia="es-ES_tradnl"/>
        </w:rPr>
        <w:t>capita</w:t>
      </w:r>
      <w:proofErr w:type="spellEnd"/>
      <w:r w:rsidR="00F53D50" w:rsidRPr="00372504">
        <w:rPr>
          <w:rFonts w:ascii="Arial" w:eastAsia="Times New Roman" w:hAnsi="Arial" w:cs="Arial"/>
          <w:color w:val="222222"/>
          <w:sz w:val="22"/>
          <w:szCs w:val="22"/>
          <w:lang w:eastAsia="es-ES_tradnl"/>
        </w:rPr>
        <w:t>: 27%, 41%, 41%, respectivamente. </w:t>
      </w:r>
    </w:p>
    <w:p w14:paraId="146A2BF9" w14:textId="5D62DA40" w:rsidR="00F53D50" w:rsidRPr="00372504" w:rsidRDefault="009B6D35" w:rsidP="00F53D50">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372504">
        <w:rPr>
          <w:rFonts w:ascii="Arial" w:eastAsia="Times New Roman" w:hAnsi="Arial" w:cs="Arial"/>
          <w:color w:val="222222"/>
          <w:sz w:val="22"/>
          <w:szCs w:val="22"/>
          <w:u w:val="single"/>
          <w:lang w:eastAsia="es-ES_tradnl"/>
        </w:rPr>
        <w:t>Evaluación</w:t>
      </w:r>
      <w:r w:rsidR="00F53D50" w:rsidRPr="00372504">
        <w:rPr>
          <w:rFonts w:ascii="Arial" w:eastAsia="Times New Roman" w:hAnsi="Arial" w:cs="Arial"/>
          <w:color w:val="222222"/>
          <w:sz w:val="22"/>
          <w:szCs w:val="22"/>
          <w:u w:val="single"/>
          <w:lang w:eastAsia="es-ES_tradnl"/>
        </w:rPr>
        <w:t xml:space="preserve"> de sistemas nacionales</w:t>
      </w:r>
      <w:r w:rsidR="00F53D50" w:rsidRPr="00372504">
        <w:rPr>
          <w:rFonts w:ascii="Arial" w:eastAsia="Times New Roman" w:hAnsi="Arial" w:cs="Arial"/>
          <w:color w:val="222222"/>
          <w:sz w:val="22"/>
          <w:szCs w:val="22"/>
          <w:lang w:eastAsia="es-ES_tradnl"/>
        </w:rPr>
        <w:t xml:space="preserve">. Por último, el único ranking de sistemas nacionales de universidades, realizado por </w:t>
      </w:r>
      <w:proofErr w:type="spellStart"/>
      <w:r w:rsidR="00F53D50" w:rsidRPr="00372504">
        <w:rPr>
          <w:rFonts w:ascii="Arial" w:eastAsia="Times New Roman" w:hAnsi="Arial" w:cs="Arial"/>
          <w:color w:val="222222"/>
          <w:sz w:val="22"/>
          <w:szCs w:val="22"/>
          <w:lang w:eastAsia="es-ES_tradnl"/>
        </w:rPr>
        <w:t>Universitas</w:t>
      </w:r>
      <w:proofErr w:type="spellEnd"/>
      <w:r w:rsidR="00F53D50" w:rsidRPr="00372504">
        <w:rPr>
          <w:rFonts w:ascii="Arial" w:eastAsia="Times New Roman" w:hAnsi="Arial" w:cs="Arial"/>
          <w:color w:val="222222"/>
          <w:sz w:val="22"/>
          <w:szCs w:val="22"/>
          <w:lang w:eastAsia="es-ES_tradnl"/>
        </w:rPr>
        <w:t xml:space="preserve"> 21, entre 50 países ubica </w:t>
      </w:r>
      <w:r w:rsidR="00A67AF5">
        <w:rPr>
          <w:rFonts w:ascii="Arial" w:eastAsia="Times New Roman" w:hAnsi="Arial" w:cs="Arial"/>
          <w:color w:val="222222"/>
          <w:sz w:val="22"/>
          <w:szCs w:val="22"/>
          <w:lang w:eastAsia="es-ES_tradnl"/>
        </w:rPr>
        <w:t xml:space="preserve">a </w:t>
      </w:r>
      <w:r w:rsidR="00F53D50" w:rsidRPr="00372504">
        <w:rPr>
          <w:rFonts w:ascii="Arial" w:eastAsia="Times New Roman" w:hAnsi="Arial" w:cs="Arial"/>
          <w:color w:val="222222"/>
          <w:sz w:val="22"/>
          <w:szCs w:val="22"/>
          <w:lang w:eastAsia="es-ES_tradnl"/>
        </w:rPr>
        <w:t xml:space="preserve">Chile en el lugar 34, como el primero de los cuatro sistemas latinoamericanos evaluados, seguido de Argentina, Brasil y </w:t>
      </w:r>
      <w:r w:rsidRPr="00372504">
        <w:rPr>
          <w:rFonts w:ascii="Arial" w:eastAsia="Times New Roman" w:hAnsi="Arial" w:cs="Arial"/>
          <w:color w:val="222222"/>
          <w:sz w:val="22"/>
          <w:szCs w:val="22"/>
          <w:lang w:eastAsia="es-ES_tradnl"/>
        </w:rPr>
        <w:t>México</w:t>
      </w:r>
      <w:r w:rsidR="00F53D50" w:rsidRPr="00372504">
        <w:rPr>
          <w:rFonts w:ascii="Arial" w:eastAsia="Times New Roman" w:hAnsi="Arial" w:cs="Arial"/>
          <w:color w:val="222222"/>
          <w:sz w:val="22"/>
          <w:szCs w:val="22"/>
          <w:lang w:eastAsia="es-ES_tradnl"/>
        </w:rPr>
        <w:t xml:space="preserve">. Este ranking considera recursos, ambiente académico, conectividad y </w:t>
      </w:r>
      <w:r w:rsidR="00F53D50" w:rsidRPr="00A67AF5">
        <w:rPr>
          <w:rFonts w:ascii="Arial" w:eastAsia="Times New Roman" w:hAnsi="Arial" w:cs="Arial"/>
          <w:i/>
          <w:color w:val="222222"/>
          <w:sz w:val="22"/>
          <w:szCs w:val="22"/>
          <w:lang w:eastAsia="es-ES_tradnl"/>
        </w:rPr>
        <w:t>output</w:t>
      </w:r>
      <w:r w:rsidR="00F53D50" w:rsidRPr="00372504">
        <w:rPr>
          <w:rFonts w:ascii="Arial" w:eastAsia="Times New Roman" w:hAnsi="Arial" w:cs="Arial"/>
          <w:color w:val="222222"/>
          <w:sz w:val="22"/>
          <w:szCs w:val="22"/>
          <w:lang w:eastAsia="es-ES_tradnl"/>
        </w:rPr>
        <w:t xml:space="preserve"> de investigación y docencia. </w:t>
      </w:r>
      <w:r w:rsidR="00C5634C" w:rsidRPr="00372504">
        <w:rPr>
          <w:rFonts w:ascii="Arial" w:eastAsia="Times New Roman" w:hAnsi="Arial" w:cs="Arial"/>
          <w:color w:val="222222"/>
          <w:sz w:val="22"/>
          <w:szCs w:val="22"/>
          <w:lang w:eastAsia="es-ES_tradnl"/>
        </w:rPr>
        <w:t xml:space="preserve">(U21, </w:t>
      </w:r>
      <w:r w:rsidR="0021721B" w:rsidRPr="00372504">
        <w:rPr>
          <w:rFonts w:ascii="Arial" w:eastAsia="Times New Roman" w:hAnsi="Arial" w:cs="Arial"/>
          <w:color w:val="222222"/>
          <w:sz w:val="22"/>
          <w:szCs w:val="22"/>
          <w:lang w:eastAsia="es-ES_tradnl"/>
        </w:rPr>
        <w:t>http://www.universitas21.com/article/projects/details/153/executive-summary-and-full-2017-report).</w:t>
      </w:r>
    </w:p>
    <w:p w14:paraId="47606CB6" w14:textId="540B129E" w:rsidR="0021721B" w:rsidRPr="00F53D50" w:rsidRDefault="0070569B" w:rsidP="00F53D50">
      <w:pPr>
        <w:numPr>
          <w:ilvl w:val="0"/>
          <w:numId w:val="1"/>
        </w:numPr>
        <w:shd w:val="clear" w:color="auto" w:fill="FFFFFF"/>
        <w:spacing w:before="100" w:beforeAutospacing="1" w:after="100" w:afterAutospacing="1"/>
        <w:ind w:left="945"/>
        <w:rPr>
          <w:rFonts w:ascii="Arial" w:eastAsia="Times New Roman" w:hAnsi="Arial" w:cs="Arial"/>
          <w:color w:val="222222"/>
          <w:sz w:val="22"/>
          <w:szCs w:val="22"/>
          <w:lang w:eastAsia="es-ES_tradnl"/>
        </w:rPr>
      </w:pPr>
      <w:r w:rsidRPr="00372504">
        <w:rPr>
          <w:rFonts w:ascii="Arial" w:eastAsia="Times New Roman" w:hAnsi="Arial" w:cs="Arial"/>
          <w:color w:val="222222"/>
          <w:sz w:val="22"/>
          <w:szCs w:val="22"/>
          <w:lang w:eastAsia="es-ES_tradnl"/>
        </w:rPr>
        <w:t xml:space="preserve">Una </w:t>
      </w:r>
      <w:r w:rsidRPr="00372504">
        <w:rPr>
          <w:rFonts w:ascii="Arial" w:eastAsia="Times New Roman" w:hAnsi="Arial" w:cs="Arial"/>
          <w:color w:val="222222"/>
          <w:sz w:val="22"/>
          <w:szCs w:val="22"/>
          <w:u w:val="single"/>
          <w:lang w:eastAsia="es-ES_tradnl"/>
        </w:rPr>
        <w:t>visión resumida</w:t>
      </w:r>
      <w:r w:rsidRPr="00372504">
        <w:rPr>
          <w:rFonts w:ascii="Arial" w:eastAsia="Times New Roman" w:hAnsi="Arial" w:cs="Arial"/>
          <w:color w:val="222222"/>
          <w:sz w:val="22"/>
          <w:szCs w:val="22"/>
          <w:lang w:eastAsia="es-ES_tradnl"/>
        </w:rPr>
        <w:t xml:space="preserve"> del desempeño del sistema chileno arroja un </w:t>
      </w:r>
      <w:r w:rsidRPr="00372504">
        <w:rPr>
          <w:rFonts w:ascii="Arial" w:eastAsia="Times New Roman" w:hAnsi="Arial" w:cs="Arial"/>
          <w:color w:val="222222"/>
          <w:sz w:val="22"/>
          <w:szCs w:val="22"/>
          <w:u w:val="single"/>
          <w:lang w:eastAsia="es-ES_tradnl"/>
        </w:rPr>
        <w:t>balance</w:t>
      </w:r>
      <w:r w:rsidRPr="00372504">
        <w:rPr>
          <w:rFonts w:ascii="Arial" w:eastAsia="Times New Roman" w:hAnsi="Arial" w:cs="Arial"/>
          <w:color w:val="222222"/>
          <w:sz w:val="22"/>
          <w:szCs w:val="22"/>
          <w:lang w:eastAsia="es-ES_tradnl"/>
        </w:rPr>
        <w:t xml:space="preserve"> </w:t>
      </w:r>
      <w:r w:rsidR="004A096E" w:rsidRPr="00372504">
        <w:rPr>
          <w:rFonts w:ascii="Arial" w:eastAsia="Times New Roman" w:hAnsi="Arial" w:cs="Arial"/>
          <w:color w:val="222222"/>
          <w:sz w:val="22"/>
          <w:szCs w:val="22"/>
          <w:lang w:eastAsia="es-ES_tradnl"/>
        </w:rPr>
        <w:t xml:space="preserve">positivo a la luz de los datos presentados, con sólidos desempeños en el contexto no solo latinoamericano sino también --en varias dimisiones-- en relación con el promedio de la OCDE. Asimismo, muestra dónde se hallan los principales desafíos que el sistema </w:t>
      </w:r>
      <w:r w:rsidR="00A67AF5">
        <w:rPr>
          <w:rFonts w:ascii="Arial" w:eastAsia="Times New Roman" w:hAnsi="Arial" w:cs="Arial"/>
          <w:color w:val="222222"/>
          <w:sz w:val="22"/>
          <w:szCs w:val="22"/>
          <w:lang w:eastAsia="es-ES_tradnl"/>
        </w:rPr>
        <w:t>enfrenta</w:t>
      </w:r>
      <w:r w:rsidR="004A096E" w:rsidRPr="00372504">
        <w:rPr>
          <w:rFonts w:ascii="Arial" w:eastAsia="Times New Roman" w:hAnsi="Arial" w:cs="Arial"/>
          <w:color w:val="222222"/>
          <w:sz w:val="22"/>
          <w:szCs w:val="22"/>
          <w:lang w:eastAsia="es-ES_tradnl"/>
        </w:rPr>
        <w:t xml:space="preserve"> en la actual etapa de su desarrollo: (i) </w:t>
      </w:r>
      <w:r w:rsidR="003F2A25" w:rsidRPr="00372504">
        <w:rPr>
          <w:rFonts w:ascii="Arial" w:eastAsia="Times New Roman" w:hAnsi="Arial" w:cs="Arial"/>
          <w:color w:val="222222"/>
          <w:sz w:val="22"/>
          <w:szCs w:val="22"/>
          <w:lang w:eastAsia="es-ES_tradnl"/>
        </w:rPr>
        <w:t xml:space="preserve">baja calidad del logro en la adquisición de competencias fundamentales; (ii) </w:t>
      </w:r>
      <w:r w:rsidR="00737BFC" w:rsidRPr="00372504">
        <w:rPr>
          <w:rFonts w:ascii="Arial" w:eastAsia="Times New Roman" w:hAnsi="Arial" w:cs="Arial"/>
          <w:color w:val="222222"/>
          <w:sz w:val="22"/>
          <w:szCs w:val="22"/>
          <w:lang w:eastAsia="es-ES_tradnl"/>
        </w:rPr>
        <w:t xml:space="preserve">necesidad de un constante monitoreo de la empleabilidad de los graduados, especialmente la evolución de la franja de personas con tasa negativa de retorno; (iii) </w:t>
      </w:r>
      <w:r w:rsidR="00496B0D" w:rsidRPr="00372504">
        <w:rPr>
          <w:rFonts w:ascii="Arial" w:eastAsia="Times New Roman" w:hAnsi="Arial" w:cs="Arial"/>
          <w:color w:val="222222"/>
          <w:sz w:val="22"/>
          <w:szCs w:val="22"/>
          <w:lang w:eastAsia="es-ES_tradnl"/>
        </w:rPr>
        <w:t xml:space="preserve">preocupación por la deserción </w:t>
      </w:r>
      <w:r w:rsidR="00F51E76" w:rsidRPr="00372504">
        <w:rPr>
          <w:rFonts w:ascii="Arial" w:eastAsia="Times New Roman" w:hAnsi="Arial" w:cs="Arial"/>
          <w:color w:val="222222"/>
          <w:sz w:val="22"/>
          <w:szCs w:val="22"/>
          <w:lang w:eastAsia="es-ES_tradnl"/>
        </w:rPr>
        <w:t>y duración tanto nominal como real de las carreras universitarias</w:t>
      </w:r>
      <w:r w:rsidR="006B419D" w:rsidRPr="00372504">
        <w:rPr>
          <w:rFonts w:ascii="Arial" w:eastAsia="Times New Roman" w:hAnsi="Arial" w:cs="Arial"/>
          <w:color w:val="222222"/>
          <w:sz w:val="22"/>
          <w:szCs w:val="22"/>
          <w:lang w:eastAsia="es-ES_tradnl"/>
        </w:rPr>
        <w:t xml:space="preserve"> y necesidad de apoyo para estudiantes vulnerables</w:t>
      </w:r>
      <w:r w:rsidR="00F51E76" w:rsidRPr="00372504">
        <w:rPr>
          <w:rFonts w:ascii="Arial" w:eastAsia="Times New Roman" w:hAnsi="Arial" w:cs="Arial"/>
          <w:color w:val="222222"/>
          <w:sz w:val="22"/>
          <w:szCs w:val="22"/>
          <w:lang w:eastAsia="es-ES_tradnl"/>
        </w:rPr>
        <w:t xml:space="preserve">; (iv) reducido gasto en I&amp;D. </w:t>
      </w:r>
    </w:p>
    <w:p w14:paraId="6A4F754F" w14:textId="681F4708" w:rsidR="00F53D50" w:rsidRPr="00F53D50" w:rsidRDefault="006B419D" w:rsidP="00F53D50">
      <w:pPr>
        <w:shd w:val="clear" w:color="auto" w:fill="FFFFFF"/>
        <w:spacing w:before="100" w:beforeAutospacing="1" w:after="100" w:afterAutospacing="1"/>
        <w:rPr>
          <w:rFonts w:ascii="Arial" w:hAnsi="Arial" w:cs="Arial"/>
          <w:color w:val="222222"/>
          <w:lang w:eastAsia="es-ES_tradnl"/>
        </w:rPr>
      </w:pPr>
      <w:r>
        <w:rPr>
          <w:rFonts w:ascii="Arial" w:hAnsi="Arial" w:cs="Arial"/>
          <w:color w:val="222222"/>
          <w:lang w:eastAsia="es-ES_tradnl"/>
        </w:rPr>
        <w:t xml:space="preserve">El </w:t>
      </w:r>
      <w:r w:rsidRPr="006B419D">
        <w:rPr>
          <w:rFonts w:ascii="Arial" w:hAnsi="Arial" w:cs="Arial"/>
          <w:color w:val="222222"/>
          <w:u w:val="single"/>
          <w:lang w:eastAsia="es-ES_tradnl"/>
        </w:rPr>
        <w:t>p</w:t>
      </w:r>
      <w:r w:rsidR="00F53D50" w:rsidRPr="006B419D">
        <w:rPr>
          <w:rFonts w:ascii="Arial" w:hAnsi="Arial" w:cs="Arial"/>
          <w:color w:val="222222"/>
          <w:u w:val="single"/>
          <w:lang w:eastAsia="es-ES_tradnl"/>
        </w:rPr>
        <w:t>roblema mayor</w:t>
      </w:r>
      <w:r>
        <w:rPr>
          <w:rFonts w:ascii="Arial" w:hAnsi="Arial" w:cs="Arial"/>
          <w:color w:val="222222"/>
          <w:lang w:eastAsia="es-ES_tradnl"/>
        </w:rPr>
        <w:t xml:space="preserve"> con la reforma de educación superior </w:t>
      </w:r>
      <w:r w:rsidR="00A67AF5">
        <w:rPr>
          <w:rFonts w:ascii="Arial" w:hAnsi="Arial" w:cs="Arial"/>
          <w:color w:val="222222"/>
          <w:lang w:eastAsia="es-ES_tradnl"/>
        </w:rPr>
        <w:t>es</w:t>
      </w:r>
      <w:r>
        <w:rPr>
          <w:rFonts w:ascii="Arial" w:hAnsi="Arial" w:cs="Arial"/>
          <w:color w:val="222222"/>
          <w:lang w:eastAsia="es-ES_tradnl"/>
        </w:rPr>
        <w:t xml:space="preserve"> la inexistencia de un diagnóstico del sistema y por ende la ausencia de una agenda de problemas </w:t>
      </w:r>
      <w:r w:rsidR="00A67AF5">
        <w:rPr>
          <w:rFonts w:ascii="Arial" w:hAnsi="Arial" w:cs="Arial"/>
          <w:color w:val="222222"/>
          <w:lang w:eastAsia="es-ES_tradnl"/>
        </w:rPr>
        <w:t>necesarios de</w:t>
      </w:r>
      <w:r>
        <w:rPr>
          <w:rFonts w:ascii="Arial" w:hAnsi="Arial" w:cs="Arial"/>
          <w:color w:val="222222"/>
          <w:lang w:eastAsia="es-ES_tradnl"/>
        </w:rPr>
        <w:t xml:space="preserve"> abordar. Visto el positivo desarrollo de nuestra educación superior y su estado actual, cualquier cambio que se desee introducir --sobre todo si es de cierta magnitud-- debe ser seriamente fundado y técnicamente bien diseñado.</w:t>
      </w:r>
    </w:p>
    <w:p w14:paraId="0C840FB6" w14:textId="5EB39DFC" w:rsidR="00F53D50" w:rsidRPr="00F53D50" w:rsidRDefault="006B419D" w:rsidP="00F53D50">
      <w:pPr>
        <w:shd w:val="clear" w:color="auto" w:fill="FFFFFF"/>
        <w:spacing w:before="100" w:beforeAutospacing="1" w:after="100" w:afterAutospacing="1"/>
        <w:rPr>
          <w:rFonts w:ascii="Arial" w:hAnsi="Arial" w:cs="Arial"/>
          <w:color w:val="222222"/>
          <w:lang w:eastAsia="es-ES_tradnl"/>
        </w:rPr>
      </w:pPr>
      <w:r>
        <w:rPr>
          <w:rFonts w:ascii="Arial" w:hAnsi="Arial" w:cs="Arial"/>
          <w:color w:val="222222"/>
          <w:lang w:eastAsia="es-ES_tradnl"/>
        </w:rPr>
        <w:t xml:space="preserve">Tampoco se han definido los </w:t>
      </w:r>
      <w:r w:rsidR="00F53D50" w:rsidRPr="006B419D">
        <w:rPr>
          <w:rFonts w:ascii="Arial" w:hAnsi="Arial" w:cs="Arial"/>
          <w:color w:val="222222"/>
          <w:u w:val="single"/>
          <w:lang w:eastAsia="es-ES_tradnl"/>
        </w:rPr>
        <w:t>principios axiales</w:t>
      </w:r>
      <w:r w:rsidR="00F53D50" w:rsidRPr="009B6D35">
        <w:rPr>
          <w:rFonts w:ascii="Arial" w:hAnsi="Arial" w:cs="Arial"/>
          <w:color w:val="222222"/>
          <w:lang w:eastAsia="es-ES_tradnl"/>
        </w:rPr>
        <w:t xml:space="preserve"> </w:t>
      </w:r>
      <w:r>
        <w:rPr>
          <w:rFonts w:ascii="Arial" w:hAnsi="Arial" w:cs="Arial"/>
          <w:color w:val="222222"/>
          <w:lang w:eastAsia="es-ES_tradnl"/>
        </w:rPr>
        <w:t xml:space="preserve">que deben orientar la reforma, </w:t>
      </w:r>
      <w:r w:rsidR="00F53D50" w:rsidRPr="009B6D35">
        <w:rPr>
          <w:rFonts w:ascii="Arial" w:hAnsi="Arial" w:cs="Arial"/>
          <w:color w:val="222222"/>
          <w:lang w:eastAsia="es-ES_tradnl"/>
        </w:rPr>
        <w:t>en relación con</w:t>
      </w:r>
      <w:r w:rsidR="00A67AF5">
        <w:rPr>
          <w:rFonts w:ascii="Arial" w:hAnsi="Arial" w:cs="Arial"/>
          <w:color w:val="222222"/>
          <w:lang w:eastAsia="es-ES_tradnl"/>
        </w:rPr>
        <w:t xml:space="preserve"> la </w:t>
      </w:r>
      <w:r>
        <w:rPr>
          <w:rFonts w:ascii="Arial" w:hAnsi="Arial" w:cs="Arial"/>
          <w:color w:val="222222"/>
          <w:lang w:eastAsia="es-ES_tradnl"/>
        </w:rPr>
        <w:t>n</w:t>
      </w:r>
      <w:r w:rsidRPr="009B6D35">
        <w:rPr>
          <w:rFonts w:ascii="Arial" w:hAnsi="Arial" w:cs="Arial"/>
          <w:color w:val="222222"/>
          <w:lang w:eastAsia="es-ES_tradnl"/>
        </w:rPr>
        <w:t>aturaleza</w:t>
      </w:r>
      <w:r>
        <w:rPr>
          <w:rFonts w:ascii="Arial" w:hAnsi="Arial" w:cs="Arial"/>
          <w:color w:val="222222"/>
          <w:lang w:eastAsia="es-ES_tradnl"/>
        </w:rPr>
        <w:t xml:space="preserve"> de</w:t>
      </w:r>
      <w:r w:rsidR="00A67AF5">
        <w:rPr>
          <w:rFonts w:ascii="Arial" w:hAnsi="Arial" w:cs="Arial"/>
          <w:color w:val="222222"/>
          <w:lang w:eastAsia="es-ES_tradnl"/>
        </w:rPr>
        <w:t xml:space="preserve">l sistema y su </w:t>
      </w:r>
      <w:r>
        <w:rPr>
          <w:rFonts w:ascii="Arial" w:hAnsi="Arial" w:cs="Arial"/>
          <w:color w:val="222222"/>
          <w:lang w:eastAsia="es-ES_tradnl"/>
        </w:rPr>
        <w:t xml:space="preserve"> economía política</w:t>
      </w:r>
      <w:r w:rsidR="00F53D50" w:rsidRPr="009B6D35">
        <w:rPr>
          <w:rFonts w:ascii="Arial" w:hAnsi="Arial" w:cs="Arial"/>
          <w:color w:val="222222"/>
          <w:lang w:eastAsia="es-ES_tradnl"/>
        </w:rPr>
        <w:t xml:space="preserve">, balance </w:t>
      </w:r>
      <w:r>
        <w:rPr>
          <w:rFonts w:ascii="Arial" w:hAnsi="Arial" w:cs="Arial"/>
          <w:color w:val="222222"/>
          <w:lang w:eastAsia="es-ES_tradnl"/>
        </w:rPr>
        <w:t xml:space="preserve">estatal/privado respecto de la </w:t>
      </w:r>
      <w:r w:rsidR="00F53D50" w:rsidRPr="009B6D35">
        <w:rPr>
          <w:rFonts w:ascii="Arial" w:hAnsi="Arial" w:cs="Arial"/>
          <w:color w:val="222222"/>
          <w:lang w:eastAsia="es-ES_tradnl"/>
        </w:rPr>
        <w:t>provisión</w:t>
      </w:r>
      <w:r>
        <w:rPr>
          <w:rFonts w:ascii="Arial" w:hAnsi="Arial" w:cs="Arial"/>
          <w:color w:val="222222"/>
          <w:lang w:eastAsia="es-ES_tradnl"/>
        </w:rPr>
        <w:t xml:space="preserve"> y el financiamiento, mantención o no de un esquema de </w:t>
      </w:r>
      <w:r w:rsidR="00F53D50" w:rsidRPr="009B6D35">
        <w:rPr>
          <w:rFonts w:ascii="Arial" w:hAnsi="Arial" w:cs="Arial"/>
          <w:color w:val="222222"/>
          <w:lang w:eastAsia="es-ES_tradnl"/>
        </w:rPr>
        <w:t xml:space="preserve">costos compartidos, </w:t>
      </w:r>
      <w:r>
        <w:rPr>
          <w:rFonts w:ascii="Arial" w:hAnsi="Arial" w:cs="Arial"/>
          <w:color w:val="222222"/>
          <w:lang w:eastAsia="es-ES_tradnl"/>
        </w:rPr>
        <w:t xml:space="preserve">definición y </w:t>
      </w:r>
      <w:r w:rsidR="00F53D50" w:rsidRPr="009B6D35">
        <w:rPr>
          <w:rFonts w:ascii="Arial" w:hAnsi="Arial" w:cs="Arial"/>
          <w:color w:val="222222"/>
          <w:lang w:eastAsia="es-ES_tradnl"/>
        </w:rPr>
        <w:t xml:space="preserve">carácter </w:t>
      </w:r>
      <w:r w:rsidR="00A67AF5">
        <w:rPr>
          <w:rFonts w:ascii="Arial" w:hAnsi="Arial" w:cs="Arial"/>
          <w:color w:val="222222"/>
          <w:lang w:eastAsia="es-ES_tradnl"/>
        </w:rPr>
        <w:t xml:space="preserve">de las </w:t>
      </w:r>
      <w:r w:rsidR="00F53D50" w:rsidRPr="009B6D35">
        <w:rPr>
          <w:rFonts w:ascii="Arial" w:hAnsi="Arial" w:cs="Arial"/>
          <w:color w:val="222222"/>
          <w:lang w:eastAsia="es-ES_tradnl"/>
        </w:rPr>
        <w:t xml:space="preserve">instituciones, </w:t>
      </w:r>
      <w:r>
        <w:rPr>
          <w:rFonts w:ascii="Arial" w:hAnsi="Arial" w:cs="Arial"/>
          <w:color w:val="222222"/>
          <w:lang w:eastAsia="es-ES_tradnl"/>
        </w:rPr>
        <w:t xml:space="preserve">cómo ha de entenderse lo público en Chile de acuerda a la evolución histórica del sistema y su institucionalidad, </w:t>
      </w:r>
      <w:r w:rsidR="00F53D50" w:rsidRPr="009B6D35">
        <w:rPr>
          <w:rFonts w:ascii="Arial" w:hAnsi="Arial" w:cs="Arial"/>
          <w:color w:val="222222"/>
          <w:lang w:eastAsia="es-ES_tradnl"/>
        </w:rPr>
        <w:t xml:space="preserve">vínculo </w:t>
      </w:r>
      <w:r>
        <w:rPr>
          <w:rFonts w:ascii="Arial" w:hAnsi="Arial" w:cs="Arial"/>
          <w:color w:val="222222"/>
          <w:lang w:eastAsia="es-ES_tradnl"/>
        </w:rPr>
        <w:t xml:space="preserve">de las instituciones </w:t>
      </w:r>
      <w:r w:rsidR="00F53D50" w:rsidRPr="009B6D35">
        <w:rPr>
          <w:rFonts w:ascii="Arial" w:hAnsi="Arial" w:cs="Arial"/>
          <w:color w:val="222222"/>
          <w:lang w:eastAsia="es-ES_tradnl"/>
        </w:rPr>
        <w:t xml:space="preserve">con </w:t>
      </w:r>
      <w:r>
        <w:rPr>
          <w:rFonts w:ascii="Arial" w:hAnsi="Arial" w:cs="Arial"/>
          <w:color w:val="222222"/>
          <w:lang w:eastAsia="es-ES_tradnl"/>
        </w:rPr>
        <w:t xml:space="preserve">el </w:t>
      </w:r>
      <w:r w:rsidR="00F53D50" w:rsidRPr="009B6D35">
        <w:rPr>
          <w:rFonts w:ascii="Arial" w:hAnsi="Arial" w:cs="Arial"/>
          <w:color w:val="222222"/>
          <w:lang w:eastAsia="es-ES_tradnl"/>
        </w:rPr>
        <w:t>Estado (igualdad de trato</w:t>
      </w:r>
      <w:r>
        <w:rPr>
          <w:rFonts w:ascii="Arial" w:hAnsi="Arial" w:cs="Arial"/>
          <w:color w:val="222222"/>
          <w:lang w:eastAsia="es-ES_tradnl"/>
        </w:rPr>
        <w:t xml:space="preserve"> o diferenciación, cuándo, cómo, en qué aspectos, etc.</w:t>
      </w:r>
      <w:r w:rsidR="00F53D50" w:rsidRPr="009B6D35">
        <w:rPr>
          <w:rFonts w:ascii="Arial" w:hAnsi="Arial" w:cs="Arial"/>
          <w:color w:val="222222"/>
          <w:lang w:eastAsia="es-ES_tradnl"/>
        </w:rPr>
        <w:t xml:space="preserve">), </w:t>
      </w:r>
      <w:r>
        <w:rPr>
          <w:rFonts w:ascii="Arial" w:hAnsi="Arial" w:cs="Arial"/>
          <w:color w:val="222222"/>
          <w:lang w:eastAsia="es-ES_tradnl"/>
        </w:rPr>
        <w:t>autonomí</w:t>
      </w:r>
      <w:r w:rsidR="00A67AF5">
        <w:rPr>
          <w:rFonts w:ascii="Arial" w:hAnsi="Arial" w:cs="Arial"/>
          <w:color w:val="222222"/>
          <w:lang w:eastAsia="es-ES_tradnl"/>
        </w:rPr>
        <w:t>a de l</w:t>
      </w:r>
      <w:r>
        <w:rPr>
          <w:rFonts w:ascii="Arial" w:hAnsi="Arial" w:cs="Arial"/>
          <w:color w:val="222222"/>
          <w:lang w:eastAsia="es-ES_tradnl"/>
        </w:rPr>
        <w:t xml:space="preserve">as universidades, identidad de sus proyectos educacionales, </w:t>
      </w:r>
      <w:r w:rsidR="00F53D50" w:rsidRPr="009B6D35">
        <w:rPr>
          <w:rFonts w:ascii="Arial" w:hAnsi="Arial" w:cs="Arial"/>
          <w:color w:val="222222"/>
          <w:lang w:eastAsia="es-ES_tradnl"/>
        </w:rPr>
        <w:t xml:space="preserve">esquemas de apoyo para </w:t>
      </w:r>
      <w:r>
        <w:rPr>
          <w:rFonts w:ascii="Arial" w:hAnsi="Arial" w:cs="Arial"/>
          <w:color w:val="222222"/>
          <w:lang w:eastAsia="es-ES_tradnl"/>
        </w:rPr>
        <w:t xml:space="preserve">los </w:t>
      </w:r>
      <w:r w:rsidR="00F53D50" w:rsidRPr="009B6D35">
        <w:rPr>
          <w:rFonts w:ascii="Arial" w:hAnsi="Arial" w:cs="Arial"/>
          <w:color w:val="222222"/>
          <w:lang w:eastAsia="es-ES_tradnl"/>
        </w:rPr>
        <w:t>estudiantes</w:t>
      </w:r>
      <w:r>
        <w:rPr>
          <w:rFonts w:ascii="Arial" w:hAnsi="Arial" w:cs="Arial"/>
          <w:color w:val="222222"/>
          <w:lang w:eastAsia="es-ES_tradnl"/>
        </w:rPr>
        <w:t>, etc.</w:t>
      </w:r>
    </w:p>
    <w:p w14:paraId="415B65A0" w14:textId="198DCC33" w:rsidR="00F53D50" w:rsidRPr="00F53D50" w:rsidRDefault="00A67AF5" w:rsidP="00F53D50">
      <w:pPr>
        <w:shd w:val="clear" w:color="auto" w:fill="FFFFFF"/>
        <w:spacing w:before="100" w:beforeAutospacing="1" w:after="100" w:afterAutospacing="1"/>
        <w:rPr>
          <w:rFonts w:ascii="Arial" w:hAnsi="Arial" w:cs="Arial"/>
          <w:color w:val="222222"/>
          <w:lang w:eastAsia="es-ES_tradnl"/>
        </w:rPr>
      </w:pPr>
      <w:r>
        <w:rPr>
          <w:rFonts w:ascii="Arial" w:hAnsi="Arial" w:cs="Arial"/>
          <w:color w:val="222222"/>
          <w:lang w:eastAsia="es-ES_tradnl"/>
        </w:rPr>
        <w:t>Tampoco se h</w:t>
      </w:r>
      <w:r w:rsidR="006B419D">
        <w:rPr>
          <w:rFonts w:ascii="Arial" w:hAnsi="Arial" w:cs="Arial"/>
          <w:color w:val="222222"/>
          <w:lang w:eastAsia="es-ES_tradnl"/>
        </w:rPr>
        <w:t xml:space="preserve">a propuesto una </w:t>
      </w:r>
      <w:r w:rsidR="00F53D50" w:rsidRPr="006B419D">
        <w:rPr>
          <w:rFonts w:ascii="Arial" w:hAnsi="Arial" w:cs="Arial"/>
          <w:color w:val="222222"/>
          <w:u w:val="single"/>
          <w:lang w:eastAsia="es-ES_tradnl"/>
        </w:rPr>
        <w:t>estrategia sustentable</w:t>
      </w:r>
      <w:r w:rsidR="00F53D50" w:rsidRPr="009B6D35">
        <w:rPr>
          <w:rFonts w:ascii="Arial" w:hAnsi="Arial" w:cs="Arial"/>
          <w:color w:val="222222"/>
          <w:lang w:eastAsia="es-ES_tradnl"/>
        </w:rPr>
        <w:t xml:space="preserve"> de desarrollo</w:t>
      </w:r>
      <w:r w:rsidR="006B419D">
        <w:rPr>
          <w:rFonts w:ascii="Arial" w:hAnsi="Arial" w:cs="Arial"/>
          <w:color w:val="222222"/>
          <w:lang w:eastAsia="es-ES_tradnl"/>
        </w:rPr>
        <w:t xml:space="preserve"> de la ET que sirva como marco para las </w:t>
      </w:r>
      <w:r w:rsidR="00B558AA">
        <w:rPr>
          <w:rFonts w:ascii="Arial" w:hAnsi="Arial" w:cs="Arial"/>
          <w:color w:val="222222"/>
          <w:lang w:eastAsia="es-ES_tradnl"/>
        </w:rPr>
        <w:t>modificaciones legi</w:t>
      </w:r>
      <w:r w:rsidR="006B419D">
        <w:rPr>
          <w:rFonts w:ascii="Arial" w:hAnsi="Arial" w:cs="Arial"/>
          <w:color w:val="222222"/>
          <w:lang w:eastAsia="es-ES_tradnl"/>
        </w:rPr>
        <w:t>s</w:t>
      </w:r>
      <w:r w:rsidR="00B558AA">
        <w:rPr>
          <w:rFonts w:ascii="Arial" w:hAnsi="Arial" w:cs="Arial"/>
          <w:color w:val="222222"/>
          <w:lang w:eastAsia="es-ES_tradnl"/>
        </w:rPr>
        <w:t>l</w:t>
      </w:r>
      <w:r w:rsidR="006B419D">
        <w:rPr>
          <w:rFonts w:ascii="Arial" w:hAnsi="Arial" w:cs="Arial"/>
          <w:color w:val="222222"/>
          <w:lang w:eastAsia="es-ES_tradnl"/>
        </w:rPr>
        <w:t xml:space="preserve">ativas </w:t>
      </w:r>
      <w:r w:rsidR="00B558AA">
        <w:rPr>
          <w:rFonts w:ascii="Arial" w:hAnsi="Arial" w:cs="Arial"/>
          <w:color w:val="222222"/>
          <w:lang w:eastAsia="es-ES_tradnl"/>
        </w:rPr>
        <w:t xml:space="preserve">y que responda a un </w:t>
      </w:r>
      <w:r w:rsidR="00B558AA">
        <w:rPr>
          <w:rFonts w:ascii="Arial" w:hAnsi="Arial" w:cs="Arial"/>
          <w:color w:val="222222"/>
          <w:lang w:eastAsia="es-ES_tradnl"/>
        </w:rPr>
        <w:lastRenderedPageBreak/>
        <w:t>diagnóstico, incorpore los principios axiales y defina objetivos, metas y medios. Discutimos en el aire, lo que dificulta la comprensión de los asuntos discutidos e inhibe tener una deliberación racional.</w:t>
      </w:r>
    </w:p>
    <w:p w14:paraId="1CE8CF94" w14:textId="48F6DFB7" w:rsidR="00F53D50" w:rsidRPr="00F53D50" w:rsidRDefault="00B558AA" w:rsidP="00B558AA">
      <w:pPr>
        <w:shd w:val="clear" w:color="auto" w:fill="FFFFFF"/>
        <w:spacing w:before="100" w:beforeAutospacing="1" w:after="100" w:afterAutospacing="1"/>
        <w:rPr>
          <w:rFonts w:ascii="Arial" w:hAnsi="Arial" w:cs="Arial"/>
          <w:color w:val="222222"/>
          <w:lang w:eastAsia="es-ES_tradnl"/>
        </w:rPr>
      </w:pPr>
      <w:r>
        <w:rPr>
          <w:rFonts w:ascii="Arial" w:hAnsi="Arial" w:cs="Arial"/>
          <w:color w:val="222222"/>
          <w:lang w:eastAsia="es-ES_tradnl"/>
        </w:rPr>
        <w:t xml:space="preserve">En cuanto a la </w:t>
      </w:r>
      <w:r w:rsidRPr="00B558AA">
        <w:rPr>
          <w:rFonts w:ascii="Arial" w:hAnsi="Arial" w:cs="Arial"/>
          <w:color w:val="222222"/>
          <w:u w:val="single"/>
          <w:lang w:eastAsia="es-ES_tradnl"/>
        </w:rPr>
        <w:t>gobernanza</w:t>
      </w:r>
      <w:r>
        <w:rPr>
          <w:rFonts w:ascii="Arial" w:hAnsi="Arial" w:cs="Arial"/>
          <w:color w:val="222222"/>
          <w:u w:val="single"/>
          <w:lang w:eastAsia="es-ES_tradnl"/>
        </w:rPr>
        <w:t xml:space="preserve"> del sistema</w:t>
      </w:r>
      <w:r>
        <w:rPr>
          <w:rFonts w:ascii="Arial" w:hAnsi="Arial" w:cs="Arial"/>
          <w:color w:val="222222"/>
          <w:lang w:eastAsia="es-ES_tradnl"/>
        </w:rPr>
        <w:t xml:space="preserve"> propuest</w:t>
      </w:r>
      <w:r w:rsidR="00372504">
        <w:rPr>
          <w:rFonts w:ascii="Arial" w:hAnsi="Arial" w:cs="Arial"/>
          <w:color w:val="222222"/>
          <w:lang w:eastAsia="es-ES_tradnl"/>
        </w:rPr>
        <w:t>o</w:t>
      </w:r>
      <w:r>
        <w:rPr>
          <w:rFonts w:ascii="Arial" w:hAnsi="Arial" w:cs="Arial"/>
          <w:color w:val="222222"/>
          <w:lang w:eastAsia="es-ES_tradnl"/>
        </w:rPr>
        <w:t xml:space="preserve"> por el proyecto, ella es or</w:t>
      </w:r>
      <w:r w:rsidR="00F53D50" w:rsidRPr="009B6D35">
        <w:rPr>
          <w:rFonts w:ascii="Arial" w:hAnsi="Arial" w:cs="Arial"/>
          <w:color w:val="222222"/>
          <w:lang w:eastAsia="es-ES_tradnl"/>
        </w:rPr>
        <w:t>gánicamente débil y confusa en el vértice superior</w:t>
      </w:r>
      <w:r>
        <w:rPr>
          <w:rFonts w:ascii="Arial" w:hAnsi="Arial" w:cs="Arial"/>
          <w:color w:val="222222"/>
          <w:lang w:eastAsia="es-ES_tradnl"/>
        </w:rPr>
        <w:t xml:space="preserve">. </w:t>
      </w:r>
      <w:r w:rsidR="00D90553">
        <w:rPr>
          <w:rFonts w:ascii="Arial" w:hAnsi="Arial" w:cs="Arial"/>
          <w:color w:val="222222"/>
          <w:lang w:eastAsia="es-ES_tradnl"/>
        </w:rPr>
        <w:t xml:space="preserve">Se discute en paralelo crear una subsecretaría de educación superior y un ministerio de ciencia y tecnología. Funcionalmente, el esquema propuesto es </w:t>
      </w:r>
      <w:r>
        <w:rPr>
          <w:rFonts w:ascii="Arial" w:hAnsi="Arial" w:cs="Arial"/>
          <w:color w:val="222222"/>
          <w:lang w:eastAsia="es-ES_tradnl"/>
        </w:rPr>
        <w:t>centrali</w:t>
      </w:r>
      <w:r w:rsidR="00D90553">
        <w:rPr>
          <w:rFonts w:ascii="Arial" w:hAnsi="Arial" w:cs="Arial"/>
          <w:color w:val="222222"/>
          <w:lang w:eastAsia="es-ES_tradnl"/>
        </w:rPr>
        <w:t>zado</w:t>
      </w:r>
      <w:r>
        <w:rPr>
          <w:rFonts w:ascii="Arial" w:hAnsi="Arial" w:cs="Arial"/>
          <w:color w:val="222222"/>
          <w:lang w:eastAsia="es-ES_tradnl"/>
        </w:rPr>
        <w:t xml:space="preserve">, controlista, excesivamente burocrática y parece responder a un sentimiento de generalizada desconfianza en las instituciones. Establece un </w:t>
      </w:r>
      <w:r w:rsidR="00F53D50" w:rsidRPr="009B6D35">
        <w:rPr>
          <w:rFonts w:ascii="Arial" w:hAnsi="Arial" w:cs="Arial"/>
          <w:color w:val="222222"/>
          <w:lang w:eastAsia="es-ES_tradnl"/>
        </w:rPr>
        <w:t>control estatal a través de</w:t>
      </w:r>
      <w:r>
        <w:rPr>
          <w:rFonts w:ascii="Arial" w:hAnsi="Arial" w:cs="Arial"/>
          <w:color w:val="222222"/>
          <w:lang w:eastAsia="es-ES_tradnl"/>
        </w:rPr>
        <w:t>l</w:t>
      </w:r>
      <w:r w:rsidR="00F53D50" w:rsidRPr="009B6D35">
        <w:rPr>
          <w:rFonts w:ascii="Arial" w:hAnsi="Arial" w:cs="Arial"/>
          <w:color w:val="222222"/>
          <w:lang w:eastAsia="es-ES_tradnl"/>
        </w:rPr>
        <w:t xml:space="preserve"> manejo </w:t>
      </w:r>
      <w:r>
        <w:rPr>
          <w:rFonts w:ascii="Arial" w:hAnsi="Arial" w:cs="Arial"/>
          <w:color w:val="222222"/>
          <w:lang w:eastAsia="es-ES_tradnl"/>
        </w:rPr>
        <w:t xml:space="preserve">de la </w:t>
      </w:r>
      <w:r w:rsidR="00F53D50" w:rsidRPr="009B6D35">
        <w:rPr>
          <w:rFonts w:ascii="Arial" w:hAnsi="Arial" w:cs="Arial"/>
          <w:color w:val="222222"/>
          <w:lang w:eastAsia="es-ES_tradnl"/>
        </w:rPr>
        <w:t xml:space="preserve">admisión, </w:t>
      </w:r>
      <w:r>
        <w:rPr>
          <w:rFonts w:ascii="Arial" w:hAnsi="Arial" w:cs="Arial"/>
          <w:color w:val="222222"/>
          <w:lang w:eastAsia="es-ES_tradnl"/>
        </w:rPr>
        <w:t xml:space="preserve">la </w:t>
      </w:r>
      <w:r w:rsidR="00D90553" w:rsidRPr="009B6D35">
        <w:rPr>
          <w:rFonts w:ascii="Arial" w:hAnsi="Arial" w:cs="Arial"/>
          <w:color w:val="222222"/>
          <w:lang w:eastAsia="es-ES_tradnl"/>
        </w:rPr>
        <w:t xml:space="preserve">determinación </w:t>
      </w:r>
      <w:r w:rsidR="00D90553">
        <w:rPr>
          <w:rFonts w:ascii="Arial" w:hAnsi="Arial" w:cs="Arial"/>
          <w:color w:val="222222"/>
          <w:lang w:eastAsia="es-ES_tradnl"/>
        </w:rPr>
        <w:t xml:space="preserve">de </w:t>
      </w:r>
      <w:r w:rsidR="00D90553" w:rsidRPr="009B6D35">
        <w:rPr>
          <w:rFonts w:ascii="Arial" w:hAnsi="Arial" w:cs="Arial"/>
          <w:color w:val="222222"/>
          <w:lang w:eastAsia="es-ES_tradnl"/>
        </w:rPr>
        <w:t>vacante</w:t>
      </w:r>
      <w:r w:rsidR="00D90553">
        <w:rPr>
          <w:rFonts w:ascii="Arial" w:hAnsi="Arial" w:cs="Arial"/>
          <w:color w:val="222222"/>
          <w:lang w:eastAsia="es-ES_tradnl"/>
        </w:rPr>
        <w:t>s</w:t>
      </w:r>
      <w:r w:rsidR="00F53D50" w:rsidRPr="009B6D35">
        <w:rPr>
          <w:rFonts w:ascii="Arial" w:hAnsi="Arial" w:cs="Arial"/>
          <w:color w:val="222222"/>
          <w:lang w:eastAsia="es-ES_tradnl"/>
        </w:rPr>
        <w:t xml:space="preserve">, </w:t>
      </w:r>
      <w:r w:rsidR="00D90553">
        <w:rPr>
          <w:rFonts w:ascii="Arial" w:hAnsi="Arial" w:cs="Arial"/>
          <w:color w:val="222222"/>
          <w:lang w:eastAsia="es-ES_tradnl"/>
        </w:rPr>
        <w:t xml:space="preserve">de </w:t>
      </w:r>
      <w:r w:rsidR="00F53D50" w:rsidRPr="009B6D35">
        <w:rPr>
          <w:rFonts w:ascii="Arial" w:hAnsi="Arial" w:cs="Arial"/>
          <w:color w:val="222222"/>
          <w:lang w:eastAsia="es-ES_tradnl"/>
        </w:rPr>
        <w:t xml:space="preserve">estándares y currículo, </w:t>
      </w:r>
      <w:r w:rsidR="00D90553">
        <w:rPr>
          <w:rFonts w:ascii="Arial" w:hAnsi="Arial" w:cs="Arial"/>
          <w:color w:val="222222"/>
          <w:lang w:eastAsia="es-ES_tradnl"/>
        </w:rPr>
        <w:t xml:space="preserve">del perfil </w:t>
      </w:r>
      <w:r w:rsidR="00F53D50" w:rsidRPr="009B6D35">
        <w:rPr>
          <w:rFonts w:ascii="Arial" w:hAnsi="Arial" w:cs="Arial"/>
          <w:color w:val="222222"/>
          <w:lang w:eastAsia="es-ES_tradnl"/>
        </w:rPr>
        <w:t>de egreso vía M</w:t>
      </w:r>
      <w:r w:rsidR="00D90553">
        <w:rPr>
          <w:rFonts w:ascii="Arial" w:hAnsi="Arial" w:cs="Arial"/>
          <w:color w:val="222222"/>
          <w:lang w:eastAsia="es-ES_tradnl"/>
        </w:rPr>
        <w:t xml:space="preserve">arco </w:t>
      </w:r>
      <w:r w:rsidR="00F53D50" w:rsidRPr="009B6D35">
        <w:rPr>
          <w:rFonts w:ascii="Arial" w:hAnsi="Arial" w:cs="Arial"/>
          <w:color w:val="222222"/>
          <w:lang w:eastAsia="es-ES_tradnl"/>
        </w:rPr>
        <w:t>N</w:t>
      </w:r>
      <w:r w:rsidR="00D90553">
        <w:rPr>
          <w:rFonts w:ascii="Arial" w:hAnsi="Arial" w:cs="Arial"/>
          <w:color w:val="222222"/>
          <w:lang w:eastAsia="es-ES_tradnl"/>
        </w:rPr>
        <w:t xml:space="preserve">acional de </w:t>
      </w:r>
      <w:r w:rsidR="00F53D50" w:rsidRPr="009B6D35">
        <w:rPr>
          <w:rFonts w:ascii="Arial" w:hAnsi="Arial" w:cs="Arial"/>
          <w:color w:val="222222"/>
          <w:lang w:eastAsia="es-ES_tradnl"/>
        </w:rPr>
        <w:t>C</w:t>
      </w:r>
      <w:r w:rsidR="00D90553">
        <w:rPr>
          <w:rFonts w:ascii="Arial" w:hAnsi="Arial" w:cs="Arial"/>
          <w:color w:val="222222"/>
          <w:lang w:eastAsia="es-ES_tradnl"/>
        </w:rPr>
        <w:t>ualificaciones</w:t>
      </w:r>
      <w:r w:rsidR="00F53D50" w:rsidRPr="009B6D35">
        <w:rPr>
          <w:rFonts w:ascii="Arial" w:hAnsi="Arial" w:cs="Arial"/>
          <w:color w:val="222222"/>
          <w:lang w:eastAsia="es-ES_tradnl"/>
        </w:rPr>
        <w:t xml:space="preserve">, </w:t>
      </w:r>
      <w:r w:rsidR="00A67AF5">
        <w:rPr>
          <w:rFonts w:ascii="Arial" w:hAnsi="Arial" w:cs="Arial"/>
          <w:color w:val="222222"/>
          <w:lang w:eastAsia="es-ES_tradnl"/>
        </w:rPr>
        <w:t xml:space="preserve">y </w:t>
      </w:r>
      <w:r w:rsidR="00D90553">
        <w:rPr>
          <w:rFonts w:ascii="Arial" w:hAnsi="Arial" w:cs="Arial"/>
          <w:color w:val="222222"/>
          <w:lang w:eastAsia="es-ES_tradnl"/>
        </w:rPr>
        <w:t xml:space="preserve">mediante una </w:t>
      </w:r>
      <w:r w:rsidR="00D90553" w:rsidRPr="009B6D35">
        <w:rPr>
          <w:rFonts w:ascii="Arial" w:hAnsi="Arial" w:cs="Arial"/>
          <w:color w:val="222222"/>
          <w:lang w:eastAsia="es-ES_tradnl"/>
        </w:rPr>
        <w:t>categorización</w:t>
      </w:r>
      <w:r w:rsidR="00F53D50" w:rsidRPr="009B6D35">
        <w:rPr>
          <w:rFonts w:ascii="Arial" w:hAnsi="Arial" w:cs="Arial"/>
          <w:color w:val="222222"/>
          <w:lang w:eastAsia="es-ES_tradnl"/>
        </w:rPr>
        <w:t xml:space="preserve"> de universidades, </w:t>
      </w:r>
      <w:r w:rsidR="00D90553">
        <w:rPr>
          <w:rFonts w:ascii="Arial" w:hAnsi="Arial" w:cs="Arial"/>
          <w:color w:val="222222"/>
          <w:lang w:eastAsia="es-ES_tradnl"/>
        </w:rPr>
        <w:t xml:space="preserve">la </w:t>
      </w:r>
      <w:r w:rsidR="00F53D50" w:rsidRPr="009B6D35">
        <w:rPr>
          <w:rFonts w:ascii="Arial" w:hAnsi="Arial" w:cs="Arial"/>
          <w:color w:val="222222"/>
          <w:lang w:eastAsia="es-ES_tradnl"/>
        </w:rPr>
        <w:t xml:space="preserve">supervisión </w:t>
      </w:r>
      <w:r w:rsidR="00D90553">
        <w:rPr>
          <w:rFonts w:ascii="Arial" w:hAnsi="Arial" w:cs="Arial"/>
          <w:color w:val="222222"/>
          <w:lang w:eastAsia="es-ES_tradnl"/>
        </w:rPr>
        <w:t>concebida con criterio de mera contabilidad de la g</w:t>
      </w:r>
      <w:r w:rsidR="00D90553" w:rsidRPr="009B6D35">
        <w:rPr>
          <w:rFonts w:ascii="Arial" w:hAnsi="Arial" w:cs="Arial"/>
          <w:color w:val="222222"/>
          <w:lang w:eastAsia="es-ES_tradnl"/>
        </w:rPr>
        <w:t>estión</w:t>
      </w:r>
      <w:r w:rsidR="00F53D50" w:rsidRPr="009B6D35">
        <w:rPr>
          <w:rFonts w:ascii="Arial" w:hAnsi="Arial" w:cs="Arial"/>
          <w:color w:val="222222"/>
          <w:lang w:eastAsia="es-ES_tradnl"/>
        </w:rPr>
        <w:t xml:space="preserve"> y uso de </w:t>
      </w:r>
      <w:r w:rsidR="00D90553" w:rsidRPr="009B6D35">
        <w:rPr>
          <w:rFonts w:ascii="Arial" w:hAnsi="Arial" w:cs="Arial"/>
          <w:color w:val="222222"/>
          <w:lang w:eastAsia="es-ES_tradnl"/>
        </w:rPr>
        <w:t xml:space="preserve">recursos, </w:t>
      </w:r>
      <w:r w:rsidR="00D90553">
        <w:rPr>
          <w:rFonts w:ascii="Arial" w:hAnsi="Arial" w:cs="Arial"/>
          <w:color w:val="222222"/>
          <w:lang w:eastAsia="es-ES_tradnl"/>
        </w:rPr>
        <w:t xml:space="preserve">la </w:t>
      </w:r>
      <w:r w:rsidR="00F53D50" w:rsidRPr="009B6D35">
        <w:rPr>
          <w:rFonts w:ascii="Arial" w:hAnsi="Arial" w:cs="Arial"/>
          <w:color w:val="222222"/>
          <w:lang w:eastAsia="es-ES_tradnl"/>
        </w:rPr>
        <w:t>fijación de precio</w:t>
      </w:r>
      <w:r w:rsidR="00A67AF5">
        <w:rPr>
          <w:rFonts w:ascii="Arial" w:hAnsi="Arial" w:cs="Arial"/>
          <w:color w:val="222222"/>
          <w:lang w:eastAsia="es-ES_tradnl"/>
        </w:rPr>
        <w:t>s</w:t>
      </w:r>
      <w:r w:rsidR="00F53D50" w:rsidRPr="009B6D35">
        <w:rPr>
          <w:rFonts w:ascii="Arial" w:hAnsi="Arial" w:cs="Arial"/>
          <w:color w:val="222222"/>
          <w:lang w:eastAsia="es-ES_tradnl"/>
        </w:rPr>
        <w:t xml:space="preserve"> de </w:t>
      </w:r>
      <w:r w:rsidR="00D90553">
        <w:rPr>
          <w:rFonts w:ascii="Arial" w:hAnsi="Arial" w:cs="Arial"/>
          <w:color w:val="222222"/>
          <w:lang w:eastAsia="es-ES_tradnl"/>
        </w:rPr>
        <w:t xml:space="preserve">los </w:t>
      </w:r>
      <w:r w:rsidR="00F53D50" w:rsidRPr="009B6D35">
        <w:rPr>
          <w:rFonts w:ascii="Arial" w:hAnsi="Arial" w:cs="Arial"/>
          <w:color w:val="222222"/>
          <w:lang w:eastAsia="es-ES_tradnl"/>
        </w:rPr>
        <w:t>aranceles</w:t>
      </w:r>
      <w:r w:rsidR="00D90553">
        <w:rPr>
          <w:rFonts w:ascii="Arial" w:hAnsi="Arial" w:cs="Arial"/>
          <w:color w:val="222222"/>
          <w:lang w:eastAsia="es-ES_tradnl"/>
        </w:rPr>
        <w:t xml:space="preserve"> y, en última instancia, </w:t>
      </w:r>
      <w:r w:rsidR="00A67AF5">
        <w:rPr>
          <w:rFonts w:ascii="Arial" w:hAnsi="Arial" w:cs="Arial"/>
          <w:color w:val="222222"/>
          <w:lang w:eastAsia="es-ES_tradnl"/>
        </w:rPr>
        <w:t xml:space="preserve">a través de </w:t>
      </w:r>
      <w:r w:rsidR="00D90553">
        <w:rPr>
          <w:rFonts w:ascii="Arial" w:hAnsi="Arial" w:cs="Arial"/>
          <w:color w:val="222222"/>
          <w:lang w:eastAsia="es-ES_tradnl"/>
        </w:rPr>
        <w:t xml:space="preserve">la dependencia </w:t>
      </w:r>
      <w:r w:rsidR="00A67AF5">
        <w:rPr>
          <w:rFonts w:ascii="Arial" w:hAnsi="Arial" w:cs="Arial"/>
          <w:color w:val="222222"/>
          <w:lang w:eastAsia="es-ES_tradnl"/>
        </w:rPr>
        <w:t xml:space="preserve">de todo el sistema y de cada institución que lo integra </w:t>
      </w:r>
      <w:r w:rsidR="00D90553">
        <w:rPr>
          <w:rFonts w:ascii="Arial" w:hAnsi="Arial" w:cs="Arial"/>
          <w:color w:val="222222"/>
          <w:lang w:eastAsia="es-ES_tradnl"/>
        </w:rPr>
        <w:t xml:space="preserve">del financiamiento estatal. </w:t>
      </w:r>
    </w:p>
    <w:p w14:paraId="629107C4" w14:textId="5CB4227C" w:rsidR="00D90553" w:rsidRDefault="00D90553" w:rsidP="00F53D50">
      <w:pPr>
        <w:shd w:val="clear" w:color="auto" w:fill="FFFFFF"/>
        <w:spacing w:before="100" w:beforeAutospacing="1" w:after="100" w:afterAutospacing="1"/>
        <w:rPr>
          <w:rFonts w:ascii="Arial" w:eastAsia="Times New Roman" w:hAnsi="Arial" w:cs="Arial"/>
          <w:color w:val="222222"/>
          <w:lang w:eastAsia="es-ES_tradnl"/>
        </w:rPr>
      </w:pPr>
      <w:r>
        <w:rPr>
          <w:rFonts w:ascii="Arial" w:hAnsi="Arial" w:cs="Arial"/>
          <w:color w:val="222222"/>
          <w:lang w:eastAsia="es-ES_tradnl"/>
        </w:rPr>
        <w:t>Tampoco</w:t>
      </w:r>
      <w:r w:rsidR="00F53D50" w:rsidRPr="009B6D35">
        <w:rPr>
          <w:rFonts w:ascii="Arial" w:hAnsi="Arial" w:cs="Arial"/>
          <w:color w:val="222222"/>
          <w:lang w:eastAsia="es-ES_tradnl"/>
        </w:rPr>
        <w:t xml:space="preserve"> hay </w:t>
      </w:r>
      <w:r w:rsidR="00A67AF5">
        <w:rPr>
          <w:rFonts w:ascii="Arial" w:hAnsi="Arial" w:cs="Arial"/>
          <w:color w:val="222222"/>
          <w:lang w:eastAsia="es-ES_tradnl"/>
        </w:rPr>
        <w:t xml:space="preserve">prevista </w:t>
      </w:r>
      <w:r>
        <w:rPr>
          <w:rFonts w:ascii="Arial" w:hAnsi="Arial" w:cs="Arial"/>
          <w:color w:val="222222"/>
          <w:lang w:eastAsia="es-ES_tradnl"/>
        </w:rPr>
        <w:t xml:space="preserve">una </w:t>
      </w:r>
      <w:proofErr w:type="spellStart"/>
      <w:r w:rsidR="00A67AF5">
        <w:rPr>
          <w:rFonts w:ascii="Arial" w:hAnsi="Arial" w:cs="Arial"/>
          <w:color w:val="222222"/>
          <w:lang w:eastAsia="es-ES_tradnl"/>
        </w:rPr>
        <w:t>adeciuada</w:t>
      </w:r>
      <w:proofErr w:type="spellEnd"/>
      <w:r w:rsidR="00A67AF5">
        <w:rPr>
          <w:rFonts w:ascii="Arial" w:hAnsi="Arial" w:cs="Arial"/>
          <w:color w:val="222222"/>
          <w:lang w:eastAsia="es-ES_tradnl"/>
        </w:rPr>
        <w:t xml:space="preserve"> </w:t>
      </w:r>
      <w:r w:rsidR="00F53D50" w:rsidRPr="009B6D35">
        <w:rPr>
          <w:rFonts w:ascii="Arial" w:hAnsi="Arial" w:cs="Arial"/>
          <w:color w:val="222222"/>
          <w:lang w:eastAsia="es-ES_tradnl"/>
        </w:rPr>
        <w:t xml:space="preserve">coordinación entre </w:t>
      </w:r>
      <w:r>
        <w:rPr>
          <w:rFonts w:ascii="Arial" w:hAnsi="Arial" w:cs="Arial"/>
          <w:color w:val="222222"/>
          <w:lang w:eastAsia="es-ES_tradnl"/>
        </w:rPr>
        <w:t xml:space="preserve">los varios componentes de </w:t>
      </w:r>
      <w:r w:rsidR="00F53D50" w:rsidRPr="009B6D35">
        <w:rPr>
          <w:rFonts w:ascii="Arial" w:hAnsi="Arial" w:cs="Arial"/>
          <w:color w:val="222222"/>
          <w:lang w:eastAsia="es-ES_tradnl"/>
        </w:rPr>
        <w:t>la gobernanza</w:t>
      </w:r>
      <w:r>
        <w:rPr>
          <w:rFonts w:ascii="Arial" w:hAnsi="Arial" w:cs="Arial"/>
          <w:color w:val="222222"/>
          <w:lang w:eastAsia="es-ES_tradnl"/>
        </w:rPr>
        <w:t>, como ministerios, agencias públicas relevantes y los actores del sistema y sus partes interesadas en la sociedad civil. La i</w:t>
      </w:r>
      <w:r w:rsidR="00F53D50" w:rsidRPr="009B6D35">
        <w:rPr>
          <w:rFonts w:ascii="Arial" w:eastAsia="Times New Roman" w:hAnsi="Arial" w:cs="Arial"/>
          <w:color w:val="222222"/>
          <w:lang w:eastAsia="es-ES_tradnl"/>
        </w:rPr>
        <w:t xml:space="preserve">nterlocución </w:t>
      </w:r>
      <w:r>
        <w:rPr>
          <w:rFonts w:ascii="Arial" w:eastAsia="Times New Roman" w:hAnsi="Arial" w:cs="Arial"/>
          <w:color w:val="222222"/>
          <w:lang w:eastAsia="es-ES_tradnl"/>
        </w:rPr>
        <w:t xml:space="preserve">del gobierno </w:t>
      </w:r>
      <w:r w:rsidR="00F53D50" w:rsidRPr="009B6D35">
        <w:rPr>
          <w:rFonts w:ascii="Arial" w:eastAsia="Times New Roman" w:hAnsi="Arial" w:cs="Arial"/>
          <w:color w:val="222222"/>
          <w:lang w:eastAsia="es-ES_tradnl"/>
        </w:rPr>
        <w:t xml:space="preserve">con </w:t>
      </w:r>
      <w:r>
        <w:rPr>
          <w:rFonts w:ascii="Arial" w:eastAsia="Times New Roman" w:hAnsi="Arial" w:cs="Arial"/>
          <w:color w:val="222222"/>
          <w:lang w:eastAsia="es-ES_tradnl"/>
        </w:rPr>
        <w:t xml:space="preserve">las </w:t>
      </w:r>
      <w:r w:rsidR="00F53D50" w:rsidRPr="009B6D35">
        <w:rPr>
          <w:rFonts w:ascii="Arial" w:eastAsia="Times New Roman" w:hAnsi="Arial" w:cs="Arial"/>
          <w:color w:val="222222"/>
          <w:lang w:eastAsia="es-ES_tradnl"/>
        </w:rPr>
        <w:t xml:space="preserve">partes interesadas internas </w:t>
      </w:r>
      <w:r>
        <w:rPr>
          <w:rFonts w:ascii="Arial" w:eastAsia="Times New Roman" w:hAnsi="Arial" w:cs="Arial"/>
          <w:color w:val="222222"/>
          <w:lang w:eastAsia="es-ES_tradnl"/>
        </w:rPr>
        <w:t xml:space="preserve">se mantiene bloqueada a favor del </w:t>
      </w:r>
      <w:r w:rsidR="00F53D50" w:rsidRPr="009B6D35">
        <w:rPr>
          <w:rFonts w:ascii="Arial" w:eastAsia="Times New Roman" w:hAnsi="Arial" w:cs="Arial"/>
          <w:color w:val="222222"/>
          <w:lang w:eastAsia="es-ES_tradnl"/>
        </w:rPr>
        <w:t>CRUCH</w:t>
      </w:r>
      <w:r>
        <w:rPr>
          <w:rFonts w:ascii="Arial" w:eastAsia="Times New Roman" w:hAnsi="Arial" w:cs="Arial"/>
          <w:color w:val="222222"/>
          <w:lang w:eastAsia="es-ES_tradnl"/>
        </w:rPr>
        <w:t>. N</w:t>
      </w:r>
      <w:r w:rsidR="00F53D50" w:rsidRPr="009B6D35">
        <w:rPr>
          <w:rFonts w:ascii="Arial" w:eastAsia="Times New Roman" w:hAnsi="Arial" w:cs="Arial"/>
          <w:color w:val="222222"/>
          <w:lang w:eastAsia="es-ES_tradnl"/>
        </w:rPr>
        <w:t xml:space="preserve">o </w:t>
      </w:r>
      <w:r>
        <w:rPr>
          <w:rFonts w:ascii="Arial" w:eastAsia="Times New Roman" w:hAnsi="Arial" w:cs="Arial"/>
          <w:color w:val="222222"/>
          <w:lang w:eastAsia="es-ES_tradnl"/>
        </w:rPr>
        <w:t xml:space="preserve">se </w:t>
      </w:r>
      <w:r w:rsidR="00F53D50" w:rsidRPr="009B6D35">
        <w:rPr>
          <w:rFonts w:ascii="Arial" w:eastAsia="Times New Roman" w:hAnsi="Arial" w:cs="Arial"/>
          <w:color w:val="222222"/>
          <w:lang w:eastAsia="es-ES_tradnl"/>
        </w:rPr>
        <w:t xml:space="preserve">contempla </w:t>
      </w:r>
      <w:r>
        <w:rPr>
          <w:rFonts w:ascii="Arial" w:eastAsia="Times New Roman" w:hAnsi="Arial" w:cs="Arial"/>
          <w:color w:val="222222"/>
          <w:lang w:eastAsia="es-ES_tradnl"/>
        </w:rPr>
        <w:t xml:space="preserve">la </w:t>
      </w:r>
      <w:r w:rsidR="00F53D50" w:rsidRPr="009B6D35">
        <w:rPr>
          <w:rFonts w:ascii="Arial" w:eastAsia="Times New Roman" w:hAnsi="Arial" w:cs="Arial"/>
          <w:color w:val="222222"/>
          <w:lang w:eastAsia="es-ES_tradnl"/>
        </w:rPr>
        <w:t xml:space="preserve">participación </w:t>
      </w:r>
      <w:r>
        <w:rPr>
          <w:rFonts w:ascii="Arial" w:eastAsia="Times New Roman" w:hAnsi="Arial" w:cs="Arial"/>
          <w:color w:val="222222"/>
          <w:lang w:eastAsia="es-ES_tradnl"/>
        </w:rPr>
        <w:t xml:space="preserve">de partes interesadas externas, </w:t>
      </w:r>
      <w:r w:rsidR="00F53D50" w:rsidRPr="009B6D35">
        <w:rPr>
          <w:rFonts w:ascii="Arial" w:eastAsia="Times New Roman" w:hAnsi="Arial" w:cs="Arial"/>
          <w:color w:val="222222"/>
          <w:lang w:eastAsia="es-ES_tradnl"/>
        </w:rPr>
        <w:t>salvo consultivamente en</w:t>
      </w:r>
      <w:r w:rsidR="00A67AF5">
        <w:rPr>
          <w:rFonts w:ascii="Arial" w:eastAsia="Times New Roman" w:hAnsi="Arial" w:cs="Arial"/>
          <w:color w:val="222222"/>
          <w:lang w:eastAsia="es-ES_tradnl"/>
        </w:rPr>
        <w:t xml:space="preserve"> el</w:t>
      </w:r>
      <w:r w:rsidR="00F53D50" w:rsidRPr="009B6D35">
        <w:rPr>
          <w:rFonts w:ascii="Arial" w:eastAsia="Times New Roman" w:hAnsi="Arial" w:cs="Arial"/>
          <w:color w:val="222222"/>
          <w:lang w:eastAsia="es-ES_tradnl"/>
        </w:rPr>
        <w:t xml:space="preserve"> caso de </w:t>
      </w:r>
      <w:r>
        <w:rPr>
          <w:rFonts w:ascii="Arial" w:eastAsia="Times New Roman" w:hAnsi="Arial" w:cs="Arial"/>
          <w:color w:val="222222"/>
          <w:lang w:eastAsia="es-ES_tradnl"/>
        </w:rPr>
        <w:t xml:space="preserve">las instituciones no-universitarias. </w:t>
      </w:r>
    </w:p>
    <w:p w14:paraId="640ED941" w14:textId="7302420C" w:rsidR="00F53D50" w:rsidRPr="00F53D50" w:rsidRDefault="0053435A" w:rsidP="00F53D50">
      <w:pPr>
        <w:shd w:val="clear" w:color="auto" w:fill="FFFFFF"/>
        <w:spacing w:before="100" w:beforeAutospacing="1" w:after="100" w:afterAutospacing="1"/>
        <w:rPr>
          <w:rFonts w:ascii="Arial" w:hAnsi="Arial" w:cs="Arial"/>
          <w:color w:val="222222"/>
          <w:lang w:eastAsia="es-ES_tradnl"/>
        </w:rPr>
      </w:pPr>
      <w:r>
        <w:rPr>
          <w:rFonts w:ascii="Arial" w:hAnsi="Arial" w:cs="Arial"/>
          <w:color w:val="222222"/>
          <w:lang w:eastAsia="es-ES_tradnl"/>
        </w:rPr>
        <w:t>Por último, n</w:t>
      </w:r>
      <w:r w:rsidR="00F53D50" w:rsidRPr="009B6D35">
        <w:rPr>
          <w:rFonts w:ascii="Arial" w:hAnsi="Arial" w:cs="Arial"/>
          <w:color w:val="222222"/>
          <w:lang w:eastAsia="es-ES_tradnl"/>
        </w:rPr>
        <w:t xml:space="preserve">o hay </w:t>
      </w:r>
      <w:r w:rsidR="00D90553">
        <w:rPr>
          <w:rFonts w:ascii="Arial" w:hAnsi="Arial" w:cs="Arial"/>
          <w:color w:val="222222"/>
          <w:lang w:eastAsia="es-ES_tradnl"/>
        </w:rPr>
        <w:t xml:space="preserve">mención alguna a una </w:t>
      </w:r>
      <w:r w:rsidR="00F53D50" w:rsidRPr="001A719C">
        <w:rPr>
          <w:rFonts w:ascii="Arial" w:hAnsi="Arial" w:cs="Arial"/>
          <w:color w:val="222222"/>
          <w:u w:val="single"/>
          <w:lang w:eastAsia="es-ES_tradnl"/>
        </w:rPr>
        <w:t xml:space="preserve">política </w:t>
      </w:r>
      <w:r w:rsidR="001A719C" w:rsidRPr="001A719C">
        <w:rPr>
          <w:rFonts w:ascii="Arial" w:hAnsi="Arial" w:cs="Arial"/>
          <w:color w:val="222222"/>
          <w:u w:val="single"/>
          <w:lang w:eastAsia="es-ES_tradnl"/>
        </w:rPr>
        <w:t>y</w:t>
      </w:r>
      <w:r w:rsidR="001A719C">
        <w:rPr>
          <w:rFonts w:ascii="Arial" w:hAnsi="Arial" w:cs="Arial"/>
          <w:color w:val="222222"/>
          <w:u w:val="single"/>
          <w:lang w:eastAsia="es-ES_tradnl"/>
        </w:rPr>
        <w:t xml:space="preserve"> una</w:t>
      </w:r>
      <w:r w:rsidR="001A719C" w:rsidRPr="001A719C">
        <w:rPr>
          <w:rFonts w:ascii="Arial" w:hAnsi="Arial" w:cs="Arial"/>
          <w:color w:val="222222"/>
          <w:u w:val="single"/>
          <w:lang w:eastAsia="es-ES_tradnl"/>
        </w:rPr>
        <w:t xml:space="preserve"> estrategia de desarrollo</w:t>
      </w:r>
      <w:r w:rsidR="001A719C">
        <w:rPr>
          <w:rFonts w:ascii="Arial" w:hAnsi="Arial" w:cs="Arial"/>
          <w:color w:val="222222"/>
          <w:lang w:eastAsia="es-ES_tradnl"/>
        </w:rPr>
        <w:t xml:space="preserve"> </w:t>
      </w:r>
      <w:r w:rsidR="00F53D50" w:rsidRPr="009B6D35">
        <w:rPr>
          <w:rFonts w:ascii="Arial" w:hAnsi="Arial" w:cs="Arial"/>
          <w:color w:val="222222"/>
          <w:lang w:eastAsia="es-ES_tradnl"/>
        </w:rPr>
        <w:t xml:space="preserve">(ni </w:t>
      </w:r>
      <w:r w:rsidR="00D90553">
        <w:rPr>
          <w:rFonts w:ascii="Arial" w:hAnsi="Arial" w:cs="Arial"/>
          <w:color w:val="222222"/>
          <w:lang w:eastAsia="es-ES_tradnl"/>
        </w:rPr>
        <w:t xml:space="preserve">los cambios normativos que pudieran necesitarse) </w:t>
      </w:r>
      <w:r w:rsidR="00F53D50" w:rsidRPr="009B6D35">
        <w:rPr>
          <w:rFonts w:ascii="Arial" w:hAnsi="Arial" w:cs="Arial"/>
          <w:color w:val="222222"/>
          <w:lang w:eastAsia="es-ES_tradnl"/>
        </w:rPr>
        <w:t xml:space="preserve">para abordar </w:t>
      </w:r>
      <w:r w:rsidR="001A719C">
        <w:rPr>
          <w:rFonts w:ascii="Arial" w:hAnsi="Arial" w:cs="Arial"/>
          <w:color w:val="222222"/>
          <w:lang w:eastAsia="es-ES_tradnl"/>
        </w:rPr>
        <w:t xml:space="preserve">los </w:t>
      </w:r>
      <w:r w:rsidR="00F53D50" w:rsidRPr="009B6D35">
        <w:rPr>
          <w:rFonts w:ascii="Arial" w:hAnsi="Arial" w:cs="Arial"/>
          <w:color w:val="222222"/>
          <w:lang w:eastAsia="es-ES_tradnl"/>
        </w:rPr>
        <w:t xml:space="preserve">desafíos </w:t>
      </w:r>
      <w:r w:rsidR="001A719C">
        <w:rPr>
          <w:rFonts w:ascii="Arial" w:hAnsi="Arial" w:cs="Arial"/>
          <w:color w:val="222222"/>
          <w:lang w:eastAsia="es-ES_tradnl"/>
        </w:rPr>
        <w:t xml:space="preserve">que el sistema enfrenta durante la primera mitad del siglo XXI: </w:t>
      </w:r>
    </w:p>
    <w:p w14:paraId="3D494565" w14:textId="5A26B4E0" w:rsidR="00F53D50" w:rsidRDefault="001A719C" w:rsidP="001A719C">
      <w:pPr>
        <w:pStyle w:val="Prrafodelista"/>
        <w:numPr>
          <w:ilvl w:val="0"/>
          <w:numId w:val="6"/>
        </w:numPr>
        <w:shd w:val="clear" w:color="auto" w:fill="FFFFFF"/>
        <w:spacing w:before="100" w:beforeAutospacing="1" w:after="100" w:afterAutospacing="1"/>
        <w:rPr>
          <w:rFonts w:ascii="Arial" w:hAnsi="Arial" w:cs="Arial"/>
          <w:color w:val="222222"/>
          <w:lang w:eastAsia="es-ES_tradnl"/>
        </w:rPr>
      </w:pPr>
      <w:r w:rsidRPr="001A719C">
        <w:rPr>
          <w:rFonts w:ascii="Arial" w:hAnsi="Arial" w:cs="Arial"/>
          <w:color w:val="222222"/>
          <w:lang w:eastAsia="es-ES_tradnl"/>
        </w:rPr>
        <w:t>Perspectivas</w:t>
      </w:r>
      <w:r w:rsidR="00F53D50" w:rsidRPr="001A719C">
        <w:rPr>
          <w:rFonts w:ascii="Arial" w:hAnsi="Arial" w:cs="Arial"/>
          <w:color w:val="222222"/>
          <w:lang w:eastAsia="es-ES_tradnl"/>
        </w:rPr>
        <w:t xml:space="preserve"> de </w:t>
      </w:r>
      <w:r w:rsidR="00F53D50" w:rsidRPr="001A719C">
        <w:rPr>
          <w:rFonts w:ascii="Arial" w:hAnsi="Arial" w:cs="Arial"/>
          <w:color w:val="222222"/>
          <w:u w:val="single"/>
          <w:lang w:eastAsia="es-ES_tradnl"/>
        </w:rPr>
        <w:t>desarrollo de la docencia</w:t>
      </w:r>
      <w:r w:rsidRPr="001A719C">
        <w:rPr>
          <w:rFonts w:ascii="Arial" w:hAnsi="Arial" w:cs="Arial"/>
          <w:color w:val="222222"/>
          <w:lang w:eastAsia="es-ES_tradnl"/>
        </w:rPr>
        <w:t>, su arquitectura, homologación con las tendencias internacionales</w:t>
      </w:r>
      <w:r>
        <w:rPr>
          <w:rFonts w:ascii="Arial" w:hAnsi="Arial" w:cs="Arial"/>
          <w:color w:val="222222"/>
          <w:lang w:eastAsia="es-ES_tradnl"/>
        </w:rPr>
        <w:t xml:space="preserve"> a nivel de pregrado y posgrado</w:t>
      </w:r>
      <w:r w:rsidRPr="001A719C">
        <w:rPr>
          <w:rFonts w:ascii="Arial" w:hAnsi="Arial" w:cs="Arial"/>
          <w:color w:val="222222"/>
          <w:lang w:eastAsia="es-ES_tradnl"/>
        </w:rPr>
        <w:t>, el aprendizaje de las competencias claves de este siglo, el uso intensivo de las nuevas tecnologías digitales, etc.</w:t>
      </w:r>
      <w:r>
        <w:rPr>
          <w:rFonts w:ascii="Arial" w:hAnsi="Arial" w:cs="Arial"/>
          <w:color w:val="222222"/>
          <w:lang w:eastAsia="es-ES_tradnl"/>
        </w:rPr>
        <w:t xml:space="preserve"> No hay tampoco una efectiva preocupación por los temas de deserción, titulación oportuna, contención de la espiral de costos docentes, financiamiento de los estudiantes y de las instituciones, administración de la gratuidad focalizada; mejoramiento continuo de los programas; </w:t>
      </w:r>
      <w:r w:rsidR="0053435A">
        <w:rPr>
          <w:rFonts w:ascii="Arial" w:hAnsi="Arial" w:cs="Arial"/>
          <w:color w:val="222222"/>
          <w:lang w:eastAsia="es-ES_tradnl"/>
        </w:rPr>
        <w:t>financiamiento</w:t>
      </w:r>
      <w:r>
        <w:rPr>
          <w:rFonts w:ascii="Arial" w:hAnsi="Arial" w:cs="Arial"/>
          <w:color w:val="222222"/>
          <w:lang w:eastAsia="es-ES_tradnl"/>
        </w:rPr>
        <w:t xml:space="preserve"> del </w:t>
      </w:r>
      <w:r w:rsidR="0053435A">
        <w:rPr>
          <w:rFonts w:ascii="Arial" w:hAnsi="Arial" w:cs="Arial"/>
          <w:color w:val="222222"/>
          <w:lang w:eastAsia="es-ES_tradnl"/>
        </w:rPr>
        <w:t>esquema</w:t>
      </w:r>
      <w:r>
        <w:rPr>
          <w:rFonts w:ascii="Arial" w:hAnsi="Arial" w:cs="Arial"/>
          <w:color w:val="222222"/>
          <w:lang w:eastAsia="es-ES_tradnl"/>
        </w:rPr>
        <w:t xml:space="preserve"> de becas y créditos, etc.  </w:t>
      </w:r>
    </w:p>
    <w:p w14:paraId="586A2DF5" w14:textId="42BAFBB8" w:rsidR="001A719C" w:rsidRDefault="001A719C" w:rsidP="001A719C">
      <w:pPr>
        <w:pStyle w:val="Prrafodelista"/>
        <w:numPr>
          <w:ilvl w:val="0"/>
          <w:numId w:val="6"/>
        </w:numPr>
        <w:shd w:val="clear" w:color="auto" w:fill="FFFFFF"/>
        <w:spacing w:before="100" w:beforeAutospacing="1" w:after="100" w:afterAutospacing="1"/>
        <w:rPr>
          <w:rFonts w:ascii="Arial" w:hAnsi="Arial" w:cs="Arial"/>
          <w:color w:val="222222"/>
          <w:lang w:eastAsia="es-ES_tradnl"/>
        </w:rPr>
      </w:pPr>
      <w:r>
        <w:rPr>
          <w:rFonts w:ascii="Arial" w:hAnsi="Arial" w:cs="Arial"/>
          <w:color w:val="222222"/>
          <w:lang w:eastAsia="es-ES_tradnl"/>
        </w:rPr>
        <w:t xml:space="preserve">La </w:t>
      </w:r>
      <w:r w:rsidRPr="0053435A">
        <w:rPr>
          <w:rFonts w:ascii="Arial" w:hAnsi="Arial" w:cs="Arial"/>
          <w:color w:val="222222"/>
          <w:u w:val="single"/>
          <w:lang w:eastAsia="es-ES_tradnl"/>
        </w:rPr>
        <w:t>investigación</w:t>
      </w:r>
      <w:r>
        <w:rPr>
          <w:rFonts w:ascii="Arial" w:hAnsi="Arial" w:cs="Arial"/>
          <w:color w:val="222222"/>
          <w:lang w:eastAsia="es-ES_tradnl"/>
        </w:rPr>
        <w:t xml:space="preserve"> en los diferentes campos del saber y las áreas </w:t>
      </w:r>
      <w:proofErr w:type="spellStart"/>
      <w:r>
        <w:rPr>
          <w:rFonts w:ascii="Arial" w:hAnsi="Arial" w:cs="Arial"/>
          <w:color w:val="222222"/>
          <w:lang w:eastAsia="es-ES_tradnl"/>
        </w:rPr>
        <w:t>interdisciplarias</w:t>
      </w:r>
      <w:proofErr w:type="spellEnd"/>
      <w:r>
        <w:rPr>
          <w:rFonts w:ascii="Arial" w:hAnsi="Arial" w:cs="Arial"/>
          <w:color w:val="222222"/>
          <w:lang w:eastAsia="es-ES_tradnl"/>
        </w:rPr>
        <w:t xml:space="preserve"> de especial interés para Chile; concentración o dispersión; cómo combinar las dimensiones global-nacional-locales; el financiamiento de I&amp;D; los nuevos modos de producción de </w:t>
      </w:r>
      <w:r w:rsidR="009F132B">
        <w:rPr>
          <w:rFonts w:ascii="Arial" w:hAnsi="Arial" w:cs="Arial"/>
          <w:color w:val="222222"/>
          <w:lang w:eastAsia="es-ES_tradnl"/>
        </w:rPr>
        <w:t>conocimiento</w:t>
      </w:r>
      <w:r>
        <w:rPr>
          <w:rFonts w:ascii="Arial" w:hAnsi="Arial" w:cs="Arial"/>
          <w:color w:val="222222"/>
          <w:lang w:eastAsia="es-ES_tradnl"/>
        </w:rPr>
        <w:t xml:space="preserve">; la </w:t>
      </w:r>
      <w:r w:rsidR="009F132B">
        <w:rPr>
          <w:rFonts w:ascii="Arial" w:hAnsi="Arial" w:cs="Arial"/>
          <w:color w:val="222222"/>
          <w:lang w:eastAsia="es-ES_tradnl"/>
        </w:rPr>
        <w:t>triple</w:t>
      </w:r>
      <w:r>
        <w:rPr>
          <w:rFonts w:ascii="Arial" w:hAnsi="Arial" w:cs="Arial"/>
          <w:color w:val="222222"/>
          <w:lang w:eastAsia="es-ES_tradnl"/>
        </w:rPr>
        <w:t xml:space="preserve"> </w:t>
      </w:r>
      <w:r w:rsidR="009F132B">
        <w:rPr>
          <w:rFonts w:ascii="Arial" w:hAnsi="Arial" w:cs="Arial"/>
          <w:color w:val="222222"/>
          <w:lang w:eastAsia="es-ES_tradnl"/>
        </w:rPr>
        <w:t>hélice</w:t>
      </w:r>
      <w:r>
        <w:rPr>
          <w:rFonts w:ascii="Arial" w:hAnsi="Arial" w:cs="Arial"/>
          <w:color w:val="222222"/>
          <w:lang w:eastAsia="es-ES_tradnl"/>
        </w:rPr>
        <w:t xml:space="preserve"> entre universidades, empresas y gobierno, </w:t>
      </w:r>
      <w:proofErr w:type="spellStart"/>
      <w:r>
        <w:rPr>
          <w:rFonts w:ascii="Arial" w:hAnsi="Arial" w:cs="Arial"/>
          <w:color w:val="222222"/>
          <w:lang w:eastAsia="es-ES_tradnl"/>
        </w:rPr>
        <w:t>etc</w:t>
      </w:r>
      <w:proofErr w:type="spellEnd"/>
      <w:r>
        <w:rPr>
          <w:rFonts w:ascii="Arial" w:hAnsi="Arial" w:cs="Arial"/>
          <w:color w:val="222222"/>
          <w:lang w:eastAsia="es-ES_tradnl"/>
        </w:rPr>
        <w:t xml:space="preserve">; vinculación con el desarrollo </w:t>
      </w:r>
      <w:r w:rsidR="009F132B">
        <w:rPr>
          <w:rFonts w:ascii="Arial" w:hAnsi="Arial" w:cs="Arial"/>
          <w:color w:val="222222"/>
          <w:lang w:eastAsia="es-ES_tradnl"/>
        </w:rPr>
        <w:t>regional</w:t>
      </w:r>
      <w:r>
        <w:rPr>
          <w:rFonts w:ascii="Arial" w:hAnsi="Arial" w:cs="Arial"/>
          <w:color w:val="222222"/>
          <w:lang w:eastAsia="es-ES_tradnl"/>
        </w:rPr>
        <w:t xml:space="preserve"> y las </w:t>
      </w:r>
      <w:r w:rsidR="009F132B">
        <w:rPr>
          <w:rFonts w:ascii="Arial" w:hAnsi="Arial" w:cs="Arial"/>
          <w:color w:val="222222"/>
          <w:lang w:eastAsia="es-ES_tradnl"/>
        </w:rPr>
        <w:t>comunidades</w:t>
      </w:r>
      <w:r>
        <w:rPr>
          <w:rFonts w:ascii="Arial" w:hAnsi="Arial" w:cs="Arial"/>
          <w:color w:val="222222"/>
          <w:lang w:eastAsia="es-ES_tradnl"/>
        </w:rPr>
        <w:t>.</w:t>
      </w:r>
    </w:p>
    <w:p w14:paraId="671C7134" w14:textId="1B3F13F2" w:rsidR="001A719C" w:rsidRPr="001A719C" w:rsidRDefault="001A719C" w:rsidP="001A719C">
      <w:pPr>
        <w:pStyle w:val="Prrafodelista"/>
        <w:numPr>
          <w:ilvl w:val="0"/>
          <w:numId w:val="6"/>
        </w:numPr>
        <w:shd w:val="clear" w:color="auto" w:fill="FFFFFF"/>
        <w:spacing w:before="100" w:beforeAutospacing="1" w:after="100" w:afterAutospacing="1"/>
        <w:rPr>
          <w:rFonts w:ascii="Arial" w:hAnsi="Arial" w:cs="Arial"/>
          <w:color w:val="222222"/>
          <w:lang w:eastAsia="es-ES_tradnl"/>
        </w:rPr>
      </w:pPr>
      <w:r w:rsidRPr="0053435A">
        <w:rPr>
          <w:rFonts w:ascii="Arial" w:hAnsi="Arial" w:cs="Arial"/>
          <w:color w:val="222222"/>
          <w:u w:val="single"/>
          <w:lang w:eastAsia="es-ES_tradnl"/>
        </w:rPr>
        <w:t>Gobierno de las instituciones</w:t>
      </w:r>
      <w:r>
        <w:rPr>
          <w:rFonts w:ascii="Arial" w:hAnsi="Arial" w:cs="Arial"/>
          <w:color w:val="222222"/>
          <w:lang w:eastAsia="es-ES_tradnl"/>
        </w:rPr>
        <w:t xml:space="preserve">. Hay escasa reflexión sobre esto, como ha quedado claro </w:t>
      </w:r>
      <w:r w:rsidR="0053435A">
        <w:rPr>
          <w:rFonts w:ascii="Arial" w:hAnsi="Arial" w:cs="Arial"/>
          <w:color w:val="222222"/>
          <w:lang w:eastAsia="es-ES_tradnl"/>
        </w:rPr>
        <w:t>con</w:t>
      </w:r>
      <w:r>
        <w:rPr>
          <w:rFonts w:ascii="Arial" w:hAnsi="Arial" w:cs="Arial"/>
          <w:color w:val="222222"/>
          <w:lang w:eastAsia="es-ES_tradnl"/>
        </w:rPr>
        <w:t xml:space="preserve"> la discusión sobre </w:t>
      </w:r>
      <w:r w:rsidR="009F132B">
        <w:rPr>
          <w:rFonts w:ascii="Arial" w:hAnsi="Arial" w:cs="Arial"/>
          <w:color w:val="222222"/>
          <w:lang w:eastAsia="es-ES_tradnl"/>
        </w:rPr>
        <w:t xml:space="preserve">el gobierno de las universidades estatales, </w:t>
      </w:r>
      <w:r w:rsidR="0053435A">
        <w:rPr>
          <w:rFonts w:ascii="Arial" w:hAnsi="Arial" w:cs="Arial"/>
          <w:color w:val="222222"/>
          <w:lang w:eastAsia="es-ES_tradnl"/>
        </w:rPr>
        <w:t xml:space="preserve">asunto </w:t>
      </w:r>
      <w:r w:rsidR="009F132B">
        <w:rPr>
          <w:rFonts w:ascii="Arial" w:hAnsi="Arial" w:cs="Arial"/>
          <w:color w:val="222222"/>
          <w:lang w:eastAsia="es-ES_tradnl"/>
        </w:rPr>
        <w:t xml:space="preserve">que ahora se trata </w:t>
      </w:r>
      <w:r w:rsidR="0053435A">
        <w:rPr>
          <w:rFonts w:ascii="Arial" w:hAnsi="Arial" w:cs="Arial"/>
          <w:color w:val="222222"/>
          <w:lang w:eastAsia="es-ES_tradnl"/>
        </w:rPr>
        <w:t xml:space="preserve">separadamente </w:t>
      </w:r>
      <w:r w:rsidR="009F132B">
        <w:rPr>
          <w:rFonts w:ascii="Arial" w:hAnsi="Arial" w:cs="Arial"/>
          <w:color w:val="222222"/>
          <w:lang w:eastAsia="es-ES_tradnl"/>
        </w:rPr>
        <w:t xml:space="preserve">en otro proyecto de ley. No nos </w:t>
      </w:r>
      <w:r w:rsidR="0053435A">
        <w:rPr>
          <w:rFonts w:ascii="Arial" w:hAnsi="Arial" w:cs="Arial"/>
          <w:color w:val="222222"/>
          <w:lang w:eastAsia="es-ES_tradnl"/>
        </w:rPr>
        <w:t xml:space="preserve">formulamos </w:t>
      </w:r>
      <w:proofErr w:type="spellStart"/>
      <w:r w:rsidR="0053435A">
        <w:rPr>
          <w:rFonts w:ascii="Arial" w:hAnsi="Arial" w:cs="Arial"/>
          <w:color w:val="222222"/>
          <w:lang w:eastAsia="es-ES_tradnl"/>
        </w:rPr>
        <w:t>una</w:t>
      </w:r>
      <w:r w:rsidR="009F132B">
        <w:rPr>
          <w:rFonts w:ascii="Arial" w:hAnsi="Arial" w:cs="Arial"/>
          <w:color w:val="222222"/>
          <w:lang w:eastAsia="es-ES_tradnl"/>
        </w:rPr>
        <w:t>pregunta</w:t>
      </w:r>
      <w:proofErr w:type="spellEnd"/>
      <w:r w:rsidR="009F132B">
        <w:rPr>
          <w:rFonts w:ascii="Arial" w:hAnsi="Arial" w:cs="Arial"/>
          <w:color w:val="222222"/>
          <w:lang w:eastAsia="es-ES_tradnl"/>
        </w:rPr>
        <w:t xml:space="preserve"> clave, cual es, ¿cómo han de </w:t>
      </w:r>
      <w:r w:rsidR="009F132B">
        <w:rPr>
          <w:rFonts w:ascii="Arial" w:hAnsi="Arial" w:cs="Arial"/>
          <w:color w:val="222222"/>
          <w:lang w:eastAsia="es-ES_tradnl"/>
        </w:rPr>
        <w:lastRenderedPageBreak/>
        <w:t>organizarse gobiernos de universidades que posean a la vez legitimidad académica, eficacia de conducción y liderazgo de cambio?</w:t>
      </w:r>
    </w:p>
    <w:p w14:paraId="0DBFBF96" w14:textId="635618C7" w:rsidR="009F132B" w:rsidRPr="009971DC" w:rsidRDefault="009971DC">
      <w:pPr>
        <w:rPr>
          <w:rFonts w:ascii="Arial" w:hAnsi="Arial" w:cs="Arial"/>
          <w:color w:val="222222"/>
          <w:lang w:eastAsia="es-ES_tradnl"/>
        </w:rPr>
      </w:pPr>
      <w:r w:rsidRPr="009971DC">
        <w:rPr>
          <w:rFonts w:ascii="Arial" w:hAnsi="Arial" w:cs="Arial"/>
          <w:color w:val="222222"/>
          <w:lang w:eastAsia="es-ES_tradnl"/>
        </w:rPr>
        <w:t>Santiago de Chile, 11 de septiembre de 2017.-</w:t>
      </w:r>
      <w:r w:rsidR="009F132B" w:rsidRPr="009971DC">
        <w:rPr>
          <w:rFonts w:ascii="Arial" w:hAnsi="Arial" w:cs="Arial"/>
          <w:color w:val="222222"/>
          <w:lang w:eastAsia="es-ES_tradnl"/>
        </w:rPr>
        <w:br w:type="page"/>
      </w:r>
    </w:p>
    <w:p w14:paraId="6201F5AA" w14:textId="003A5BDE" w:rsidR="009F132B" w:rsidRPr="009F132B" w:rsidRDefault="009F132B">
      <w:pPr>
        <w:rPr>
          <w:rFonts w:ascii="Arial" w:hAnsi="Arial" w:cs="Arial"/>
          <w:color w:val="222222"/>
          <w:lang w:eastAsia="es-ES_tradnl"/>
        </w:rPr>
      </w:pPr>
      <w:r w:rsidRPr="009F132B">
        <w:rPr>
          <w:rFonts w:ascii="Arial" w:hAnsi="Arial" w:cs="Arial"/>
          <w:color w:val="222222"/>
          <w:lang w:eastAsia="es-ES_tradnl"/>
        </w:rPr>
        <w:lastRenderedPageBreak/>
        <w:t>ANEXO</w:t>
      </w:r>
    </w:p>
    <w:p w14:paraId="5A43A0F0" w14:textId="77777777" w:rsidR="00BE15C0" w:rsidRDefault="00BE15C0">
      <w:pPr>
        <w:rPr>
          <w:rFonts w:ascii="Arial" w:hAnsi="Arial" w:cs="Arial"/>
          <w:color w:val="222222"/>
          <w:sz w:val="19"/>
          <w:szCs w:val="19"/>
          <w:lang w:eastAsia="es-ES_tradnl"/>
        </w:rPr>
      </w:pPr>
    </w:p>
    <w:p w14:paraId="6F81FA21" w14:textId="77777777" w:rsidR="00BE15C0" w:rsidRPr="006B76B1" w:rsidRDefault="00BE15C0">
      <w:pPr>
        <w:rPr>
          <w:rFonts w:ascii="Arial" w:hAnsi="Arial" w:cs="Arial"/>
          <w:color w:val="222222"/>
          <w:lang w:eastAsia="es-ES_tradnl"/>
        </w:rPr>
      </w:pPr>
      <w:r w:rsidRPr="006B76B1">
        <w:rPr>
          <w:rFonts w:ascii="Arial" w:hAnsi="Arial" w:cs="Arial"/>
          <w:color w:val="222222"/>
          <w:lang w:eastAsia="es-ES_tradnl"/>
        </w:rPr>
        <w:t>Tabla 1</w:t>
      </w:r>
    </w:p>
    <w:p w14:paraId="487AB1C1" w14:textId="39463532" w:rsidR="006B76B1" w:rsidRDefault="0021721B">
      <w:pPr>
        <w:rPr>
          <w:rFonts w:ascii="Arial" w:hAnsi="Arial" w:cs="Arial"/>
          <w:color w:val="222222"/>
          <w:sz w:val="19"/>
          <w:szCs w:val="19"/>
          <w:lang w:eastAsia="es-ES_tradnl"/>
        </w:rPr>
      </w:pPr>
      <w:r>
        <w:rPr>
          <w:rFonts w:ascii="Arial" w:hAnsi="Arial" w:cs="Arial"/>
          <w:noProof/>
          <w:color w:val="222222"/>
          <w:sz w:val="19"/>
          <w:szCs w:val="19"/>
          <w:lang w:val="es-CL" w:eastAsia="es-CL"/>
        </w:rPr>
        <w:drawing>
          <wp:inline distT="0" distB="0" distL="0" distR="0" wp14:anchorId="55737F60" wp14:editId="4403E751">
            <wp:extent cx="5612130" cy="41910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7-09-11 a la(s) 10.51.12.png"/>
                    <pic:cNvPicPr/>
                  </pic:nvPicPr>
                  <pic:blipFill>
                    <a:blip r:embed="rId9">
                      <a:extLst>
                        <a:ext uri="{28A0092B-C50C-407E-A947-70E740481C1C}">
                          <a14:useLocalDpi xmlns:a14="http://schemas.microsoft.com/office/drawing/2010/main" val="0"/>
                        </a:ext>
                      </a:extLst>
                    </a:blip>
                    <a:stretch>
                      <a:fillRect/>
                    </a:stretch>
                  </pic:blipFill>
                  <pic:spPr>
                    <a:xfrm>
                      <a:off x="0" y="0"/>
                      <a:ext cx="5612130" cy="4191000"/>
                    </a:xfrm>
                    <a:prstGeom prst="rect">
                      <a:avLst/>
                    </a:prstGeom>
                  </pic:spPr>
                </pic:pic>
              </a:graphicData>
            </a:graphic>
          </wp:inline>
        </w:drawing>
      </w:r>
    </w:p>
    <w:p w14:paraId="3A480BE0" w14:textId="77777777" w:rsidR="006B76B1" w:rsidRDefault="006B76B1">
      <w:pPr>
        <w:rPr>
          <w:rFonts w:ascii="Arial" w:hAnsi="Arial" w:cs="Arial"/>
          <w:color w:val="222222"/>
          <w:sz w:val="19"/>
          <w:szCs w:val="19"/>
          <w:lang w:eastAsia="es-ES_tradnl"/>
        </w:rPr>
      </w:pPr>
      <w:r>
        <w:rPr>
          <w:rFonts w:ascii="Arial" w:hAnsi="Arial" w:cs="Arial"/>
          <w:color w:val="222222"/>
          <w:sz w:val="19"/>
          <w:szCs w:val="19"/>
          <w:lang w:eastAsia="es-ES_tradnl"/>
        </w:rPr>
        <w:t xml:space="preserve">Fuente: Elaboración propia sobre la base de Brunner y Miranda, 2017; OECD, </w:t>
      </w:r>
      <w:proofErr w:type="spellStart"/>
      <w:r>
        <w:rPr>
          <w:rFonts w:ascii="Arial" w:hAnsi="Arial" w:cs="Arial"/>
          <w:color w:val="222222"/>
          <w:sz w:val="19"/>
          <w:szCs w:val="19"/>
          <w:lang w:eastAsia="es-ES_tradnl"/>
        </w:rPr>
        <w:t>Education</w:t>
      </w:r>
      <w:proofErr w:type="spellEnd"/>
      <w:r>
        <w:rPr>
          <w:rFonts w:ascii="Arial" w:hAnsi="Arial" w:cs="Arial"/>
          <w:color w:val="222222"/>
          <w:sz w:val="19"/>
          <w:szCs w:val="19"/>
          <w:lang w:eastAsia="es-ES_tradnl"/>
        </w:rPr>
        <w:t xml:space="preserve"> at a </w:t>
      </w:r>
      <w:proofErr w:type="spellStart"/>
      <w:r>
        <w:rPr>
          <w:rFonts w:ascii="Arial" w:hAnsi="Arial" w:cs="Arial"/>
          <w:color w:val="222222"/>
          <w:sz w:val="19"/>
          <w:szCs w:val="19"/>
          <w:lang w:eastAsia="es-ES_tradnl"/>
        </w:rPr>
        <w:t>Glance</w:t>
      </w:r>
      <w:proofErr w:type="spellEnd"/>
      <w:r>
        <w:rPr>
          <w:rFonts w:ascii="Arial" w:hAnsi="Arial" w:cs="Arial"/>
          <w:color w:val="222222"/>
          <w:sz w:val="19"/>
          <w:szCs w:val="19"/>
          <w:lang w:eastAsia="es-ES_tradnl"/>
        </w:rPr>
        <w:t xml:space="preserve"> 2016; UIS, Data Center, 2017. </w:t>
      </w:r>
    </w:p>
    <w:p w14:paraId="649FF118" w14:textId="77777777" w:rsidR="006B76B1" w:rsidRDefault="006B76B1">
      <w:pPr>
        <w:rPr>
          <w:rFonts w:ascii="Arial" w:hAnsi="Arial" w:cs="Arial"/>
          <w:color w:val="222222"/>
          <w:sz w:val="19"/>
          <w:szCs w:val="19"/>
          <w:lang w:eastAsia="es-ES_tradnl"/>
        </w:rPr>
      </w:pPr>
    </w:p>
    <w:p w14:paraId="66F10447" w14:textId="77777777" w:rsidR="006B76B1" w:rsidRPr="006B76B1" w:rsidRDefault="006B76B1">
      <w:pPr>
        <w:rPr>
          <w:rFonts w:ascii="Arial" w:hAnsi="Arial" w:cs="Arial"/>
          <w:color w:val="222222"/>
          <w:lang w:eastAsia="es-ES_tradnl"/>
        </w:rPr>
      </w:pPr>
      <w:r w:rsidRPr="006B76B1">
        <w:rPr>
          <w:rFonts w:ascii="Arial" w:hAnsi="Arial" w:cs="Arial"/>
          <w:color w:val="222222"/>
          <w:lang w:eastAsia="es-ES_tradnl"/>
        </w:rPr>
        <w:t>Tabla 2</w:t>
      </w:r>
    </w:p>
    <w:tbl>
      <w:tblPr>
        <w:tblStyle w:val="GridTable1LightAccent5"/>
        <w:tblW w:w="6613" w:type="dxa"/>
        <w:jc w:val="center"/>
        <w:tblLook w:val="04A0" w:firstRow="1" w:lastRow="0" w:firstColumn="1" w:lastColumn="0" w:noHBand="0" w:noVBand="1"/>
      </w:tblPr>
      <w:tblGrid>
        <w:gridCol w:w="4013"/>
        <w:gridCol w:w="1300"/>
        <w:gridCol w:w="1300"/>
      </w:tblGrid>
      <w:tr w:rsidR="005A06E1" w:rsidRPr="00961C08" w14:paraId="4A7C4CF7" w14:textId="77777777" w:rsidTr="00E16A6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1BE70EEA" w14:textId="77777777" w:rsidR="005A06E1" w:rsidRPr="00961C08" w:rsidRDefault="005A06E1" w:rsidP="00E16A66">
            <w:pPr>
              <w:rPr>
                <w:rFonts w:ascii="Arial" w:eastAsia="Times New Roman" w:hAnsi="Arial" w:cs="Arial"/>
                <w:b w:val="0"/>
                <w:color w:val="222222"/>
                <w:sz w:val="21"/>
                <w:szCs w:val="21"/>
                <w:lang w:eastAsia="es-ES_tradnl"/>
              </w:rPr>
            </w:pPr>
            <w:r w:rsidRPr="00961C08">
              <w:rPr>
                <w:rFonts w:ascii="Arial" w:eastAsia="Times New Roman" w:hAnsi="Arial" w:cs="Arial"/>
                <w:b w:val="0"/>
                <w:color w:val="222222"/>
                <w:sz w:val="21"/>
                <w:szCs w:val="21"/>
                <w:lang w:eastAsia="es-ES_tradnl"/>
              </w:rPr>
              <w:t>Área</w:t>
            </w:r>
          </w:p>
        </w:tc>
        <w:tc>
          <w:tcPr>
            <w:tcW w:w="1300" w:type="dxa"/>
            <w:noWrap/>
            <w:hideMark/>
          </w:tcPr>
          <w:p w14:paraId="0A33D89D" w14:textId="77777777" w:rsidR="005A06E1" w:rsidRPr="00961C08" w:rsidRDefault="005A06E1" w:rsidP="00E16A6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lang w:eastAsia="es-ES_tradnl"/>
              </w:rPr>
            </w:pPr>
            <w:r w:rsidRPr="00961C08">
              <w:rPr>
                <w:rFonts w:ascii="Arial" w:eastAsia="Times New Roman" w:hAnsi="Arial" w:cs="Arial"/>
                <w:b w:val="0"/>
                <w:color w:val="000000"/>
                <w:sz w:val="21"/>
                <w:szCs w:val="21"/>
                <w:lang w:eastAsia="es-ES_tradnl"/>
              </w:rPr>
              <w:t>Chile</w:t>
            </w:r>
          </w:p>
        </w:tc>
        <w:tc>
          <w:tcPr>
            <w:tcW w:w="1300" w:type="dxa"/>
            <w:noWrap/>
            <w:hideMark/>
          </w:tcPr>
          <w:p w14:paraId="0209BBF5" w14:textId="77777777" w:rsidR="005A06E1" w:rsidRPr="00961C08" w:rsidRDefault="005A06E1" w:rsidP="00E16A6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lang w:eastAsia="es-ES_tradnl"/>
              </w:rPr>
            </w:pPr>
            <w:r w:rsidRPr="00961C08">
              <w:rPr>
                <w:rFonts w:ascii="Arial" w:eastAsia="Times New Roman" w:hAnsi="Arial" w:cs="Arial"/>
                <w:b w:val="0"/>
                <w:color w:val="000000"/>
                <w:sz w:val="21"/>
                <w:szCs w:val="21"/>
                <w:lang w:eastAsia="es-ES_tradnl"/>
              </w:rPr>
              <w:t>OCDE</w:t>
            </w:r>
          </w:p>
        </w:tc>
      </w:tr>
      <w:tr w:rsidR="005A06E1" w:rsidRPr="00961C08" w14:paraId="583E56ED" w14:textId="77777777" w:rsidTr="00E16A66">
        <w:trPr>
          <w:trHeight w:val="320"/>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1DA18AF5" w14:textId="77777777" w:rsidR="005A06E1" w:rsidRPr="00961C08" w:rsidRDefault="005A06E1" w:rsidP="00E16A66">
            <w:pPr>
              <w:rPr>
                <w:rFonts w:ascii="Arial" w:eastAsia="Times New Roman" w:hAnsi="Arial" w:cs="Arial"/>
                <w:b w:val="0"/>
                <w:color w:val="222222"/>
                <w:sz w:val="21"/>
                <w:szCs w:val="21"/>
                <w:lang w:val="es-ES" w:eastAsia="es-ES_tradnl"/>
              </w:rPr>
            </w:pPr>
            <w:r w:rsidRPr="00961C08">
              <w:rPr>
                <w:rFonts w:ascii="Arial" w:eastAsia="Times New Roman" w:hAnsi="Arial" w:cs="Arial"/>
                <w:b w:val="0"/>
                <w:color w:val="222222"/>
                <w:sz w:val="21"/>
                <w:szCs w:val="21"/>
                <w:lang w:val="es-ES" w:eastAsia="es-ES_tradnl"/>
              </w:rPr>
              <w:t>Pedagogía y educación</w:t>
            </w:r>
          </w:p>
        </w:tc>
        <w:tc>
          <w:tcPr>
            <w:tcW w:w="1300" w:type="dxa"/>
            <w:noWrap/>
            <w:hideMark/>
          </w:tcPr>
          <w:p w14:paraId="595CA0B6"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92</w:t>
            </w:r>
          </w:p>
        </w:tc>
        <w:tc>
          <w:tcPr>
            <w:tcW w:w="1300" w:type="dxa"/>
            <w:noWrap/>
            <w:hideMark/>
          </w:tcPr>
          <w:p w14:paraId="518E3970"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82</w:t>
            </w:r>
          </w:p>
        </w:tc>
      </w:tr>
      <w:tr w:rsidR="005A06E1" w:rsidRPr="00961C08" w14:paraId="67CA59F5" w14:textId="77777777" w:rsidTr="00E16A66">
        <w:trPr>
          <w:trHeight w:val="361"/>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6A99A8BF" w14:textId="77777777" w:rsidR="005A06E1" w:rsidRPr="00961C08" w:rsidRDefault="005A06E1" w:rsidP="00E16A66">
            <w:pPr>
              <w:rPr>
                <w:rFonts w:ascii="Arial" w:eastAsia="Times New Roman" w:hAnsi="Arial" w:cs="Arial"/>
                <w:b w:val="0"/>
                <w:color w:val="222222"/>
                <w:sz w:val="21"/>
                <w:szCs w:val="21"/>
                <w:lang w:val="es-ES" w:eastAsia="es-ES_tradnl"/>
              </w:rPr>
            </w:pPr>
            <w:r w:rsidRPr="00961C08">
              <w:rPr>
                <w:rFonts w:ascii="Arial" w:eastAsia="Times New Roman" w:hAnsi="Arial" w:cs="Arial"/>
                <w:b w:val="0"/>
                <w:color w:val="222222"/>
                <w:sz w:val="21"/>
                <w:szCs w:val="21"/>
                <w:lang w:val="es-ES" w:eastAsia="es-ES_tradnl"/>
              </w:rPr>
              <w:t>Humanidades, lenguaje y artes</w:t>
            </w:r>
          </w:p>
        </w:tc>
        <w:tc>
          <w:tcPr>
            <w:tcW w:w="1300" w:type="dxa"/>
            <w:noWrap/>
            <w:hideMark/>
          </w:tcPr>
          <w:p w14:paraId="23EBA1BF"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81</w:t>
            </w:r>
          </w:p>
        </w:tc>
        <w:tc>
          <w:tcPr>
            <w:tcW w:w="1300" w:type="dxa"/>
            <w:noWrap/>
            <w:hideMark/>
          </w:tcPr>
          <w:p w14:paraId="21A8E79E"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82</w:t>
            </w:r>
          </w:p>
        </w:tc>
      </w:tr>
      <w:tr w:rsidR="005A06E1" w:rsidRPr="00961C08" w14:paraId="0B2189F3" w14:textId="77777777" w:rsidTr="00E16A66">
        <w:trPr>
          <w:trHeight w:val="320"/>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58EA09BB" w14:textId="77777777" w:rsidR="005A06E1" w:rsidRPr="00961C08" w:rsidRDefault="005A06E1" w:rsidP="00E16A66">
            <w:pPr>
              <w:rPr>
                <w:rFonts w:ascii="Arial" w:eastAsia="Times New Roman" w:hAnsi="Arial" w:cs="Arial"/>
                <w:b w:val="0"/>
                <w:color w:val="222222"/>
                <w:sz w:val="21"/>
                <w:szCs w:val="21"/>
                <w:lang w:val="es-ES" w:eastAsia="es-ES_tradnl"/>
              </w:rPr>
            </w:pPr>
            <w:r w:rsidRPr="005A06E1">
              <w:rPr>
                <w:rFonts w:ascii="Arial" w:eastAsia="Times New Roman" w:hAnsi="Arial" w:cs="Arial"/>
                <w:b w:val="0"/>
                <w:color w:val="222222"/>
                <w:sz w:val="21"/>
                <w:szCs w:val="21"/>
                <w:lang w:val="es-ES" w:eastAsia="es-ES_tradnl"/>
              </w:rPr>
              <w:t>Ciencias</w:t>
            </w:r>
            <w:r w:rsidRPr="00961C08">
              <w:rPr>
                <w:rFonts w:ascii="Arial" w:eastAsia="Times New Roman" w:hAnsi="Arial" w:cs="Arial"/>
                <w:b w:val="0"/>
                <w:color w:val="222222"/>
                <w:sz w:val="21"/>
                <w:szCs w:val="21"/>
                <w:lang w:val="es-ES" w:eastAsia="es-ES_tradnl"/>
              </w:rPr>
              <w:t xml:space="preserve"> sociales, negocios y derecho</w:t>
            </w:r>
          </w:p>
        </w:tc>
        <w:tc>
          <w:tcPr>
            <w:tcW w:w="1300" w:type="dxa"/>
            <w:noWrap/>
            <w:hideMark/>
          </w:tcPr>
          <w:p w14:paraId="25844332"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92</w:t>
            </w:r>
          </w:p>
        </w:tc>
        <w:tc>
          <w:tcPr>
            <w:tcW w:w="1300" w:type="dxa"/>
            <w:noWrap/>
            <w:hideMark/>
          </w:tcPr>
          <w:p w14:paraId="5E129D18"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86</w:t>
            </w:r>
          </w:p>
        </w:tc>
      </w:tr>
      <w:tr w:rsidR="005A06E1" w:rsidRPr="00961C08" w14:paraId="49623E4A" w14:textId="77777777" w:rsidTr="00E16A66">
        <w:trPr>
          <w:trHeight w:val="320"/>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20B5D5CB" w14:textId="77777777" w:rsidR="005A06E1" w:rsidRPr="00961C08" w:rsidRDefault="005A06E1" w:rsidP="00E16A66">
            <w:pPr>
              <w:rPr>
                <w:rFonts w:ascii="Arial" w:eastAsia="Times New Roman" w:hAnsi="Arial" w:cs="Arial"/>
                <w:b w:val="0"/>
                <w:color w:val="222222"/>
                <w:sz w:val="21"/>
                <w:szCs w:val="21"/>
                <w:lang w:val="es-ES" w:eastAsia="es-ES_tradnl"/>
              </w:rPr>
            </w:pPr>
            <w:r w:rsidRPr="00961C08">
              <w:rPr>
                <w:rFonts w:ascii="Arial" w:eastAsia="Times New Roman" w:hAnsi="Arial" w:cs="Arial"/>
                <w:b w:val="0"/>
                <w:color w:val="222222"/>
                <w:sz w:val="21"/>
                <w:szCs w:val="21"/>
                <w:lang w:val="es-ES" w:eastAsia="es-ES_tradnl"/>
              </w:rPr>
              <w:t xml:space="preserve">Ciencia, matemática y computación </w:t>
            </w:r>
          </w:p>
        </w:tc>
        <w:tc>
          <w:tcPr>
            <w:tcW w:w="1300" w:type="dxa"/>
            <w:noWrap/>
            <w:hideMark/>
          </w:tcPr>
          <w:p w14:paraId="7AD78E28"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91</w:t>
            </w:r>
          </w:p>
        </w:tc>
        <w:tc>
          <w:tcPr>
            <w:tcW w:w="1300" w:type="dxa"/>
            <w:noWrap/>
            <w:hideMark/>
          </w:tcPr>
          <w:p w14:paraId="3A758453"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87</w:t>
            </w:r>
          </w:p>
        </w:tc>
      </w:tr>
      <w:tr w:rsidR="005A06E1" w:rsidRPr="00961C08" w14:paraId="39BD7A8B" w14:textId="77777777" w:rsidTr="00E16A66">
        <w:trPr>
          <w:trHeight w:val="320"/>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58FC8A6D" w14:textId="77777777" w:rsidR="005A06E1" w:rsidRPr="00961C08" w:rsidRDefault="005A06E1" w:rsidP="00E16A66">
            <w:pPr>
              <w:rPr>
                <w:rFonts w:ascii="Arial" w:eastAsia="Times New Roman" w:hAnsi="Arial" w:cs="Arial"/>
                <w:b w:val="0"/>
                <w:color w:val="222222"/>
                <w:sz w:val="21"/>
                <w:szCs w:val="21"/>
                <w:lang w:val="es-ES" w:eastAsia="es-ES_tradnl"/>
              </w:rPr>
            </w:pPr>
            <w:r w:rsidRPr="00961C08">
              <w:rPr>
                <w:rFonts w:ascii="Arial" w:eastAsia="Times New Roman" w:hAnsi="Arial" w:cs="Arial"/>
                <w:b w:val="0"/>
                <w:color w:val="222222"/>
                <w:sz w:val="21"/>
                <w:szCs w:val="21"/>
                <w:lang w:val="es-ES" w:eastAsia="es-ES_tradnl"/>
              </w:rPr>
              <w:t>Ingeniería, manufactura y construcción</w:t>
            </w:r>
          </w:p>
        </w:tc>
        <w:tc>
          <w:tcPr>
            <w:tcW w:w="1300" w:type="dxa"/>
            <w:noWrap/>
            <w:hideMark/>
          </w:tcPr>
          <w:p w14:paraId="6B5766DD"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93</w:t>
            </w:r>
          </w:p>
        </w:tc>
        <w:tc>
          <w:tcPr>
            <w:tcW w:w="1300" w:type="dxa"/>
            <w:noWrap/>
            <w:hideMark/>
          </w:tcPr>
          <w:p w14:paraId="13122260"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88</w:t>
            </w:r>
          </w:p>
        </w:tc>
      </w:tr>
      <w:tr w:rsidR="005A06E1" w:rsidRPr="00961C08" w14:paraId="1DBE9B9A" w14:textId="77777777" w:rsidTr="00E16A66">
        <w:trPr>
          <w:trHeight w:val="320"/>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321276AB" w14:textId="3FE24984" w:rsidR="005A06E1" w:rsidRPr="00961C08" w:rsidRDefault="005A06E1" w:rsidP="00E16A66">
            <w:pPr>
              <w:rPr>
                <w:rFonts w:ascii="Arial" w:eastAsia="Times New Roman" w:hAnsi="Arial" w:cs="Arial"/>
                <w:b w:val="0"/>
                <w:color w:val="222222"/>
                <w:sz w:val="21"/>
                <w:szCs w:val="21"/>
                <w:lang w:eastAsia="es-ES_tradnl"/>
              </w:rPr>
            </w:pPr>
            <w:r w:rsidRPr="005A06E1">
              <w:rPr>
                <w:rFonts w:ascii="Arial" w:eastAsia="Times New Roman" w:hAnsi="Arial" w:cs="Arial"/>
                <w:b w:val="0"/>
                <w:color w:val="222222"/>
                <w:sz w:val="21"/>
                <w:szCs w:val="21"/>
                <w:lang w:val="es-ES" w:eastAsia="es-ES_tradnl"/>
              </w:rPr>
              <w:t>Salud</w:t>
            </w:r>
            <w:r w:rsidRPr="00961C08">
              <w:rPr>
                <w:rFonts w:ascii="Arial" w:eastAsia="Times New Roman" w:hAnsi="Arial" w:cs="Arial"/>
                <w:b w:val="0"/>
                <w:color w:val="222222"/>
                <w:sz w:val="21"/>
                <w:szCs w:val="21"/>
                <w:lang w:val="es-ES" w:eastAsia="es-ES_tradnl"/>
              </w:rPr>
              <w:t xml:space="preserve"> y bienestar</w:t>
            </w:r>
          </w:p>
        </w:tc>
        <w:tc>
          <w:tcPr>
            <w:tcW w:w="1300" w:type="dxa"/>
            <w:noWrap/>
            <w:hideMark/>
          </w:tcPr>
          <w:p w14:paraId="095F58F0"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92</w:t>
            </w:r>
          </w:p>
        </w:tc>
        <w:tc>
          <w:tcPr>
            <w:tcW w:w="1300" w:type="dxa"/>
            <w:noWrap/>
            <w:hideMark/>
          </w:tcPr>
          <w:p w14:paraId="29E3A85C"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86</w:t>
            </w:r>
          </w:p>
        </w:tc>
      </w:tr>
      <w:tr w:rsidR="005A06E1" w:rsidRPr="00961C08" w14:paraId="3BB316BC" w14:textId="77777777" w:rsidTr="00E16A66">
        <w:trPr>
          <w:trHeight w:val="340"/>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037A0856" w14:textId="18246B7C" w:rsidR="005A06E1" w:rsidRPr="00961C08" w:rsidRDefault="005A06E1" w:rsidP="00E16A66">
            <w:pPr>
              <w:rPr>
                <w:rFonts w:ascii="Arial" w:eastAsia="Times New Roman" w:hAnsi="Arial" w:cs="Arial"/>
                <w:bCs w:val="0"/>
                <w:color w:val="222222"/>
                <w:sz w:val="21"/>
                <w:szCs w:val="21"/>
                <w:lang w:val="es-ES" w:eastAsia="es-ES_tradnl"/>
              </w:rPr>
            </w:pPr>
            <w:r w:rsidRPr="005A06E1">
              <w:rPr>
                <w:rFonts w:ascii="Arial" w:eastAsia="Times New Roman" w:hAnsi="Arial" w:cs="Arial"/>
                <w:b w:val="0"/>
                <w:color w:val="222222"/>
                <w:sz w:val="21"/>
                <w:szCs w:val="21"/>
                <w:lang w:val="es-ES" w:eastAsia="es-ES_tradnl"/>
              </w:rPr>
              <w:t>Todas las áreas</w:t>
            </w:r>
            <w:r w:rsidRPr="00961C08">
              <w:rPr>
                <w:rFonts w:ascii="Arial" w:eastAsia="Times New Roman" w:hAnsi="Arial" w:cs="Arial"/>
                <w:b w:val="0"/>
                <w:color w:val="222222"/>
                <w:sz w:val="21"/>
                <w:szCs w:val="21"/>
                <w:lang w:val="es-ES" w:eastAsia="es-ES_tradnl"/>
              </w:rPr>
              <w:t xml:space="preserve"> </w:t>
            </w:r>
          </w:p>
        </w:tc>
        <w:tc>
          <w:tcPr>
            <w:tcW w:w="1300" w:type="dxa"/>
            <w:noWrap/>
            <w:hideMark/>
          </w:tcPr>
          <w:p w14:paraId="7B9E7187"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90</w:t>
            </w:r>
          </w:p>
        </w:tc>
        <w:tc>
          <w:tcPr>
            <w:tcW w:w="1300" w:type="dxa"/>
            <w:noWrap/>
            <w:hideMark/>
          </w:tcPr>
          <w:p w14:paraId="08764148" w14:textId="77777777" w:rsidR="005A06E1" w:rsidRPr="00961C08" w:rsidRDefault="005A06E1"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961C08">
              <w:rPr>
                <w:rFonts w:ascii="Arial" w:eastAsia="Times New Roman" w:hAnsi="Arial" w:cs="Arial"/>
                <w:color w:val="000000"/>
                <w:sz w:val="21"/>
                <w:szCs w:val="21"/>
                <w:lang w:eastAsia="es-ES_tradnl"/>
              </w:rPr>
              <w:t>85</w:t>
            </w:r>
          </w:p>
        </w:tc>
      </w:tr>
      <w:tr w:rsidR="005A06E1" w:rsidRPr="00961C08" w14:paraId="12AE8DC2" w14:textId="77777777" w:rsidTr="00E16A66">
        <w:trPr>
          <w:trHeight w:val="320"/>
          <w:jc w:val="center"/>
        </w:trPr>
        <w:tc>
          <w:tcPr>
            <w:cnfStyle w:val="001000000000" w:firstRow="0" w:lastRow="0" w:firstColumn="1" w:lastColumn="0" w:oddVBand="0" w:evenVBand="0" w:oddHBand="0" w:evenHBand="0" w:firstRowFirstColumn="0" w:firstRowLastColumn="0" w:lastRowFirstColumn="0" w:lastRowLastColumn="0"/>
            <w:tcW w:w="6613" w:type="dxa"/>
            <w:gridSpan w:val="3"/>
            <w:noWrap/>
            <w:hideMark/>
          </w:tcPr>
          <w:p w14:paraId="607C113F" w14:textId="414BF539" w:rsidR="00E16A66" w:rsidRPr="00961C08" w:rsidRDefault="005A06E1" w:rsidP="00E16A66">
            <w:pPr>
              <w:rPr>
                <w:rFonts w:ascii="Arial" w:eastAsia="Times New Roman" w:hAnsi="Arial" w:cs="Arial"/>
                <w:b w:val="0"/>
                <w:color w:val="222222"/>
                <w:sz w:val="21"/>
                <w:szCs w:val="21"/>
                <w:lang w:eastAsia="es-ES_tradnl"/>
              </w:rPr>
            </w:pPr>
            <w:r w:rsidRPr="00961C08">
              <w:rPr>
                <w:rFonts w:ascii="Arial" w:eastAsia="Times New Roman" w:hAnsi="Arial" w:cs="Arial"/>
                <w:b w:val="0"/>
                <w:color w:val="222222"/>
                <w:sz w:val="21"/>
                <w:szCs w:val="21"/>
                <w:lang w:eastAsia="es-ES_tradnl"/>
              </w:rPr>
              <w:t>Fuente: PIAC</w:t>
            </w:r>
            <w:r w:rsidR="00E16A66">
              <w:rPr>
                <w:rFonts w:ascii="Arial" w:eastAsia="Times New Roman" w:hAnsi="Arial" w:cs="Arial"/>
                <w:b w:val="0"/>
                <w:color w:val="222222"/>
                <w:sz w:val="21"/>
                <w:szCs w:val="21"/>
                <w:lang w:eastAsia="es-ES_tradnl"/>
              </w:rPr>
              <w:t>C, Chile 2015; OCDE 2012 a 2015</w:t>
            </w:r>
          </w:p>
        </w:tc>
      </w:tr>
    </w:tbl>
    <w:p w14:paraId="1A0B5EF4" w14:textId="472EAE2B" w:rsidR="00E16A66" w:rsidRDefault="006B76B1" w:rsidP="006B76B1">
      <w:pPr>
        <w:shd w:val="clear" w:color="auto" w:fill="FFFFFF"/>
        <w:spacing w:after="240"/>
        <w:rPr>
          <w:rFonts w:ascii="Arial" w:eastAsia="Times New Roman" w:hAnsi="Arial" w:cs="Arial"/>
          <w:color w:val="222222"/>
          <w:lang w:eastAsia="es-ES_tradnl"/>
        </w:rPr>
      </w:pPr>
      <w:r>
        <w:rPr>
          <w:rFonts w:ascii="Arial" w:eastAsia="Times New Roman" w:hAnsi="Arial" w:cs="Arial"/>
          <w:color w:val="222222"/>
          <w:lang w:eastAsia="es-ES_tradnl"/>
        </w:rPr>
        <w:t>Tabla 3</w:t>
      </w:r>
    </w:p>
    <w:tbl>
      <w:tblPr>
        <w:tblStyle w:val="GridTable1LightAccent1"/>
        <w:tblW w:w="6500" w:type="dxa"/>
        <w:jc w:val="center"/>
        <w:tblLook w:val="04A0" w:firstRow="1" w:lastRow="0" w:firstColumn="1" w:lastColumn="0" w:noHBand="0" w:noVBand="1"/>
      </w:tblPr>
      <w:tblGrid>
        <w:gridCol w:w="1300"/>
        <w:gridCol w:w="1300"/>
        <w:gridCol w:w="1300"/>
        <w:gridCol w:w="1300"/>
        <w:gridCol w:w="1300"/>
      </w:tblGrid>
      <w:tr w:rsidR="00E16A66" w:rsidRPr="00E16A66" w14:paraId="76CE24BB" w14:textId="77777777" w:rsidTr="00E16A6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785A67F" w14:textId="77777777" w:rsidR="00E16A66" w:rsidRPr="00E16A66" w:rsidRDefault="00E16A66" w:rsidP="00E16A66">
            <w:pPr>
              <w:rPr>
                <w:rFonts w:ascii="Arial" w:hAnsi="Arial" w:cs="Arial"/>
                <w:b w:val="0"/>
                <w:sz w:val="21"/>
                <w:szCs w:val="21"/>
                <w:lang w:eastAsia="es-ES_tradnl"/>
              </w:rPr>
            </w:pPr>
          </w:p>
        </w:tc>
        <w:tc>
          <w:tcPr>
            <w:tcW w:w="1300" w:type="dxa"/>
            <w:noWrap/>
            <w:hideMark/>
          </w:tcPr>
          <w:p w14:paraId="5D513BBD" w14:textId="77777777" w:rsidR="00E16A66" w:rsidRPr="00E16A66" w:rsidRDefault="00E16A66" w:rsidP="00E16A6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lang w:eastAsia="es-ES_tradnl"/>
              </w:rPr>
            </w:pPr>
            <w:r w:rsidRPr="00E16A66">
              <w:rPr>
                <w:rFonts w:ascii="Arial" w:eastAsia="Times New Roman" w:hAnsi="Arial" w:cs="Arial"/>
                <w:b w:val="0"/>
                <w:color w:val="000000"/>
                <w:sz w:val="21"/>
                <w:szCs w:val="21"/>
                <w:lang w:eastAsia="es-ES_tradnl"/>
              </w:rPr>
              <w:t>Ciclo corto</w:t>
            </w:r>
          </w:p>
        </w:tc>
        <w:tc>
          <w:tcPr>
            <w:tcW w:w="1300" w:type="dxa"/>
            <w:noWrap/>
            <w:hideMark/>
          </w:tcPr>
          <w:p w14:paraId="106DA731" w14:textId="77777777" w:rsidR="00E16A66" w:rsidRPr="00E16A66" w:rsidRDefault="00E16A66" w:rsidP="00E16A6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lang w:eastAsia="es-ES_tradnl"/>
              </w:rPr>
            </w:pPr>
            <w:r w:rsidRPr="00E16A66">
              <w:rPr>
                <w:rFonts w:ascii="Arial" w:eastAsia="Times New Roman" w:hAnsi="Arial" w:cs="Arial"/>
                <w:b w:val="0"/>
                <w:color w:val="000000"/>
                <w:sz w:val="21"/>
                <w:szCs w:val="21"/>
                <w:lang w:eastAsia="es-ES_tradnl"/>
              </w:rPr>
              <w:t>Nivel 6</w:t>
            </w:r>
          </w:p>
        </w:tc>
        <w:tc>
          <w:tcPr>
            <w:tcW w:w="1300" w:type="dxa"/>
            <w:noWrap/>
            <w:hideMark/>
          </w:tcPr>
          <w:p w14:paraId="59B3BAFF" w14:textId="77777777" w:rsidR="00E16A66" w:rsidRPr="00E16A66" w:rsidRDefault="00E16A66" w:rsidP="00E16A6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lang w:eastAsia="es-ES_tradnl"/>
              </w:rPr>
            </w:pPr>
            <w:r w:rsidRPr="00E16A66">
              <w:rPr>
                <w:rFonts w:ascii="Arial" w:eastAsia="Times New Roman" w:hAnsi="Arial" w:cs="Arial"/>
                <w:b w:val="0"/>
                <w:color w:val="000000"/>
                <w:sz w:val="21"/>
                <w:szCs w:val="21"/>
                <w:lang w:eastAsia="es-ES_tradnl"/>
              </w:rPr>
              <w:t>Nivel 7 y 8</w:t>
            </w:r>
          </w:p>
        </w:tc>
        <w:tc>
          <w:tcPr>
            <w:tcW w:w="1300" w:type="dxa"/>
            <w:noWrap/>
            <w:hideMark/>
          </w:tcPr>
          <w:p w14:paraId="5F19AB51" w14:textId="77777777" w:rsidR="00E16A66" w:rsidRPr="00E16A66" w:rsidRDefault="00E16A66" w:rsidP="00E16A6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lang w:eastAsia="es-ES_tradnl"/>
              </w:rPr>
            </w:pPr>
            <w:r w:rsidRPr="00E16A66">
              <w:rPr>
                <w:rFonts w:ascii="Arial" w:eastAsia="Times New Roman" w:hAnsi="Arial" w:cs="Arial"/>
                <w:b w:val="0"/>
                <w:color w:val="000000"/>
                <w:sz w:val="21"/>
                <w:szCs w:val="21"/>
                <w:lang w:eastAsia="es-ES_tradnl"/>
              </w:rPr>
              <w:t>Total</w:t>
            </w:r>
          </w:p>
        </w:tc>
      </w:tr>
      <w:tr w:rsidR="00E16A66" w:rsidRPr="00E16A66" w14:paraId="7708B3B5" w14:textId="77777777" w:rsidTr="00E16A66">
        <w:trPr>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D63FFC2" w14:textId="77777777" w:rsidR="00E16A66" w:rsidRPr="00E16A66" w:rsidRDefault="00E16A66" w:rsidP="00E16A66">
            <w:pPr>
              <w:jc w:val="right"/>
              <w:rPr>
                <w:rFonts w:ascii="Arial" w:eastAsia="Times New Roman" w:hAnsi="Arial" w:cs="Arial"/>
                <w:b w:val="0"/>
                <w:color w:val="000000"/>
                <w:sz w:val="21"/>
                <w:szCs w:val="21"/>
                <w:lang w:eastAsia="es-ES_tradnl"/>
              </w:rPr>
            </w:pPr>
            <w:r w:rsidRPr="00E16A66">
              <w:rPr>
                <w:rFonts w:ascii="Arial" w:eastAsia="Times New Roman" w:hAnsi="Arial" w:cs="Arial"/>
                <w:b w:val="0"/>
                <w:color w:val="000000"/>
                <w:sz w:val="21"/>
                <w:szCs w:val="21"/>
                <w:lang w:eastAsia="es-ES_tradnl"/>
              </w:rPr>
              <w:t>Chile</w:t>
            </w:r>
          </w:p>
        </w:tc>
        <w:tc>
          <w:tcPr>
            <w:tcW w:w="1300" w:type="dxa"/>
            <w:noWrap/>
            <w:hideMark/>
          </w:tcPr>
          <w:p w14:paraId="6057AFFC" w14:textId="77777777" w:rsidR="00E16A66" w:rsidRPr="00E16A66" w:rsidRDefault="00E16A66"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E16A66">
              <w:rPr>
                <w:rFonts w:ascii="Arial" w:eastAsia="Times New Roman" w:hAnsi="Arial" w:cs="Arial"/>
                <w:color w:val="000000"/>
                <w:sz w:val="21"/>
                <w:szCs w:val="21"/>
                <w:lang w:eastAsia="es-ES_tradnl"/>
              </w:rPr>
              <w:t>132</w:t>
            </w:r>
          </w:p>
        </w:tc>
        <w:tc>
          <w:tcPr>
            <w:tcW w:w="1300" w:type="dxa"/>
            <w:noWrap/>
            <w:hideMark/>
          </w:tcPr>
          <w:p w14:paraId="1F072FB7" w14:textId="77777777" w:rsidR="00E16A66" w:rsidRPr="00E16A66" w:rsidRDefault="00E16A66"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E16A66">
              <w:rPr>
                <w:rFonts w:ascii="Arial" w:eastAsia="Times New Roman" w:hAnsi="Arial" w:cs="Arial"/>
                <w:color w:val="000000"/>
                <w:sz w:val="21"/>
                <w:szCs w:val="21"/>
                <w:lang w:eastAsia="es-ES_tradnl"/>
              </w:rPr>
              <w:t>282</w:t>
            </w:r>
          </w:p>
        </w:tc>
        <w:tc>
          <w:tcPr>
            <w:tcW w:w="1300" w:type="dxa"/>
            <w:noWrap/>
            <w:hideMark/>
          </w:tcPr>
          <w:p w14:paraId="71BE38CC" w14:textId="77777777" w:rsidR="00E16A66" w:rsidRPr="00E16A66" w:rsidRDefault="00E16A66"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E16A66">
              <w:rPr>
                <w:rFonts w:ascii="Arial" w:eastAsia="Times New Roman" w:hAnsi="Arial" w:cs="Arial"/>
                <w:color w:val="000000"/>
                <w:sz w:val="21"/>
                <w:szCs w:val="21"/>
                <w:lang w:eastAsia="es-ES_tradnl"/>
              </w:rPr>
              <w:t>444</w:t>
            </w:r>
          </w:p>
        </w:tc>
        <w:tc>
          <w:tcPr>
            <w:tcW w:w="1300" w:type="dxa"/>
            <w:noWrap/>
            <w:hideMark/>
          </w:tcPr>
          <w:p w14:paraId="2995E897" w14:textId="77777777" w:rsidR="00E16A66" w:rsidRPr="00E16A66" w:rsidRDefault="00E16A66"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E16A66">
              <w:rPr>
                <w:rFonts w:ascii="Arial" w:eastAsia="Times New Roman" w:hAnsi="Arial" w:cs="Arial"/>
                <w:color w:val="000000"/>
                <w:sz w:val="21"/>
                <w:szCs w:val="21"/>
                <w:lang w:eastAsia="es-ES_tradnl"/>
              </w:rPr>
              <w:t>239</w:t>
            </w:r>
          </w:p>
        </w:tc>
      </w:tr>
      <w:tr w:rsidR="00E16A66" w:rsidRPr="00E16A66" w14:paraId="4D643B79" w14:textId="77777777" w:rsidTr="00E16A66">
        <w:trPr>
          <w:trHeight w:val="32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3E31234" w14:textId="77777777" w:rsidR="00E16A66" w:rsidRPr="00E16A66" w:rsidRDefault="00E16A66" w:rsidP="00E16A66">
            <w:pPr>
              <w:jc w:val="right"/>
              <w:rPr>
                <w:rFonts w:ascii="Arial" w:eastAsia="Times New Roman" w:hAnsi="Arial" w:cs="Arial"/>
                <w:b w:val="0"/>
                <w:color w:val="000000"/>
                <w:sz w:val="21"/>
                <w:szCs w:val="21"/>
                <w:lang w:eastAsia="es-ES_tradnl"/>
              </w:rPr>
            </w:pPr>
            <w:r w:rsidRPr="00E16A66">
              <w:rPr>
                <w:rFonts w:ascii="Arial" w:eastAsia="Times New Roman" w:hAnsi="Arial" w:cs="Arial"/>
                <w:b w:val="0"/>
                <w:color w:val="000000"/>
                <w:sz w:val="21"/>
                <w:szCs w:val="21"/>
                <w:lang w:eastAsia="es-ES_tradnl"/>
              </w:rPr>
              <w:t>OCDE</w:t>
            </w:r>
          </w:p>
        </w:tc>
        <w:tc>
          <w:tcPr>
            <w:tcW w:w="1300" w:type="dxa"/>
            <w:noWrap/>
            <w:hideMark/>
          </w:tcPr>
          <w:p w14:paraId="593E1AA6" w14:textId="77777777" w:rsidR="00E16A66" w:rsidRPr="00E16A66" w:rsidRDefault="00E16A66"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E16A66">
              <w:rPr>
                <w:rFonts w:ascii="Arial" w:eastAsia="Times New Roman" w:hAnsi="Arial" w:cs="Arial"/>
                <w:color w:val="000000"/>
                <w:sz w:val="21"/>
                <w:szCs w:val="21"/>
                <w:lang w:eastAsia="es-ES_tradnl"/>
              </w:rPr>
              <w:t>120</w:t>
            </w:r>
          </w:p>
        </w:tc>
        <w:tc>
          <w:tcPr>
            <w:tcW w:w="1300" w:type="dxa"/>
            <w:noWrap/>
            <w:hideMark/>
          </w:tcPr>
          <w:p w14:paraId="3E913044" w14:textId="77777777" w:rsidR="00E16A66" w:rsidRPr="00E16A66" w:rsidRDefault="00E16A66"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E16A66">
              <w:rPr>
                <w:rFonts w:ascii="Arial" w:eastAsia="Times New Roman" w:hAnsi="Arial" w:cs="Arial"/>
                <w:color w:val="000000"/>
                <w:sz w:val="21"/>
                <w:szCs w:val="21"/>
                <w:lang w:eastAsia="es-ES_tradnl"/>
              </w:rPr>
              <w:t>148</w:t>
            </w:r>
          </w:p>
        </w:tc>
        <w:tc>
          <w:tcPr>
            <w:tcW w:w="1300" w:type="dxa"/>
            <w:noWrap/>
            <w:hideMark/>
          </w:tcPr>
          <w:p w14:paraId="62F57200" w14:textId="77777777" w:rsidR="00E16A66" w:rsidRPr="00E16A66" w:rsidRDefault="00E16A66"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E16A66">
              <w:rPr>
                <w:rFonts w:ascii="Arial" w:eastAsia="Times New Roman" w:hAnsi="Arial" w:cs="Arial"/>
                <w:color w:val="000000"/>
                <w:sz w:val="21"/>
                <w:szCs w:val="21"/>
                <w:lang w:eastAsia="es-ES_tradnl"/>
              </w:rPr>
              <w:t>191</w:t>
            </w:r>
          </w:p>
        </w:tc>
        <w:tc>
          <w:tcPr>
            <w:tcW w:w="1300" w:type="dxa"/>
            <w:noWrap/>
            <w:hideMark/>
          </w:tcPr>
          <w:p w14:paraId="7D2346E8" w14:textId="77777777" w:rsidR="00E16A66" w:rsidRPr="00E16A66" w:rsidRDefault="00E16A66" w:rsidP="00E16A6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eastAsia="es-ES_tradnl"/>
              </w:rPr>
            </w:pPr>
            <w:r w:rsidRPr="00E16A66">
              <w:rPr>
                <w:rFonts w:ascii="Arial" w:eastAsia="Times New Roman" w:hAnsi="Arial" w:cs="Arial"/>
                <w:color w:val="000000"/>
                <w:sz w:val="21"/>
                <w:szCs w:val="21"/>
                <w:lang w:eastAsia="es-ES_tradnl"/>
              </w:rPr>
              <w:t>155</w:t>
            </w:r>
          </w:p>
        </w:tc>
      </w:tr>
    </w:tbl>
    <w:p w14:paraId="39F9A1B0" w14:textId="64DC7BB0" w:rsidR="00E16A66" w:rsidRPr="009B6D35" w:rsidRDefault="00E16A66" w:rsidP="006B76B1">
      <w:pPr>
        <w:shd w:val="clear" w:color="auto" w:fill="FFFFFF"/>
        <w:spacing w:after="240"/>
        <w:rPr>
          <w:rFonts w:ascii="Arial" w:hAnsi="Arial" w:cs="Arial"/>
          <w:sz w:val="21"/>
          <w:szCs w:val="21"/>
        </w:rPr>
      </w:pPr>
    </w:p>
    <w:sectPr w:rsidR="00E16A66" w:rsidRPr="009B6D35" w:rsidSect="0005292E">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F5A6D" w14:textId="77777777" w:rsidR="00997F79" w:rsidRDefault="00997F79" w:rsidP="009B6D35">
      <w:r>
        <w:separator/>
      </w:r>
    </w:p>
  </w:endnote>
  <w:endnote w:type="continuationSeparator" w:id="0">
    <w:p w14:paraId="23F86D08" w14:textId="77777777" w:rsidR="00997F79" w:rsidRDefault="00997F79" w:rsidP="009B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1A81" w14:textId="77777777" w:rsidR="00372504" w:rsidRDefault="00372504" w:rsidP="004F333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973FEB" w14:textId="77777777" w:rsidR="00372504" w:rsidRDefault="00372504" w:rsidP="003725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1C0D" w14:textId="77777777" w:rsidR="00372504" w:rsidRDefault="00372504" w:rsidP="004F333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4783">
      <w:rPr>
        <w:rStyle w:val="Nmerodepgina"/>
        <w:noProof/>
      </w:rPr>
      <w:t>1</w:t>
    </w:r>
    <w:r>
      <w:rPr>
        <w:rStyle w:val="Nmerodepgina"/>
      </w:rPr>
      <w:fldChar w:fldCharType="end"/>
    </w:r>
  </w:p>
  <w:p w14:paraId="3E504725" w14:textId="77777777" w:rsidR="00372504" w:rsidRDefault="00372504" w:rsidP="003725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E7A3F" w14:textId="77777777" w:rsidR="00997F79" w:rsidRDefault="00997F79" w:rsidP="009B6D35">
      <w:r>
        <w:separator/>
      </w:r>
    </w:p>
  </w:footnote>
  <w:footnote w:type="continuationSeparator" w:id="0">
    <w:p w14:paraId="6AC586A0" w14:textId="77777777" w:rsidR="00997F79" w:rsidRDefault="00997F79" w:rsidP="009B6D35">
      <w:r>
        <w:continuationSeparator/>
      </w:r>
    </w:p>
  </w:footnote>
  <w:footnote w:id="1">
    <w:p w14:paraId="16DCBA42" w14:textId="77777777" w:rsidR="007A6723" w:rsidRPr="000F2D3A" w:rsidRDefault="007A6723" w:rsidP="007A6723">
      <w:pPr>
        <w:rPr>
          <w:rFonts w:ascii="Arial" w:eastAsia="Times New Roman" w:hAnsi="Arial" w:cs="Arial"/>
          <w:sz w:val="20"/>
          <w:szCs w:val="20"/>
          <w:lang w:val="en-US" w:eastAsia="es-ES_tradnl"/>
        </w:rPr>
      </w:pPr>
      <w:r>
        <w:rPr>
          <w:rStyle w:val="Refdenotaalpie"/>
        </w:rPr>
        <w:footnoteRef/>
      </w:r>
      <w:r w:rsidRPr="000F2D3A">
        <w:rPr>
          <w:lang w:val="en-US"/>
        </w:rPr>
        <w:t xml:space="preserve"> </w:t>
      </w:r>
      <w:r w:rsidRPr="00384783">
        <w:rPr>
          <w:rFonts w:ascii="Arial" w:hAnsi="Arial" w:cs="Arial"/>
          <w:sz w:val="20"/>
          <w:szCs w:val="20"/>
          <w:lang w:val="en-US"/>
        </w:rPr>
        <w:t xml:space="preserve">En </w:t>
      </w:r>
      <w:proofErr w:type="gramStart"/>
      <w:r w:rsidRPr="00384783">
        <w:rPr>
          <w:rFonts w:ascii="Arial" w:hAnsi="Arial" w:cs="Arial"/>
          <w:sz w:val="20"/>
          <w:szCs w:val="20"/>
          <w:lang w:val="en-US"/>
        </w:rPr>
        <w:t>un</w:t>
      </w:r>
      <w:proofErr w:type="gramEnd"/>
      <w:r w:rsidRPr="00384783">
        <w:rPr>
          <w:rFonts w:ascii="Arial" w:hAnsi="Arial" w:cs="Arial"/>
          <w:sz w:val="20"/>
          <w:szCs w:val="20"/>
          <w:lang w:val="en-US"/>
        </w:rPr>
        <w:t xml:space="preserve"> reciente estudio del Banco Mundial se </w:t>
      </w:r>
      <w:proofErr w:type="spellStart"/>
      <w:r w:rsidRPr="00384783">
        <w:rPr>
          <w:rFonts w:ascii="Arial" w:hAnsi="Arial" w:cs="Arial"/>
          <w:sz w:val="20"/>
          <w:szCs w:val="20"/>
          <w:lang w:val="en-US"/>
        </w:rPr>
        <w:t>señala</w:t>
      </w:r>
      <w:proofErr w:type="spellEnd"/>
      <w:r w:rsidRPr="000F2D3A">
        <w:rPr>
          <w:rFonts w:ascii="Arial" w:hAnsi="Arial" w:cs="Arial"/>
          <w:sz w:val="20"/>
          <w:szCs w:val="20"/>
          <w:lang w:val="en-US"/>
        </w:rPr>
        <w:t>: “</w:t>
      </w:r>
      <w:r w:rsidRPr="000F2D3A">
        <w:rPr>
          <w:rFonts w:ascii="Arial" w:eastAsia="Times New Roman" w:hAnsi="Arial" w:cs="Arial"/>
          <w:sz w:val="20"/>
          <w:szCs w:val="20"/>
          <w:lang w:val="en-US" w:eastAsia="es-ES_tradnl"/>
        </w:rPr>
        <w:t xml:space="preserve">Chile is one of the most successful countries in terms of reducing inequality in access to higher education. This is largely explained by the introduction of government-backed student loans during 2006. Between 2000 and 2013 our index G declined by 24 points (from 41 to 17). This is driven by a general increase in the higher education access probability, which was chiefly captured by the poorest percentiles (see figure B2.1.1, panel </w:t>
      </w:r>
      <w:proofErr w:type="gramStart"/>
      <w:r w:rsidRPr="000F2D3A">
        <w:rPr>
          <w:rFonts w:ascii="Arial" w:eastAsia="Times New Roman" w:hAnsi="Arial" w:cs="Arial"/>
          <w:sz w:val="20"/>
          <w:szCs w:val="20"/>
          <w:lang w:val="en-US" w:eastAsia="es-ES_tradnl"/>
        </w:rPr>
        <w:t>a and</w:t>
      </w:r>
      <w:proofErr w:type="gramEnd"/>
      <w:r w:rsidRPr="000F2D3A">
        <w:rPr>
          <w:rFonts w:ascii="Arial" w:eastAsia="Times New Roman" w:hAnsi="Arial" w:cs="Arial"/>
          <w:sz w:val="20"/>
          <w:szCs w:val="20"/>
          <w:lang w:val="en-US" w:eastAsia="es-ES_tradnl"/>
        </w:rPr>
        <w:t xml:space="preserve"> b). The largest absolute increment in access is observed for the poorest 50 percent of the population, which faced an around 24 percentage increment in their likelihood of accessing higher education. The richest percentiles, on the other hand, only increased this probability by 13 percentage points. As a consequence, the B50 youths went from representing 23 percent of higher education students to</w:t>
      </w:r>
      <w:r>
        <w:rPr>
          <w:rFonts w:ascii="Arial" w:eastAsia="Times New Roman" w:hAnsi="Arial" w:cs="Arial"/>
          <w:sz w:val="20"/>
          <w:szCs w:val="20"/>
          <w:lang w:val="en-US" w:eastAsia="es-ES_tradnl"/>
        </w:rPr>
        <w:t xml:space="preserve"> 41 percent (see figure B2.1.1</w:t>
      </w:r>
      <w:r w:rsidRPr="000F2D3A">
        <w:rPr>
          <w:rFonts w:ascii="Arial" w:eastAsia="Times New Roman" w:hAnsi="Arial" w:cs="Arial"/>
          <w:sz w:val="20"/>
          <w:szCs w:val="20"/>
          <w:lang w:val="en-US" w:eastAsia="es-ES_tradnl"/>
        </w:rPr>
        <w:t xml:space="preserve">)”.  </w:t>
      </w:r>
      <w:r w:rsidRPr="000F2D3A">
        <w:rPr>
          <w:rFonts w:ascii="Arial" w:hAnsi="Arial" w:cs="Arial"/>
          <w:color w:val="222222"/>
          <w:sz w:val="20"/>
          <w:szCs w:val="20"/>
          <w:lang w:val="en-US" w:eastAsia="es-ES_tradnl"/>
        </w:rPr>
        <w:t xml:space="preserve">The World Bank, </w:t>
      </w:r>
      <w:r w:rsidRPr="000F2D3A">
        <w:rPr>
          <w:rFonts w:ascii="Arial" w:eastAsia="Times New Roman" w:hAnsi="Arial" w:cs="Arial"/>
          <w:color w:val="333333"/>
          <w:sz w:val="20"/>
          <w:szCs w:val="20"/>
          <w:lang w:val="en-US"/>
        </w:rPr>
        <w:t>At a Crossroads: Higher Education in Latin America and the Caribbean, 2017,</w:t>
      </w:r>
      <w:r>
        <w:rPr>
          <w:rFonts w:ascii="Arial" w:eastAsia="Times New Roman" w:hAnsi="Arial" w:cs="Arial"/>
          <w:color w:val="333333"/>
          <w:sz w:val="20"/>
          <w:szCs w:val="20"/>
          <w:lang w:val="en-US"/>
        </w:rPr>
        <w:t xml:space="preserve"> p. 88. </w:t>
      </w:r>
    </w:p>
    <w:p w14:paraId="2CE23298" w14:textId="77777777" w:rsidR="007A6723" w:rsidRPr="000F2D3A" w:rsidRDefault="007A6723" w:rsidP="007A6723">
      <w:pPr>
        <w:pStyle w:val="Textonotapie"/>
        <w:rPr>
          <w:lang w:val="en-US"/>
        </w:rPr>
      </w:pPr>
    </w:p>
  </w:footnote>
  <w:footnote w:id="2">
    <w:p w14:paraId="655EB078" w14:textId="6C1D4876" w:rsidR="005530C8" w:rsidRPr="009971DC" w:rsidRDefault="005530C8">
      <w:pPr>
        <w:pStyle w:val="Textonotapie"/>
        <w:rPr>
          <w:rFonts w:ascii="Arial" w:hAnsi="Arial" w:cs="Arial"/>
          <w:sz w:val="20"/>
          <w:szCs w:val="20"/>
        </w:rPr>
      </w:pPr>
      <w:r w:rsidRPr="009971DC">
        <w:rPr>
          <w:rStyle w:val="Refdenotaalpie"/>
          <w:rFonts w:ascii="Arial" w:hAnsi="Arial" w:cs="Arial"/>
          <w:sz w:val="20"/>
          <w:szCs w:val="20"/>
        </w:rPr>
        <w:footnoteRef/>
      </w:r>
      <w:r w:rsidRPr="009971DC">
        <w:rPr>
          <w:rFonts w:ascii="Arial" w:hAnsi="Arial" w:cs="Arial"/>
          <w:sz w:val="20"/>
          <w:szCs w:val="20"/>
          <w:lang w:val="en-US"/>
        </w:rPr>
        <w:t xml:space="preserve"> Ranking </w:t>
      </w:r>
      <w:proofErr w:type="spellStart"/>
      <w:r w:rsidRPr="009971DC">
        <w:rPr>
          <w:rFonts w:ascii="Arial" w:hAnsi="Arial" w:cs="Arial"/>
          <w:sz w:val="20"/>
          <w:szCs w:val="20"/>
          <w:lang w:val="en-US"/>
        </w:rPr>
        <w:t>disponible</w:t>
      </w:r>
      <w:proofErr w:type="spellEnd"/>
      <w:r w:rsidRPr="009971DC">
        <w:rPr>
          <w:rFonts w:ascii="Arial" w:hAnsi="Arial" w:cs="Arial"/>
          <w:sz w:val="20"/>
          <w:szCs w:val="20"/>
          <w:lang w:val="en-US"/>
        </w:rPr>
        <w:t xml:space="preserve"> en: </w:t>
      </w:r>
      <w:hyperlink r:id="rId1" w:anchor="!/page/0/length/-1/locations/MX/sort_by/rank/sort_order/asc/cols/stats" w:history="1">
        <w:r w:rsidRPr="009971DC">
          <w:rPr>
            <w:rStyle w:val="Hipervnculo"/>
            <w:rFonts w:ascii="Arial" w:hAnsi="Arial" w:cs="Arial"/>
            <w:sz w:val="20"/>
            <w:szCs w:val="20"/>
            <w:lang w:val="en-US"/>
          </w:rPr>
          <w:t>https://www.timeshighereducation.com/world-university-rankings/2018/world-ranking#!/page/0/length/-1/locations/MX/sort_by/rank/sort_order/asc/cols/stats</w:t>
        </w:r>
      </w:hyperlink>
      <w:r w:rsidRPr="009971DC">
        <w:rPr>
          <w:rFonts w:ascii="Arial" w:hAnsi="Arial" w:cs="Arial"/>
          <w:sz w:val="20"/>
          <w:szCs w:val="20"/>
          <w:lang w:val="en-US"/>
        </w:rPr>
        <w:t xml:space="preserve">. </w:t>
      </w:r>
      <w:r w:rsidRPr="009971DC">
        <w:rPr>
          <w:rFonts w:ascii="Arial" w:hAnsi="Arial" w:cs="Arial"/>
          <w:sz w:val="20"/>
          <w:szCs w:val="20"/>
        </w:rPr>
        <w:t>Población de países</w:t>
      </w:r>
    </w:p>
  </w:footnote>
  <w:footnote w:id="3">
    <w:p w14:paraId="1017A420" w14:textId="4A483A50" w:rsidR="005530C8" w:rsidRPr="009971DC" w:rsidRDefault="005530C8">
      <w:pPr>
        <w:pStyle w:val="Textonotapie"/>
        <w:rPr>
          <w:rFonts w:ascii="Arial" w:hAnsi="Arial" w:cs="Arial"/>
          <w:sz w:val="20"/>
          <w:szCs w:val="20"/>
        </w:rPr>
      </w:pPr>
      <w:r w:rsidRPr="009971DC">
        <w:rPr>
          <w:rStyle w:val="Refdenotaalpie"/>
          <w:rFonts w:ascii="Arial" w:hAnsi="Arial" w:cs="Arial"/>
          <w:sz w:val="20"/>
          <w:szCs w:val="20"/>
        </w:rPr>
        <w:footnoteRef/>
      </w:r>
      <w:r w:rsidRPr="009971DC">
        <w:rPr>
          <w:rFonts w:ascii="Arial" w:hAnsi="Arial" w:cs="Arial"/>
          <w:sz w:val="20"/>
          <w:szCs w:val="20"/>
        </w:rPr>
        <w:t xml:space="preserve"> Disponible en: http://www.webometrics.info/en/node/54</w:t>
      </w:r>
    </w:p>
  </w:footnote>
  <w:footnote w:id="4">
    <w:p w14:paraId="585175B8" w14:textId="4FE8EB05" w:rsidR="009B6D35" w:rsidRPr="009B6D35" w:rsidRDefault="009B6D35">
      <w:pPr>
        <w:pStyle w:val="Textonotapie"/>
        <w:rPr>
          <w:lang w:val="en-US"/>
        </w:rPr>
      </w:pPr>
      <w:r w:rsidRPr="009971DC">
        <w:rPr>
          <w:rStyle w:val="Refdenotaalpie"/>
          <w:rFonts w:ascii="Arial" w:hAnsi="Arial" w:cs="Arial"/>
          <w:sz w:val="20"/>
          <w:szCs w:val="20"/>
        </w:rPr>
        <w:footnoteRef/>
      </w:r>
      <w:r w:rsidRPr="009971DC">
        <w:rPr>
          <w:rFonts w:ascii="Arial" w:hAnsi="Arial" w:cs="Arial"/>
          <w:sz w:val="20"/>
          <w:szCs w:val="20"/>
          <w:lang w:val="en-US"/>
        </w:rPr>
        <w:t xml:space="preserve"> </w:t>
      </w:r>
      <w:r w:rsidRPr="009971DC">
        <w:rPr>
          <w:rFonts w:ascii="Arial" w:hAnsi="Arial" w:cs="Arial"/>
          <w:color w:val="222222"/>
          <w:sz w:val="20"/>
          <w:szCs w:val="20"/>
          <w:lang w:val="en-US" w:eastAsia="es-ES_tradnl"/>
        </w:rPr>
        <w:t>Literacy is the ability to understand, evaluate, use and engage with written texts to participate in society, to achieve one's goals, and to develop one's knowledge and potential. Literacy encompasses a range of skills from the decoding of written words and sentences to the comprehension, interpretation and evaluation of complex texts. It does not, however, involve the production of text (writing). Information on the skills of adults with low levels of proficiency is provided by an assessment of reading components that covers text vocabulary, sentence comprehension and passage fluency.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BD6"/>
    <w:multiLevelType w:val="multilevel"/>
    <w:tmpl w:val="81D8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86F37"/>
    <w:multiLevelType w:val="multilevel"/>
    <w:tmpl w:val="A204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C1907"/>
    <w:multiLevelType w:val="multilevel"/>
    <w:tmpl w:val="D47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8511C"/>
    <w:multiLevelType w:val="multilevel"/>
    <w:tmpl w:val="ABC6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310984"/>
    <w:multiLevelType w:val="hybridMultilevel"/>
    <w:tmpl w:val="53F66D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FDA18FB"/>
    <w:multiLevelType w:val="multilevel"/>
    <w:tmpl w:val="21C8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C2"/>
    <w:rsid w:val="00035737"/>
    <w:rsid w:val="0005292E"/>
    <w:rsid w:val="000F2D3A"/>
    <w:rsid w:val="001A719C"/>
    <w:rsid w:val="0021721B"/>
    <w:rsid w:val="00337287"/>
    <w:rsid w:val="00372504"/>
    <w:rsid w:val="00384783"/>
    <w:rsid w:val="003F2A25"/>
    <w:rsid w:val="00423919"/>
    <w:rsid w:val="00496B0D"/>
    <w:rsid w:val="004A096E"/>
    <w:rsid w:val="0053435A"/>
    <w:rsid w:val="005530C8"/>
    <w:rsid w:val="005A06E1"/>
    <w:rsid w:val="005C1BD9"/>
    <w:rsid w:val="006B419D"/>
    <w:rsid w:val="006B76B1"/>
    <w:rsid w:val="0070569B"/>
    <w:rsid w:val="00713796"/>
    <w:rsid w:val="00737BFC"/>
    <w:rsid w:val="007A6723"/>
    <w:rsid w:val="008531CF"/>
    <w:rsid w:val="008D4954"/>
    <w:rsid w:val="00961C08"/>
    <w:rsid w:val="009971DC"/>
    <w:rsid w:val="00997F79"/>
    <w:rsid w:val="009B6D35"/>
    <w:rsid w:val="009F132B"/>
    <w:rsid w:val="00A67AF5"/>
    <w:rsid w:val="00AA55C2"/>
    <w:rsid w:val="00AF4F68"/>
    <w:rsid w:val="00B558AA"/>
    <w:rsid w:val="00BE15C0"/>
    <w:rsid w:val="00C5634C"/>
    <w:rsid w:val="00D90553"/>
    <w:rsid w:val="00E16A66"/>
    <w:rsid w:val="00E47FF5"/>
    <w:rsid w:val="00E632C4"/>
    <w:rsid w:val="00F50C31"/>
    <w:rsid w:val="00F51E76"/>
    <w:rsid w:val="00F53D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431871096048818713p1">
    <w:name w:val="m_5431871096048818713p1"/>
    <w:basedOn w:val="Normal"/>
    <w:rsid w:val="00F53D50"/>
    <w:pPr>
      <w:spacing w:before="100" w:beforeAutospacing="1" w:after="100" w:afterAutospacing="1"/>
    </w:pPr>
    <w:rPr>
      <w:rFonts w:ascii="Times New Roman" w:hAnsi="Times New Roman" w:cs="Times New Roman"/>
      <w:lang w:eastAsia="es-ES_tradnl"/>
    </w:rPr>
  </w:style>
  <w:style w:type="character" w:customStyle="1" w:styleId="m5431871096048818713s1">
    <w:name w:val="m_5431871096048818713s1"/>
    <w:basedOn w:val="Fuentedeprrafopredeter"/>
    <w:rsid w:val="00F53D50"/>
  </w:style>
  <w:style w:type="paragraph" w:customStyle="1" w:styleId="m5431871096048818713p2">
    <w:name w:val="m_5431871096048818713p2"/>
    <w:basedOn w:val="Normal"/>
    <w:rsid w:val="00F53D50"/>
    <w:pPr>
      <w:spacing w:before="100" w:beforeAutospacing="1" w:after="100" w:afterAutospacing="1"/>
    </w:pPr>
    <w:rPr>
      <w:rFonts w:ascii="Times New Roman" w:hAnsi="Times New Roman" w:cs="Times New Roman"/>
      <w:lang w:eastAsia="es-ES_tradnl"/>
    </w:rPr>
  </w:style>
  <w:style w:type="character" w:customStyle="1" w:styleId="m5431871096048818713s2">
    <w:name w:val="m_5431871096048818713s2"/>
    <w:basedOn w:val="Fuentedeprrafopredeter"/>
    <w:rsid w:val="00F53D50"/>
  </w:style>
  <w:style w:type="character" w:customStyle="1" w:styleId="m5431871096048818713apple-converted-space">
    <w:name w:val="m_5431871096048818713apple-converted-space"/>
    <w:basedOn w:val="Fuentedeprrafopredeter"/>
    <w:rsid w:val="00F53D50"/>
  </w:style>
  <w:style w:type="character" w:customStyle="1" w:styleId="m5431871096048818713s3">
    <w:name w:val="m_5431871096048818713s3"/>
    <w:basedOn w:val="Fuentedeprrafopredeter"/>
    <w:rsid w:val="00F53D50"/>
  </w:style>
  <w:style w:type="character" w:customStyle="1" w:styleId="m5431871096048818713s4">
    <w:name w:val="m_5431871096048818713s4"/>
    <w:basedOn w:val="Fuentedeprrafopredeter"/>
    <w:rsid w:val="00F53D50"/>
  </w:style>
  <w:style w:type="table" w:customStyle="1" w:styleId="GridTable1LightAccent1">
    <w:name w:val="Grid Table 1 Light Accent 1"/>
    <w:basedOn w:val="Tablanormal"/>
    <w:uiPriority w:val="46"/>
    <w:rsid w:val="005A06E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5A06E1"/>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unhideWhenUsed/>
    <w:rsid w:val="009B6D35"/>
  </w:style>
  <w:style w:type="character" w:customStyle="1" w:styleId="TextonotapieCar">
    <w:name w:val="Texto nota pie Car"/>
    <w:basedOn w:val="Fuentedeprrafopredeter"/>
    <w:link w:val="Textonotapie"/>
    <w:uiPriority w:val="99"/>
    <w:rsid w:val="009B6D35"/>
  </w:style>
  <w:style w:type="character" w:styleId="Refdenotaalpie">
    <w:name w:val="footnote reference"/>
    <w:basedOn w:val="Fuentedeprrafopredeter"/>
    <w:uiPriority w:val="99"/>
    <w:unhideWhenUsed/>
    <w:rsid w:val="009B6D35"/>
    <w:rPr>
      <w:vertAlign w:val="superscript"/>
    </w:rPr>
  </w:style>
  <w:style w:type="character" w:styleId="Hipervnculo">
    <w:name w:val="Hyperlink"/>
    <w:basedOn w:val="Fuentedeprrafopredeter"/>
    <w:uiPriority w:val="99"/>
    <w:unhideWhenUsed/>
    <w:rsid w:val="005530C8"/>
    <w:rPr>
      <w:color w:val="0563C1" w:themeColor="hyperlink"/>
      <w:u w:val="single"/>
    </w:rPr>
  </w:style>
  <w:style w:type="paragraph" w:styleId="Prrafodelista">
    <w:name w:val="List Paragraph"/>
    <w:basedOn w:val="Normal"/>
    <w:uiPriority w:val="34"/>
    <w:qFormat/>
    <w:rsid w:val="001A719C"/>
    <w:pPr>
      <w:ind w:left="720"/>
      <w:contextualSpacing/>
    </w:pPr>
  </w:style>
  <w:style w:type="character" w:styleId="Hipervnculovisitado">
    <w:name w:val="FollowedHyperlink"/>
    <w:basedOn w:val="Fuentedeprrafopredeter"/>
    <w:uiPriority w:val="99"/>
    <w:semiHidden/>
    <w:unhideWhenUsed/>
    <w:rsid w:val="00372504"/>
    <w:rPr>
      <w:color w:val="954F72" w:themeColor="followedHyperlink"/>
      <w:u w:val="single"/>
    </w:rPr>
  </w:style>
  <w:style w:type="paragraph" w:styleId="Piedepgina">
    <w:name w:val="footer"/>
    <w:basedOn w:val="Normal"/>
    <w:link w:val="PiedepginaCar"/>
    <w:uiPriority w:val="99"/>
    <w:unhideWhenUsed/>
    <w:rsid w:val="00372504"/>
    <w:pPr>
      <w:tabs>
        <w:tab w:val="center" w:pos="4419"/>
        <w:tab w:val="right" w:pos="8838"/>
      </w:tabs>
    </w:pPr>
  </w:style>
  <w:style w:type="character" w:customStyle="1" w:styleId="PiedepginaCar">
    <w:name w:val="Pie de página Car"/>
    <w:basedOn w:val="Fuentedeprrafopredeter"/>
    <w:link w:val="Piedepgina"/>
    <w:uiPriority w:val="99"/>
    <w:rsid w:val="00372504"/>
  </w:style>
  <w:style w:type="character" w:styleId="Nmerodepgina">
    <w:name w:val="page number"/>
    <w:basedOn w:val="Fuentedeprrafopredeter"/>
    <w:uiPriority w:val="99"/>
    <w:semiHidden/>
    <w:unhideWhenUsed/>
    <w:rsid w:val="00372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431871096048818713p1">
    <w:name w:val="m_5431871096048818713p1"/>
    <w:basedOn w:val="Normal"/>
    <w:rsid w:val="00F53D50"/>
    <w:pPr>
      <w:spacing w:before="100" w:beforeAutospacing="1" w:after="100" w:afterAutospacing="1"/>
    </w:pPr>
    <w:rPr>
      <w:rFonts w:ascii="Times New Roman" w:hAnsi="Times New Roman" w:cs="Times New Roman"/>
      <w:lang w:eastAsia="es-ES_tradnl"/>
    </w:rPr>
  </w:style>
  <w:style w:type="character" w:customStyle="1" w:styleId="m5431871096048818713s1">
    <w:name w:val="m_5431871096048818713s1"/>
    <w:basedOn w:val="Fuentedeprrafopredeter"/>
    <w:rsid w:val="00F53D50"/>
  </w:style>
  <w:style w:type="paragraph" w:customStyle="1" w:styleId="m5431871096048818713p2">
    <w:name w:val="m_5431871096048818713p2"/>
    <w:basedOn w:val="Normal"/>
    <w:rsid w:val="00F53D50"/>
    <w:pPr>
      <w:spacing w:before="100" w:beforeAutospacing="1" w:after="100" w:afterAutospacing="1"/>
    </w:pPr>
    <w:rPr>
      <w:rFonts w:ascii="Times New Roman" w:hAnsi="Times New Roman" w:cs="Times New Roman"/>
      <w:lang w:eastAsia="es-ES_tradnl"/>
    </w:rPr>
  </w:style>
  <w:style w:type="character" w:customStyle="1" w:styleId="m5431871096048818713s2">
    <w:name w:val="m_5431871096048818713s2"/>
    <w:basedOn w:val="Fuentedeprrafopredeter"/>
    <w:rsid w:val="00F53D50"/>
  </w:style>
  <w:style w:type="character" w:customStyle="1" w:styleId="m5431871096048818713apple-converted-space">
    <w:name w:val="m_5431871096048818713apple-converted-space"/>
    <w:basedOn w:val="Fuentedeprrafopredeter"/>
    <w:rsid w:val="00F53D50"/>
  </w:style>
  <w:style w:type="character" w:customStyle="1" w:styleId="m5431871096048818713s3">
    <w:name w:val="m_5431871096048818713s3"/>
    <w:basedOn w:val="Fuentedeprrafopredeter"/>
    <w:rsid w:val="00F53D50"/>
  </w:style>
  <w:style w:type="character" w:customStyle="1" w:styleId="m5431871096048818713s4">
    <w:name w:val="m_5431871096048818713s4"/>
    <w:basedOn w:val="Fuentedeprrafopredeter"/>
    <w:rsid w:val="00F53D50"/>
  </w:style>
  <w:style w:type="table" w:customStyle="1" w:styleId="GridTable1LightAccent1">
    <w:name w:val="Grid Table 1 Light Accent 1"/>
    <w:basedOn w:val="Tablanormal"/>
    <w:uiPriority w:val="46"/>
    <w:rsid w:val="005A06E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5A06E1"/>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unhideWhenUsed/>
    <w:rsid w:val="009B6D35"/>
  </w:style>
  <w:style w:type="character" w:customStyle="1" w:styleId="TextonotapieCar">
    <w:name w:val="Texto nota pie Car"/>
    <w:basedOn w:val="Fuentedeprrafopredeter"/>
    <w:link w:val="Textonotapie"/>
    <w:uiPriority w:val="99"/>
    <w:rsid w:val="009B6D35"/>
  </w:style>
  <w:style w:type="character" w:styleId="Refdenotaalpie">
    <w:name w:val="footnote reference"/>
    <w:basedOn w:val="Fuentedeprrafopredeter"/>
    <w:uiPriority w:val="99"/>
    <w:unhideWhenUsed/>
    <w:rsid w:val="009B6D35"/>
    <w:rPr>
      <w:vertAlign w:val="superscript"/>
    </w:rPr>
  </w:style>
  <w:style w:type="character" w:styleId="Hipervnculo">
    <w:name w:val="Hyperlink"/>
    <w:basedOn w:val="Fuentedeprrafopredeter"/>
    <w:uiPriority w:val="99"/>
    <w:unhideWhenUsed/>
    <w:rsid w:val="005530C8"/>
    <w:rPr>
      <w:color w:val="0563C1" w:themeColor="hyperlink"/>
      <w:u w:val="single"/>
    </w:rPr>
  </w:style>
  <w:style w:type="paragraph" w:styleId="Prrafodelista">
    <w:name w:val="List Paragraph"/>
    <w:basedOn w:val="Normal"/>
    <w:uiPriority w:val="34"/>
    <w:qFormat/>
    <w:rsid w:val="001A719C"/>
    <w:pPr>
      <w:ind w:left="720"/>
      <w:contextualSpacing/>
    </w:pPr>
  </w:style>
  <w:style w:type="character" w:styleId="Hipervnculovisitado">
    <w:name w:val="FollowedHyperlink"/>
    <w:basedOn w:val="Fuentedeprrafopredeter"/>
    <w:uiPriority w:val="99"/>
    <w:semiHidden/>
    <w:unhideWhenUsed/>
    <w:rsid w:val="00372504"/>
    <w:rPr>
      <w:color w:val="954F72" w:themeColor="followedHyperlink"/>
      <w:u w:val="single"/>
    </w:rPr>
  </w:style>
  <w:style w:type="paragraph" w:styleId="Piedepgina">
    <w:name w:val="footer"/>
    <w:basedOn w:val="Normal"/>
    <w:link w:val="PiedepginaCar"/>
    <w:uiPriority w:val="99"/>
    <w:unhideWhenUsed/>
    <w:rsid w:val="00372504"/>
    <w:pPr>
      <w:tabs>
        <w:tab w:val="center" w:pos="4419"/>
        <w:tab w:val="right" w:pos="8838"/>
      </w:tabs>
    </w:pPr>
  </w:style>
  <w:style w:type="character" w:customStyle="1" w:styleId="PiedepginaCar">
    <w:name w:val="Pie de página Car"/>
    <w:basedOn w:val="Fuentedeprrafopredeter"/>
    <w:link w:val="Piedepgina"/>
    <w:uiPriority w:val="99"/>
    <w:rsid w:val="00372504"/>
  </w:style>
  <w:style w:type="character" w:styleId="Nmerodepgina">
    <w:name w:val="page number"/>
    <w:basedOn w:val="Fuentedeprrafopredeter"/>
    <w:uiPriority w:val="99"/>
    <w:semiHidden/>
    <w:unhideWhenUsed/>
    <w:rsid w:val="0037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3236">
      <w:bodyDiv w:val="1"/>
      <w:marLeft w:val="0"/>
      <w:marRight w:val="0"/>
      <w:marTop w:val="0"/>
      <w:marBottom w:val="0"/>
      <w:divBdr>
        <w:top w:val="none" w:sz="0" w:space="0" w:color="auto"/>
        <w:left w:val="none" w:sz="0" w:space="0" w:color="auto"/>
        <w:bottom w:val="none" w:sz="0" w:space="0" w:color="auto"/>
        <w:right w:val="none" w:sz="0" w:space="0" w:color="auto"/>
      </w:divBdr>
    </w:div>
    <w:div w:id="688221323">
      <w:bodyDiv w:val="1"/>
      <w:marLeft w:val="0"/>
      <w:marRight w:val="0"/>
      <w:marTop w:val="0"/>
      <w:marBottom w:val="0"/>
      <w:divBdr>
        <w:top w:val="none" w:sz="0" w:space="0" w:color="auto"/>
        <w:left w:val="none" w:sz="0" w:space="0" w:color="auto"/>
        <w:bottom w:val="none" w:sz="0" w:space="0" w:color="auto"/>
        <w:right w:val="none" w:sz="0" w:space="0" w:color="auto"/>
      </w:divBdr>
    </w:div>
    <w:div w:id="873690319">
      <w:bodyDiv w:val="1"/>
      <w:marLeft w:val="0"/>
      <w:marRight w:val="0"/>
      <w:marTop w:val="0"/>
      <w:marBottom w:val="0"/>
      <w:divBdr>
        <w:top w:val="none" w:sz="0" w:space="0" w:color="auto"/>
        <w:left w:val="none" w:sz="0" w:space="0" w:color="auto"/>
        <w:bottom w:val="none" w:sz="0" w:space="0" w:color="auto"/>
        <w:right w:val="none" w:sz="0" w:space="0" w:color="auto"/>
      </w:divBdr>
    </w:div>
    <w:div w:id="1076248193">
      <w:bodyDiv w:val="1"/>
      <w:marLeft w:val="0"/>
      <w:marRight w:val="0"/>
      <w:marTop w:val="0"/>
      <w:marBottom w:val="0"/>
      <w:divBdr>
        <w:top w:val="none" w:sz="0" w:space="0" w:color="auto"/>
        <w:left w:val="none" w:sz="0" w:space="0" w:color="auto"/>
        <w:bottom w:val="none" w:sz="0" w:space="0" w:color="auto"/>
        <w:right w:val="none" w:sz="0" w:space="0" w:color="auto"/>
      </w:divBdr>
    </w:div>
    <w:div w:id="1470317395">
      <w:bodyDiv w:val="1"/>
      <w:marLeft w:val="0"/>
      <w:marRight w:val="0"/>
      <w:marTop w:val="0"/>
      <w:marBottom w:val="0"/>
      <w:divBdr>
        <w:top w:val="none" w:sz="0" w:space="0" w:color="auto"/>
        <w:left w:val="none" w:sz="0" w:space="0" w:color="auto"/>
        <w:bottom w:val="none" w:sz="0" w:space="0" w:color="auto"/>
        <w:right w:val="none" w:sz="0" w:space="0" w:color="auto"/>
      </w:divBdr>
      <w:divsChild>
        <w:div w:id="220598052">
          <w:marLeft w:val="0"/>
          <w:marRight w:val="0"/>
          <w:marTop w:val="0"/>
          <w:marBottom w:val="0"/>
          <w:divBdr>
            <w:top w:val="none" w:sz="0" w:space="0" w:color="auto"/>
            <w:left w:val="none" w:sz="0" w:space="0" w:color="auto"/>
            <w:bottom w:val="none" w:sz="0" w:space="0" w:color="auto"/>
            <w:right w:val="none" w:sz="0" w:space="0" w:color="auto"/>
          </w:divBdr>
        </w:div>
        <w:div w:id="1571772317">
          <w:marLeft w:val="0"/>
          <w:marRight w:val="0"/>
          <w:marTop w:val="0"/>
          <w:marBottom w:val="0"/>
          <w:divBdr>
            <w:top w:val="none" w:sz="0" w:space="0" w:color="auto"/>
            <w:left w:val="none" w:sz="0" w:space="0" w:color="auto"/>
            <w:bottom w:val="none" w:sz="0" w:space="0" w:color="auto"/>
            <w:right w:val="none" w:sz="0" w:space="0" w:color="auto"/>
          </w:divBdr>
        </w:div>
        <w:div w:id="1326125555">
          <w:marLeft w:val="0"/>
          <w:marRight w:val="0"/>
          <w:marTop w:val="0"/>
          <w:marBottom w:val="0"/>
          <w:divBdr>
            <w:top w:val="none" w:sz="0" w:space="0" w:color="auto"/>
            <w:left w:val="none" w:sz="0" w:space="0" w:color="auto"/>
            <w:bottom w:val="none" w:sz="0" w:space="0" w:color="auto"/>
            <w:right w:val="none" w:sz="0" w:space="0" w:color="auto"/>
          </w:divBdr>
        </w:div>
        <w:div w:id="437062826">
          <w:marLeft w:val="0"/>
          <w:marRight w:val="0"/>
          <w:marTop w:val="0"/>
          <w:marBottom w:val="0"/>
          <w:divBdr>
            <w:top w:val="none" w:sz="0" w:space="0" w:color="auto"/>
            <w:left w:val="none" w:sz="0" w:space="0" w:color="auto"/>
            <w:bottom w:val="none" w:sz="0" w:space="0" w:color="auto"/>
            <w:right w:val="none" w:sz="0" w:space="0" w:color="auto"/>
          </w:divBdr>
        </w:div>
      </w:divsChild>
    </w:div>
    <w:div w:id="1708215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imeshighereducation.com/world-university-rankings/2018/world-rank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6A16DE-EC43-4483-9B78-33411EBE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2385</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brunner</dc:creator>
  <cp:lastModifiedBy>drobles</cp:lastModifiedBy>
  <cp:revision>2</cp:revision>
  <cp:lastPrinted>2017-09-11T15:48:00Z</cp:lastPrinted>
  <dcterms:created xsi:type="dcterms:W3CDTF">2017-09-11T18:45:00Z</dcterms:created>
  <dcterms:modified xsi:type="dcterms:W3CDTF">2017-09-11T18:45:00Z</dcterms:modified>
</cp:coreProperties>
</file>